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As filed with the Securities and Exchange Commission on December 5, 2025.</w:t>
      </w:r>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                                                                  Registration No. 333-290534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2" w:lineRule="exact"/>
        <w:rPr>
          <w:sz w:val="24"/>
          <w:szCs w:val="24"/>
          <w:color w:val="auto"/>
        </w:rPr>
      </w:pPr>
    </w:p>
    <w:p>
      <w:pPr>
        <w:jc w:val="center"/>
        <w:ind w:right="-159"/>
        <w:spacing w:after="0"/>
        <w:rPr>
          <w:sz w:val="20"/>
          <w:szCs w:val="20"/>
          <w:color w:val="auto"/>
        </w:rPr>
      </w:pPr>
      <w:r>
        <w:rPr>
          <w:rFonts w:ascii="Arial" w:cs="Arial" w:eastAsia="Arial" w:hAnsi="Arial"/>
          <w:sz w:val="27"/>
          <w:szCs w:val="27"/>
          <w:b w:val="1"/>
          <w:bCs w:val="1"/>
          <w:color w:val="auto"/>
        </w:rPr>
        <w:t>UNITED STATES</w:t>
      </w:r>
    </w:p>
    <w:p>
      <w:pPr>
        <w:spacing w:after="0" w:line="28" w:lineRule="exact"/>
        <w:rPr>
          <w:sz w:val="24"/>
          <w:szCs w:val="24"/>
          <w:color w:val="auto"/>
        </w:rPr>
      </w:pPr>
    </w:p>
    <w:p>
      <w:pPr>
        <w:jc w:val="center"/>
        <w:ind w:right="-15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130810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7" w:lineRule="exact"/>
        <w:rPr>
          <w:sz w:val="24"/>
          <w:szCs w:val="24"/>
          <w:color w:val="auto"/>
        </w:rPr>
      </w:pPr>
    </w:p>
    <w:p>
      <w:pPr>
        <w:jc w:val="center"/>
        <w:ind w:right="-159"/>
        <w:spacing w:after="0"/>
        <w:rPr>
          <w:sz w:val="20"/>
          <w:szCs w:val="20"/>
          <w:color w:val="auto"/>
        </w:rPr>
      </w:pPr>
      <w:r>
        <w:rPr>
          <w:rFonts w:ascii="Arial" w:cs="Arial" w:eastAsia="Arial" w:hAnsi="Arial"/>
          <w:sz w:val="27"/>
          <w:szCs w:val="27"/>
          <w:b w:val="1"/>
          <w:bCs w:val="1"/>
          <w:color w:val="auto"/>
        </w:rPr>
        <w:t>AMENDMENT NO. 1 TO</w:t>
      </w:r>
    </w:p>
    <w:p>
      <w:pPr>
        <w:spacing w:after="0" w:line="28" w:lineRule="exact"/>
        <w:rPr>
          <w:sz w:val="24"/>
          <w:szCs w:val="24"/>
          <w:color w:val="auto"/>
        </w:rPr>
      </w:pPr>
    </w:p>
    <w:p>
      <w:pPr>
        <w:jc w:val="center"/>
        <w:ind w:right="-159"/>
        <w:spacing w:after="0"/>
        <w:rPr>
          <w:sz w:val="20"/>
          <w:szCs w:val="20"/>
          <w:color w:val="auto"/>
        </w:rPr>
      </w:pPr>
      <w:r>
        <w:rPr>
          <w:rFonts w:ascii="Arial" w:cs="Arial" w:eastAsia="Arial" w:hAnsi="Arial"/>
          <w:sz w:val="27"/>
          <w:szCs w:val="27"/>
          <w:b w:val="1"/>
          <w:bCs w:val="1"/>
          <w:color w:val="auto"/>
        </w:rPr>
        <w:t>FORM S-1</w:t>
      </w:r>
    </w:p>
    <w:p>
      <w:pPr>
        <w:jc w:val="center"/>
        <w:ind w:right="-159"/>
        <w:spacing w:after="0"/>
        <w:rPr>
          <w:sz w:val="20"/>
          <w:szCs w:val="20"/>
          <w:color w:val="auto"/>
        </w:rPr>
      </w:pPr>
      <w:r>
        <w:rPr>
          <w:rFonts w:ascii="Arial" w:cs="Arial" w:eastAsia="Arial" w:hAnsi="Arial"/>
          <w:sz w:val="27"/>
          <w:szCs w:val="27"/>
          <w:b w:val="1"/>
          <w:bCs w:val="1"/>
          <w:color w:val="auto"/>
        </w:rPr>
        <w:t>REGISTRATION STATEMENT</w:t>
      </w: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i w:val="1"/>
          <w:iCs w:val="1"/>
          <w:color w:val="auto"/>
        </w:rPr>
        <w:t>UNDER</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7" w:lineRule="exact"/>
        <w:rPr>
          <w:sz w:val="24"/>
          <w:szCs w:val="24"/>
          <w:color w:val="auto"/>
        </w:rPr>
      </w:pPr>
    </w:p>
    <w:p>
      <w:pPr>
        <w:jc w:val="center"/>
        <w:ind w:right="-159"/>
        <w:spacing w:after="0"/>
        <w:rPr>
          <w:sz w:val="20"/>
          <w:szCs w:val="20"/>
          <w:color w:val="auto"/>
        </w:rPr>
      </w:pPr>
      <w:r>
        <w:rPr>
          <w:rFonts w:ascii="Arial" w:cs="Arial" w:eastAsia="Arial" w:hAnsi="Arial"/>
          <w:sz w:val="38"/>
          <w:szCs w:val="38"/>
          <w:b w:val="1"/>
          <w:bCs w:val="1"/>
          <w:color w:val="auto"/>
        </w:rPr>
        <w:t>Ethos Technologies Inc.</w:t>
      </w:r>
    </w:p>
    <w:p>
      <w:pPr>
        <w:spacing w:after="0" w:line="4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8" w:lineRule="exact"/>
        <w:rPr>
          <w:sz w:val="24"/>
          <w:szCs w:val="24"/>
          <w:color w:val="auto"/>
        </w:rPr>
      </w:pPr>
    </w:p>
    <w:tbl>
      <w:tblPr>
        <w:tblLayout w:type="fixed"/>
        <w:tblInd w:w="1080" w:type="dxa"/>
        <w:tblCellMar>
          <w:top w:w="0" w:type="dxa"/>
          <w:left w:w="0" w:type="dxa"/>
          <w:bottom w:w="0" w:type="dxa"/>
          <w:right w:w="0" w:type="dxa"/>
        </w:tblCellMar>
      </w:tblPr>
      <w:tr>
        <w:trPr>
          <w:trHeight w:val="149"/>
        </w:trPr>
        <w:tc>
          <w:tcPr>
            <w:tcW w:w="2800" w:type="dxa"/>
            <w:vAlign w:val="bottom"/>
          </w:tcPr>
          <w:p>
            <w:pPr>
              <w:jc w:val="center"/>
              <w:ind w:right="937"/>
              <w:spacing w:after="0"/>
              <w:rPr>
                <w:sz w:val="20"/>
                <w:szCs w:val="20"/>
                <w:color w:val="auto"/>
              </w:rPr>
            </w:pPr>
            <w:r>
              <w:rPr>
                <w:rFonts w:ascii="Arial" w:cs="Arial" w:eastAsia="Arial" w:hAnsi="Arial"/>
                <w:sz w:val="13"/>
                <w:szCs w:val="13"/>
                <w:b w:val="1"/>
                <w:bCs w:val="1"/>
                <w:color w:val="auto"/>
                <w:w w:val="98"/>
              </w:rPr>
              <w:t>Delaware</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96"/>
              </w:rPr>
              <w:t>7389</w:t>
            </w:r>
          </w:p>
        </w:tc>
        <w:tc>
          <w:tcPr>
            <w:tcW w:w="2380" w:type="dxa"/>
            <w:vAlign w:val="bottom"/>
          </w:tcPr>
          <w:p>
            <w:pPr>
              <w:jc w:val="center"/>
              <w:ind w:left="977"/>
              <w:spacing w:after="0"/>
              <w:rPr>
                <w:sz w:val="20"/>
                <w:szCs w:val="20"/>
                <w:color w:val="auto"/>
              </w:rPr>
            </w:pPr>
            <w:r>
              <w:rPr>
                <w:rFonts w:ascii="Arial" w:cs="Arial" w:eastAsia="Arial" w:hAnsi="Arial"/>
                <w:sz w:val="13"/>
                <w:szCs w:val="13"/>
                <w:b w:val="1"/>
                <w:bCs w:val="1"/>
                <w:color w:val="auto"/>
                <w:w w:val="95"/>
              </w:rPr>
              <w:t>81-3181024</w:t>
            </w:r>
          </w:p>
        </w:tc>
      </w:tr>
      <w:tr>
        <w:trPr>
          <w:trHeight w:val="135"/>
        </w:trPr>
        <w:tc>
          <w:tcPr>
            <w:tcW w:w="2800" w:type="dxa"/>
            <w:vAlign w:val="bottom"/>
          </w:tcPr>
          <w:p>
            <w:pPr>
              <w:jc w:val="center"/>
              <w:ind w:right="937"/>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(Primary Standard Industrial</w:t>
            </w:r>
          </w:p>
        </w:tc>
        <w:tc>
          <w:tcPr>
            <w:tcW w:w="2380" w:type="dxa"/>
            <w:vAlign w:val="bottom"/>
          </w:tcPr>
          <w:p>
            <w:pPr>
              <w:jc w:val="center"/>
              <w:ind w:left="977"/>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72"/>
        </w:trPr>
        <w:tc>
          <w:tcPr>
            <w:tcW w:w="2800" w:type="dxa"/>
            <w:vAlign w:val="bottom"/>
          </w:tcPr>
          <w:p>
            <w:pPr>
              <w:jc w:val="center"/>
              <w:ind w:right="937"/>
              <w:spacing w:after="0"/>
              <w:rPr>
                <w:sz w:val="20"/>
                <w:szCs w:val="20"/>
                <w:color w:val="auto"/>
              </w:rPr>
            </w:pPr>
            <w:r>
              <w:rPr>
                <w:rFonts w:ascii="Arial" w:cs="Arial" w:eastAsia="Arial" w:hAnsi="Arial"/>
                <w:sz w:val="13"/>
                <w:szCs w:val="13"/>
                <w:b w:val="1"/>
                <w:bCs w:val="1"/>
                <w:color w:val="auto"/>
                <w:w w:val="96"/>
              </w:rPr>
              <w:t>incorporation or organization)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96"/>
              </w:rPr>
              <w:t>Classification Code Number)</w:t>
            </w:r>
          </w:p>
        </w:tc>
        <w:tc>
          <w:tcPr>
            <w:tcW w:w="2380" w:type="dxa"/>
            <w:vAlign w:val="bottom"/>
          </w:tcPr>
          <w:p>
            <w:pPr>
              <w:jc w:val="center"/>
              <w:ind w:left="977"/>
              <w:spacing w:after="0"/>
              <w:rPr>
                <w:sz w:val="20"/>
                <w:szCs w:val="20"/>
                <w:color w:val="auto"/>
              </w:rPr>
            </w:pPr>
            <w:r>
              <w:rPr>
                <w:rFonts w:ascii="Arial" w:cs="Arial" w:eastAsia="Arial" w:hAnsi="Arial"/>
                <w:sz w:val="13"/>
                <w:szCs w:val="13"/>
                <w:b w:val="1"/>
                <w:bCs w:val="1"/>
                <w:color w:val="auto"/>
                <w:w w:val="97"/>
              </w:rPr>
              <w:t>Identification Number)</w:t>
            </w:r>
          </w:p>
        </w:tc>
      </w:tr>
    </w:tbl>
    <w:p>
      <w:pPr>
        <w:spacing w:after="0" w:line="53"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90 New Montgomery Street, Suite 1500</w:t>
      </w:r>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San Francisco, CA 94105</w:t>
      </w:r>
    </w:p>
    <w:p>
      <w:pPr>
        <w:jc w:val="center"/>
        <w:ind w:right="-159"/>
        <w:spacing w:after="0" w:line="226" w:lineRule="auto"/>
        <w:rPr>
          <w:sz w:val="20"/>
          <w:szCs w:val="20"/>
          <w:color w:val="auto"/>
        </w:rPr>
      </w:pPr>
      <w:r>
        <w:rPr>
          <w:rFonts w:ascii="Arial" w:cs="Arial" w:eastAsia="Arial" w:hAnsi="Arial"/>
          <w:sz w:val="14"/>
          <w:szCs w:val="14"/>
          <w:b w:val="1"/>
          <w:bCs w:val="1"/>
          <w:color w:val="auto"/>
        </w:rPr>
        <w:t>(415) 915-0665</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114300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6"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Peter Colis</w:t>
      </w:r>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Ethos Technologies Inc.</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90 New Montgomery Street, Suite 1500</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San Francisco, CA 94105</w:t>
      </w:r>
    </w:p>
    <w:p>
      <w:pPr>
        <w:jc w:val="center"/>
        <w:ind w:right="-159"/>
        <w:spacing w:after="0" w:line="226" w:lineRule="auto"/>
        <w:rPr>
          <w:sz w:val="20"/>
          <w:szCs w:val="20"/>
          <w:color w:val="auto"/>
        </w:rPr>
      </w:pPr>
      <w:r>
        <w:rPr>
          <w:rFonts w:ascii="Arial" w:cs="Arial" w:eastAsia="Arial" w:hAnsi="Arial"/>
          <w:sz w:val="14"/>
          <w:szCs w:val="14"/>
          <w:b w:val="1"/>
          <w:bCs w:val="1"/>
          <w:color w:val="auto"/>
        </w:rPr>
        <w:t>(415) 915-0665</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114300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4" w:lineRule="exact"/>
        <w:rPr>
          <w:sz w:val="24"/>
          <w:szCs w:val="24"/>
          <w:color w:val="auto"/>
        </w:rPr>
      </w:pPr>
    </w:p>
    <w:tbl>
      <w:tblPr>
        <w:tblLayout w:type="fixed"/>
        <w:tblInd w:w="1300" w:type="dxa"/>
        <w:tblCellMar>
          <w:top w:w="0" w:type="dxa"/>
          <w:left w:w="0" w:type="dxa"/>
          <w:bottom w:w="0" w:type="dxa"/>
          <w:right w:w="0" w:type="dxa"/>
        </w:tblCellMar>
      </w:tblPr>
      <w:tr>
        <w:trPr>
          <w:trHeight w:val="194"/>
        </w:trPr>
        <w:tc>
          <w:tcPr>
            <w:tcW w:w="2240" w:type="dxa"/>
            <w:vAlign w:val="bottom"/>
          </w:tcPr>
          <w:p>
            <w:pPr>
              <w:spacing w:after="0"/>
              <w:rPr>
                <w:sz w:val="16"/>
                <w:szCs w:val="16"/>
                <w:color w:val="auto"/>
              </w:rPr>
            </w:pPr>
          </w:p>
        </w:tc>
        <w:tc>
          <w:tcPr>
            <w:tcW w:w="4120" w:type="dxa"/>
            <w:vAlign w:val="bottom"/>
          </w:tcPr>
          <w:p>
            <w:pPr>
              <w:ind w:left="1740"/>
              <w:spacing w:after="0"/>
              <w:rPr>
                <w:sz w:val="20"/>
                <w:szCs w:val="20"/>
                <w:color w:val="auto"/>
              </w:rPr>
            </w:pPr>
            <w:r>
              <w:rPr>
                <w:rFonts w:ascii="Arial" w:cs="Arial" w:eastAsia="Arial" w:hAnsi="Arial"/>
                <w:sz w:val="14"/>
                <w:szCs w:val="14"/>
                <w:b w:val="1"/>
                <w:bCs w:val="1"/>
                <w:i w:val="1"/>
                <w:iCs w:val="1"/>
                <w:color w:val="auto"/>
              </w:rPr>
              <w:t>Copies to:</w:t>
            </w:r>
          </w:p>
        </w:tc>
        <w:tc>
          <w:tcPr>
            <w:tcW w:w="2820" w:type="dxa"/>
            <w:vAlign w:val="bottom"/>
          </w:tcPr>
          <w:p>
            <w:pPr>
              <w:spacing w:after="0"/>
              <w:rPr>
                <w:sz w:val="16"/>
                <w:szCs w:val="16"/>
                <w:color w:val="auto"/>
              </w:rPr>
            </w:pPr>
          </w:p>
        </w:tc>
      </w:tr>
      <w:tr>
        <w:trPr>
          <w:trHeight w:val="209"/>
        </w:trPr>
        <w:tc>
          <w:tcPr>
            <w:tcW w:w="2240" w:type="dxa"/>
            <w:vAlign w:val="bottom"/>
          </w:tcPr>
          <w:p>
            <w:pPr>
              <w:jc w:val="center"/>
              <w:ind w:right="788"/>
              <w:spacing w:after="0"/>
              <w:rPr>
                <w:sz w:val="20"/>
                <w:szCs w:val="20"/>
                <w:color w:val="auto"/>
              </w:rPr>
            </w:pPr>
            <w:r>
              <w:rPr>
                <w:rFonts w:ascii="Arial" w:cs="Arial" w:eastAsia="Arial" w:hAnsi="Arial"/>
                <w:sz w:val="14"/>
                <w:szCs w:val="14"/>
                <w:b w:val="1"/>
                <w:bCs w:val="1"/>
                <w:color w:val="auto"/>
              </w:rPr>
              <w:t>Matthew Bartus</w:t>
            </w:r>
          </w:p>
        </w:tc>
        <w:tc>
          <w:tcPr>
            <w:tcW w:w="4120" w:type="dxa"/>
            <w:vAlign w:val="bottom"/>
          </w:tcPr>
          <w:p>
            <w:pPr>
              <w:jc w:val="center"/>
              <w:ind w:left="208"/>
              <w:spacing w:after="0"/>
              <w:rPr>
                <w:sz w:val="20"/>
                <w:szCs w:val="20"/>
                <w:color w:val="auto"/>
              </w:rPr>
            </w:pPr>
            <w:r>
              <w:rPr>
                <w:rFonts w:ascii="Arial" w:cs="Arial" w:eastAsia="Arial" w:hAnsi="Arial"/>
                <w:sz w:val="14"/>
                <w:szCs w:val="14"/>
                <w:b w:val="1"/>
                <w:bCs w:val="1"/>
                <w:color w:val="auto"/>
              </w:rPr>
              <w:t>Porter Nolan</w:t>
            </w:r>
          </w:p>
        </w:tc>
        <w:tc>
          <w:tcPr>
            <w:tcW w:w="2820" w:type="dxa"/>
            <w:vAlign w:val="bottom"/>
          </w:tcPr>
          <w:p>
            <w:pPr>
              <w:jc w:val="center"/>
              <w:ind w:left="528"/>
              <w:spacing w:after="0"/>
              <w:rPr>
                <w:sz w:val="20"/>
                <w:szCs w:val="20"/>
                <w:color w:val="auto"/>
              </w:rPr>
            </w:pPr>
            <w:r>
              <w:rPr>
                <w:rFonts w:ascii="Arial" w:cs="Arial" w:eastAsia="Arial" w:hAnsi="Arial"/>
                <w:sz w:val="14"/>
                <w:szCs w:val="14"/>
                <w:b w:val="1"/>
                <w:bCs w:val="1"/>
                <w:color w:val="auto"/>
              </w:rPr>
              <w:t>John C. Ericson</w:t>
            </w:r>
          </w:p>
        </w:tc>
      </w:tr>
      <w:tr>
        <w:trPr>
          <w:trHeight w:val="162"/>
        </w:trPr>
        <w:tc>
          <w:tcPr>
            <w:tcW w:w="2240" w:type="dxa"/>
            <w:vAlign w:val="bottom"/>
          </w:tcPr>
          <w:p>
            <w:pPr>
              <w:jc w:val="center"/>
              <w:ind w:right="788"/>
              <w:spacing w:after="0"/>
              <w:rPr>
                <w:sz w:val="20"/>
                <w:szCs w:val="20"/>
                <w:color w:val="auto"/>
              </w:rPr>
            </w:pPr>
            <w:r>
              <w:rPr>
                <w:rFonts w:ascii="Arial" w:cs="Arial" w:eastAsia="Arial" w:hAnsi="Arial"/>
                <w:sz w:val="14"/>
                <w:szCs w:val="14"/>
                <w:b w:val="1"/>
                <w:bCs w:val="1"/>
                <w:color w:val="auto"/>
              </w:rPr>
              <w:t>Jon C. Avina</w:t>
            </w:r>
          </w:p>
        </w:tc>
        <w:tc>
          <w:tcPr>
            <w:tcW w:w="4120" w:type="dxa"/>
            <w:vAlign w:val="bottom"/>
          </w:tcPr>
          <w:p>
            <w:pPr>
              <w:jc w:val="center"/>
              <w:ind w:left="208"/>
              <w:spacing w:after="0"/>
              <w:rPr>
                <w:sz w:val="20"/>
                <w:szCs w:val="20"/>
                <w:color w:val="auto"/>
              </w:rPr>
            </w:pPr>
            <w:r>
              <w:rPr>
                <w:rFonts w:ascii="Arial" w:cs="Arial" w:eastAsia="Arial" w:hAnsi="Arial"/>
                <w:sz w:val="14"/>
                <w:szCs w:val="14"/>
                <w:b w:val="1"/>
                <w:bCs w:val="1"/>
                <w:color w:val="auto"/>
              </w:rPr>
              <w:t>General Counsel</w:t>
            </w:r>
          </w:p>
        </w:tc>
        <w:tc>
          <w:tcPr>
            <w:tcW w:w="2820" w:type="dxa"/>
            <w:vAlign w:val="bottom"/>
          </w:tcPr>
          <w:p>
            <w:pPr>
              <w:jc w:val="center"/>
              <w:ind w:left="528"/>
              <w:spacing w:after="0"/>
              <w:rPr>
                <w:sz w:val="20"/>
                <w:szCs w:val="20"/>
                <w:color w:val="auto"/>
              </w:rPr>
            </w:pPr>
            <w:r>
              <w:rPr>
                <w:rFonts w:ascii="Arial" w:cs="Arial" w:eastAsia="Arial" w:hAnsi="Arial"/>
                <w:sz w:val="14"/>
                <w:szCs w:val="14"/>
                <w:b w:val="1"/>
                <w:bCs w:val="1"/>
                <w:color w:val="auto"/>
              </w:rPr>
              <w:t>Heidi E. Mayon</w:t>
            </w:r>
          </w:p>
        </w:tc>
      </w:tr>
      <w:tr>
        <w:trPr>
          <w:trHeight w:val="162"/>
        </w:trPr>
        <w:tc>
          <w:tcPr>
            <w:tcW w:w="2240" w:type="dxa"/>
            <w:vAlign w:val="bottom"/>
          </w:tcPr>
          <w:p>
            <w:pPr>
              <w:jc w:val="center"/>
              <w:ind w:right="808"/>
              <w:spacing w:after="0"/>
              <w:rPr>
                <w:sz w:val="20"/>
                <w:szCs w:val="20"/>
                <w:color w:val="auto"/>
              </w:rPr>
            </w:pPr>
            <w:r>
              <w:rPr>
                <w:rFonts w:ascii="Arial" w:cs="Arial" w:eastAsia="Arial" w:hAnsi="Arial"/>
                <w:sz w:val="14"/>
                <w:szCs w:val="14"/>
                <w:b w:val="1"/>
                <w:bCs w:val="1"/>
                <w:color w:val="auto"/>
              </w:rPr>
              <w:t>Jean Park</w:t>
            </w:r>
          </w:p>
        </w:tc>
        <w:tc>
          <w:tcPr>
            <w:tcW w:w="4120" w:type="dxa"/>
            <w:vAlign w:val="bottom"/>
          </w:tcPr>
          <w:p>
            <w:pPr>
              <w:jc w:val="center"/>
              <w:ind w:left="208"/>
              <w:spacing w:after="0"/>
              <w:rPr>
                <w:sz w:val="20"/>
                <w:szCs w:val="20"/>
                <w:color w:val="auto"/>
              </w:rPr>
            </w:pPr>
            <w:r>
              <w:rPr>
                <w:rFonts w:ascii="Arial" w:cs="Arial" w:eastAsia="Arial" w:hAnsi="Arial"/>
                <w:sz w:val="14"/>
                <w:szCs w:val="14"/>
                <w:b w:val="1"/>
                <w:bCs w:val="1"/>
                <w:color w:val="auto"/>
              </w:rPr>
              <w:t>Ethos Technologies Inc.</w:t>
            </w:r>
          </w:p>
        </w:tc>
        <w:tc>
          <w:tcPr>
            <w:tcW w:w="2820" w:type="dxa"/>
            <w:vAlign w:val="bottom"/>
          </w:tcPr>
          <w:p>
            <w:pPr>
              <w:jc w:val="center"/>
              <w:ind w:left="528"/>
              <w:spacing w:after="0"/>
              <w:rPr>
                <w:sz w:val="20"/>
                <w:szCs w:val="20"/>
                <w:color w:val="auto"/>
              </w:rPr>
            </w:pPr>
            <w:r>
              <w:rPr>
                <w:rFonts w:ascii="Arial" w:cs="Arial" w:eastAsia="Arial" w:hAnsi="Arial"/>
                <w:sz w:val="14"/>
                <w:szCs w:val="14"/>
                <w:b w:val="1"/>
                <w:bCs w:val="1"/>
                <w:color w:val="auto"/>
              </w:rPr>
              <w:t>Simpson Thacher &amp; Bartlett LLP</w:t>
            </w:r>
          </w:p>
        </w:tc>
      </w:tr>
      <w:tr>
        <w:trPr>
          <w:trHeight w:val="162"/>
        </w:trPr>
        <w:tc>
          <w:tcPr>
            <w:tcW w:w="2240" w:type="dxa"/>
            <w:vAlign w:val="bottom"/>
          </w:tcPr>
          <w:p>
            <w:pPr>
              <w:jc w:val="center"/>
              <w:ind w:right="788"/>
              <w:spacing w:after="0"/>
              <w:rPr>
                <w:sz w:val="20"/>
                <w:szCs w:val="20"/>
                <w:color w:val="auto"/>
              </w:rPr>
            </w:pPr>
            <w:r>
              <w:rPr>
                <w:rFonts w:ascii="Arial" w:cs="Arial" w:eastAsia="Arial" w:hAnsi="Arial"/>
                <w:sz w:val="14"/>
                <w:szCs w:val="14"/>
                <w:b w:val="1"/>
                <w:bCs w:val="1"/>
                <w:color w:val="auto"/>
              </w:rPr>
              <w:t>Milson C. Yu</w:t>
            </w:r>
          </w:p>
        </w:tc>
        <w:tc>
          <w:tcPr>
            <w:tcW w:w="4120" w:type="dxa"/>
            <w:vAlign w:val="bottom"/>
          </w:tcPr>
          <w:p>
            <w:pPr>
              <w:jc w:val="center"/>
              <w:ind w:left="208"/>
              <w:spacing w:after="0"/>
              <w:rPr>
                <w:sz w:val="20"/>
                <w:szCs w:val="20"/>
                <w:color w:val="auto"/>
              </w:rPr>
            </w:pPr>
            <w:r>
              <w:rPr>
                <w:rFonts w:ascii="Arial" w:cs="Arial" w:eastAsia="Arial" w:hAnsi="Arial"/>
                <w:sz w:val="14"/>
                <w:szCs w:val="14"/>
                <w:b w:val="1"/>
                <w:bCs w:val="1"/>
                <w:color w:val="auto"/>
              </w:rPr>
              <w:t>90 New Montgomery Street, Suite 1500</w:t>
            </w:r>
          </w:p>
        </w:tc>
        <w:tc>
          <w:tcPr>
            <w:tcW w:w="2820" w:type="dxa"/>
            <w:vAlign w:val="bottom"/>
          </w:tcPr>
          <w:p>
            <w:pPr>
              <w:jc w:val="center"/>
              <w:ind w:left="528"/>
              <w:spacing w:after="0"/>
              <w:rPr>
                <w:sz w:val="20"/>
                <w:szCs w:val="20"/>
                <w:color w:val="auto"/>
              </w:rPr>
            </w:pPr>
            <w:r>
              <w:rPr>
                <w:rFonts w:ascii="Arial" w:cs="Arial" w:eastAsia="Arial" w:hAnsi="Arial"/>
                <w:sz w:val="14"/>
                <w:szCs w:val="14"/>
                <w:b w:val="1"/>
                <w:bCs w:val="1"/>
                <w:color w:val="auto"/>
              </w:rPr>
              <w:t>2475 Hanover Street</w:t>
            </w:r>
          </w:p>
        </w:tc>
      </w:tr>
      <w:tr>
        <w:trPr>
          <w:trHeight w:val="162"/>
        </w:trPr>
        <w:tc>
          <w:tcPr>
            <w:tcW w:w="2240" w:type="dxa"/>
            <w:vAlign w:val="bottom"/>
          </w:tcPr>
          <w:p>
            <w:pPr>
              <w:jc w:val="center"/>
              <w:ind w:right="788"/>
              <w:spacing w:after="0"/>
              <w:rPr>
                <w:sz w:val="20"/>
                <w:szCs w:val="20"/>
                <w:color w:val="auto"/>
              </w:rPr>
            </w:pPr>
            <w:r>
              <w:rPr>
                <w:rFonts w:ascii="Arial" w:cs="Arial" w:eastAsia="Arial" w:hAnsi="Arial"/>
                <w:sz w:val="14"/>
                <w:szCs w:val="14"/>
                <w:b w:val="1"/>
                <w:bCs w:val="1"/>
                <w:color w:val="auto"/>
              </w:rPr>
              <w:t>Cooley LLP</w:t>
            </w:r>
          </w:p>
        </w:tc>
        <w:tc>
          <w:tcPr>
            <w:tcW w:w="4120" w:type="dxa"/>
            <w:vAlign w:val="bottom"/>
          </w:tcPr>
          <w:p>
            <w:pPr>
              <w:jc w:val="center"/>
              <w:ind w:left="208"/>
              <w:spacing w:after="0"/>
              <w:rPr>
                <w:sz w:val="20"/>
                <w:szCs w:val="20"/>
                <w:color w:val="auto"/>
              </w:rPr>
            </w:pPr>
            <w:r>
              <w:rPr>
                <w:rFonts w:ascii="Arial" w:cs="Arial" w:eastAsia="Arial" w:hAnsi="Arial"/>
                <w:sz w:val="14"/>
                <w:szCs w:val="14"/>
                <w:b w:val="1"/>
                <w:bCs w:val="1"/>
                <w:color w:val="auto"/>
              </w:rPr>
              <w:t>San Francisco, CA 94105</w:t>
            </w:r>
          </w:p>
        </w:tc>
        <w:tc>
          <w:tcPr>
            <w:tcW w:w="2820" w:type="dxa"/>
            <w:vAlign w:val="bottom"/>
          </w:tcPr>
          <w:p>
            <w:pPr>
              <w:jc w:val="center"/>
              <w:ind w:left="528"/>
              <w:spacing w:after="0"/>
              <w:rPr>
                <w:sz w:val="20"/>
                <w:szCs w:val="20"/>
                <w:color w:val="auto"/>
              </w:rPr>
            </w:pPr>
            <w:r>
              <w:rPr>
                <w:rFonts w:ascii="Arial" w:cs="Arial" w:eastAsia="Arial" w:hAnsi="Arial"/>
                <w:sz w:val="14"/>
                <w:szCs w:val="14"/>
                <w:b w:val="1"/>
                <w:bCs w:val="1"/>
                <w:color w:val="auto"/>
              </w:rPr>
              <w:t>Palo Alto, CA 94304</w:t>
            </w:r>
          </w:p>
        </w:tc>
      </w:tr>
      <w:tr>
        <w:trPr>
          <w:trHeight w:val="162"/>
        </w:trPr>
        <w:tc>
          <w:tcPr>
            <w:tcW w:w="2240" w:type="dxa"/>
            <w:vAlign w:val="bottom"/>
          </w:tcPr>
          <w:p>
            <w:pPr>
              <w:jc w:val="center"/>
              <w:ind w:right="788"/>
              <w:spacing w:after="0"/>
              <w:rPr>
                <w:sz w:val="20"/>
                <w:szCs w:val="20"/>
                <w:color w:val="auto"/>
              </w:rPr>
            </w:pPr>
            <w:r>
              <w:rPr>
                <w:rFonts w:ascii="Arial" w:cs="Arial" w:eastAsia="Arial" w:hAnsi="Arial"/>
                <w:sz w:val="14"/>
                <w:szCs w:val="14"/>
                <w:b w:val="1"/>
                <w:bCs w:val="1"/>
                <w:color w:val="auto"/>
              </w:rPr>
              <w:t>3175 Hanover Street</w:t>
            </w:r>
          </w:p>
        </w:tc>
        <w:tc>
          <w:tcPr>
            <w:tcW w:w="4120" w:type="dxa"/>
            <w:vAlign w:val="bottom"/>
          </w:tcPr>
          <w:p>
            <w:pPr>
              <w:jc w:val="center"/>
              <w:ind w:left="208"/>
              <w:spacing w:after="0"/>
              <w:rPr>
                <w:sz w:val="20"/>
                <w:szCs w:val="20"/>
                <w:color w:val="auto"/>
              </w:rPr>
            </w:pPr>
            <w:r>
              <w:rPr>
                <w:rFonts w:ascii="Arial" w:cs="Arial" w:eastAsia="Arial" w:hAnsi="Arial"/>
                <w:sz w:val="14"/>
                <w:szCs w:val="14"/>
                <w:b w:val="1"/>
                <w:bCs w:val="1"/>
                <w:color w:val="auto"/>
              </w:rPr>
              <w:t>(415) 915-0665</w:t>
            </w:r>
          </w:p>
        </w:tc>
        <w:tc>
          <w:tcPr>
            <w:tcW w:w="2820" w:type="dxa"/>
            <w:vAlign w:val="bottom"/>
          </w:tcPr>
          <w:p>
            <w:pPr>
              <w:jc w:val="center"/>
              <w:ind w:left="528"/>
              <w:spacing w:after="0"/>
              <w:rPr>
                <w:sz w:val="20"/>
                <w:szCs w:val="20"/>
                <w:color w:val="auto"/>
              </w:rPr>
            </w:pPr>
            <w:r>
              <w:rPr>
                <w:rFonts w:ascii="Arial" w:cs="Arial" w:eastAsia="Arial" w:hAnsi="Arial"/>
                <w:sz w:val="14"/>
                <w:szCs w:val="14"/>
                <w:b w:val="1"/>
                <w:bCs w:val="1"/>
                <w:color w:val="auto"/>
              </w:rPr>
              <w:t>(650) 251-5000</w:t>
            </w:r>
          </w:p>
        </w:tc>
      </w:tr>
      <w:tr>
        <w:trPr>
          <w:trHeight w:val="162"/>
        </w:trPr>
        <w:tc>
          <w:tcPr>
            <w:tcW w:w="2240" w:type="dxa"/>
            <w:vAlign w:val="bottom"/>
          </w:tcPr>
          <w:p>
            <w:pPr>
              <w:jc w:val="center"/>
              <w:ind w:right="788"/>
              <w:spacing w:after="0"/>
              <w:rPr>
                <w:sz w:val="20"/>
                <w:szCs w:val="20"/>
                <w:color w:val="auto"/>
              </w:rPr>
            </w:pPr>
            <w:r>
              <w:rPr>
                <w:rFonts w:ascii="Arial" w:cs="Arial" w:eastAsia="Arial" w:hAnsi="Arial"/>
                <w:sz w:val="14"/>
                <w:szCs w:val="14"/>
                <w:b w:val="1"/>
                <w:bCs w:val="1"/>
                <w:color w:val="auto"/>
              </w:rPr>
              <w:t>Palo Alto, CA 94304</w:t>
            </w:r>
          </w:p>
        </w:tc>
        <w:tc>
          <w:tcPr>
            <w:tcW w:w="412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96"/>
        </w:trPr>
        <w:tc>
          <w:tcPr>
            <w:tcW w:w="2240" w:type="dxa"/>
            <w:vAlign w:val="bottom"/>
          </w:tcPr>
          <w:p>
            <w:pPr>
              <w:jc w:val="center"/>
              <w:ind w:right="788"/>
              <w:spacing w:after="0"/>
              <w:rPr>
                <w:sz w:val="20"/>
                <w:szCs w:val="20"/>
                <w:color w:val="auto"/>
              </w:rPr>
            </w:pPr>
            <w:r>
              <w:rPr>
                <w:rFonts w:ascii="Arial" w:cs="Arial" w:eastAsia="Arial" w:hAnsi="Arial"/>
                <w:sz w:val="14"/>
                <w:szCs w:val="14"/>
                <w:b w:val="1"/>
                <w:bCs w:val="1"/>
                <w:color w:val="auto"/>
              </w:rPr>
              <w:t>(650) 843-5000</w:t>
            </w:r>
          </w:p>
        </w:tc>
        <w:tc>
          <w:tcPr>
            <w:tcW w:w="4120" w:type="dxa"/>
            <w:vAlign w:val="bottom"/>
          </w:tcPr>
          <w:p>
            <w:pPr>
              <w:spacing w:after="0"/>
              <w:rPr>
                <w:sz w:val="17"/>
                <w:szCs w:val="17"/>
                <w:color w:val="auto"/>
              </w:rPr>
            </w:pPr>
          </w:p>
        </w:tc>
        <w:tc>
          <w:tcPr>
            <w:tcW w:w="282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121285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3" w:lineRule="exact"/>
        <w:rPr>
          <w:sz w:val="24"/>
          <w:szCs w:val="24"/>
          <w:color w:val="auto"/>
        </w:rPr>
      </w:pPr>
    </w:p>
    <w:p>
      <w:pPr>
        <w:ind w:left="66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this Registration Statement is declared effective.</w:t>
      </w:r>
    </w:p>
    <w:p>
      <w:pPr>
        <w:spacing w:after="0" w:line="69" w:lineRule="exact"/>
        <w:rPr>
          <w:sz w:val="24"/>
          <w:szCs w:val="24"/>
          <w:color w:val="auto"/>
        </w:rPr>
      </w:pPr>
    </w:p>
    <w:p>
      <w:pPr>
        <w:ind w:left="120" w:firstLine="551"/>
        <w:spacing w:after="0" w:line="18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7" w:lineRule="exact"/>
        <w:rPr>
          <w:sz w:val="24"/>
          <w:szCs w:val="24"/>
          <w:color w:val="auto"/>
        </w:rPr>
      </w:pPr>
    </w:p>
    <w:p>
      <w:pPr>
        <w:ind w:left="120" w:firstLine="551"/>
        <w:spacing w:after="0" w:line="18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3" w:lineRule="exact"/>
        <w:rPr>
          <w:sz w:val="24"/>
          <w:szCs w:val="24"/>
          <w:color w:val="auto"/>
        </w:rPr>
      </w:pPr>
    </w:p>
    <w:p>
      <w:pPr>
        <w:ind w:left="120" w:right="340" w:firstLine="551"/>
        <w:spacing w:after="0" w:line="18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3" w:lineRule="exact"/>
        <w:rPr>
          <w:sz w:val="24"/>
          <w:szCs w:val="24"/>
          <w:color w:val="auto"/>
        </w:rPr>
      </w:pPr>
    </w:p>
    <w:p>
      <w:pPr>
        <w:ind w:left="120" w:right="340" w:firstLine="551"/>
        <w:spacing w:after="0" w:line="18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3" w:lineRule="exact"/>
        <w:rPr>
          <w:sz w:val="24"/>
          <w:szCs w:val="24"/>
          <w:color w:val="auto"/>
        </w:rPr>
      </w:pPr>
    </w:p>
    <w:p>
      <w:pPr>
        <w:ind w:left="120" w:right="120" w:firstLine="551"/>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120" w:type="dxa"/>
        <w:tblCellMar>
          <w:top w:w="0" w:type="dxa"/>
          <w:left w:w="0" w:type="dxa"/>
          <w:bottom w:w="0" w:type="dxa"/>
          <w:right w:w="0" w:type="dxa"/>
        </w:tblCellMar>
      </w:tblPr>
      <w:tr>
        <w:trPr>
          <w:trHeight w:val="229"/>
        </w:trPr>
        <w:tc>
          <w:tcPr>
            <w:tcW w:w="17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700" w:type="dxa"/>
            <w:vAlign w:val="bottom"/>
          </w:tcPr>
          <w:p>
            <w:pPr>
              <w:spacing w:after="0"/>
              <w:rPr>
                <w:sz w:val="20"/>
                <w:szCs w:val="20"/>
                <w:color w:val="auto"/>
              </w:rPr>
            </w:pPr>
            <w:r>
              <w:rPr>
                <w:rFonts w:ascii="Arial" w:cs="Arial" w:eastAsia="Arial" w:hAnsi="Arial"/>
                <w:sz w:val="14"/>
                <w:szCs w:val="14"/>
                <w:color w:val="auto"/>
              </w:rPr>
              <w:t>Non-accelerated filer</w:t>
            </w:r>
          </w:p>
        </w:tc>
        <w:tc>
          <w:tcPr>
            <w:tcW w:w="35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7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5180" w:type="dxa"/>
            <w:vAlign w:val="bottom"/>
          </w:tcPr>
          <w:p>
            <w:pPr>
              <w:ind w:left="3120"/>
              <w:spacing w:after="0"/>
              <w:rPr>
                <w:sz w:val="20"/>
                <w:szCs w:val="20"/>
                <w:color w:val="auto"/>
              </w:rPr>
            </w:pPr>
            <w:r>
              <w:rPr>
                <w:rFonts w:ascii="Arial" w:cs="Arial" w:eastAsia="Arial" w:hAnsi="Arial"/>
                <w:sz w:val="14"/>
                <w:szCs w:val="14"/>
                <w:color w:val="auto"/>
              </w:rPr>
              <w:t>Emerging growth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6" w:lineRule="exact"/>
        <w:rPr>
          <w:sz w:val="24"/>
          <w:szCs w:val="24"/>
          <w:color w:val="auto"/>
        </w:rPr>
      </w:pPr>
    </w:p>
    <w:p>
      <w:pPr>
        <w:jc w:val="both"/>
        <w:ind w:left="120" w:right="60" w:firstLine="551"/>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33" w:lineRule="exact"/>
        <w:rPr>
          <w:sz w:val="24"/>
          <w:szCs w:val="24"/>
          <w:color w:val="auto"/>
        </w:rPr>
      </w:pPr>
    </w:p>
    <w:p>
      <w:pPr>
        <w:ind w:left="120" w:right="120" w:firstLine="551"/>
        <w:spacing w:after="0" w:line="251" w:lineRule="auto"/>
        <w:rPr>
          <w:sz w:val="20"/>
          <w:szCs w:val="20"/>
          <w:color w:val="auto"/>
        </w:rPr>
      </w:pPr>
      <w:r>
        <w:rPr>
          <w:rFonts w:ascii="Arial" w:cs="Arial" w:eastAsia="Arial" w:hAnsi="Arial"/>
          <w:sz w:val="14"/>
          <w:szCs w:val="14"/>
          <w:b w:val="1"/>
          <w:bCs w:val="1"/>
          <w:color w:val="auto"/>
        </w:rPr>
        <w:t xml:space="preserve">The Registrant hereby amends this Registration Statement on such date or dates as may be necessary to delay its effective date until the Registrant shall file a further amendment </w:t>
      </w:r>
      <w:r>
        <w:rPr>
          <w:rFonts w:ascii="Arial" w:cs="Arial" w:eastAsia="Arial" w:hAnsi="Arial"/>
          <w:sz w:val="14"/>
          <w:szCs w:val="14"/>
          <w:color w:val="auto"/>
        </w:rPr>
        <w:t>which</w:t>
      </w:r>
      <w:r>
        <w:rPr>
          <w:rFonts w:ascii="Arial" w:cs="Arial" w:eastAsia="Arial" w:hAnsi="Arial"/>
          <w:sz w:val="14"/>
          <w:szCs w:val="14"/>
          <w:b w:val="1"/>
          <w:bCs w:val="1"/>
          <w:color w:val="auto"/>
        </w:rPr>
        <w:t xml:space="preserve"> specifically states that this Registration Statement shall thereafter become effective in accordance with Section 8(a) of the</w:t>
      </w:r>
    </w:p>
    <w:p>
      <w:pPr>
        <w:spacing w:after="0" w:line="1" w:lineRule="exact"/>
        <w:rPr>
          <w:sz w:val="24"/>
          <w:szCs w:val="24"/>
          <w:color w:val="auto"/>
        </w:rPr>
      </w:pPr>
    </w:p>
    <w:p>
      <w:pPr>
        <w:ind w:left="120" w:right="320"/>
        <w:spacing w:after="0" w:line="273" w:lineRule="auto"/>
        <w:rPr>
          <w:sz w:val="20"/>
          <w:szCs w:val="20"/>
          <w:color w:val="auto"/>
        </w:rPr>
      </w:pPr>
      <w:r>
        <w:rPr>
          <w:rFonts w:ascii="Arial" w:cs="Arial" w:eastAsia="Arial" w:hAnsi="Arial"/>
          <w:sz w:val="14"/>
          <w:szCs w:val="14"/>
          <w:b w:val="1"/>
          <w:bCs w:val="1"/>
          <w:color w:val="auto"/>
        </w:rPr>
        <w:t>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29845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73025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225"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0440"/>
          </w:cols>
          <w:pgMar w:left="320" w:top="455" w:right="1139" w:bottom="1440" w:gutter="0" w:footer="0" w:header="0"/>
        </w:sectPr>
      </w:pPr>
    </w:p>
    <w:p>
      <w:pPr>
        <w:spacing w:after="0" w:line="200" w:lineRule="exact"/>
        <w:rPr>
          <w:sz w:val="20"/>
          <w:szCs w:val="20"/>
          <w:color w:val="auto"/>
        </w:rPr>
      </w:pP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733"/>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color w:val="DE1A1E"/>
                <w:w w:val="99"/>
              </w:rPr>
              <w:t>until the registration statement filed</w:t>
            </w:r>
          </w:p>
        </w:tc>
        <w:tc>
          <w:tcPr>
            <w:tcW w:w="220" w:type="dxa"/>
            <w:vAlign w:val="bottom"/>
            <w:textDirection w:val="btLr"/>
          </w:tcPr>
          <w:p>
            <w:pPr>
              <w:ind w:left="13"/>
              <w:spacing w:after="0"/>
              <w:rPr>
                <w:sz w:val="20"/>
                <w:szCs w:val="20"/>
                <w:color w:val="auto"/>
              </w:rPr>
            </w:pPr>
            <w:r>
              <w:rPr>
                <w:rFonts w:ascii="Times New Roman" w:cs="Times New Roman" w:eastAsia="Times New Roman" w:hAnsi="Times New Roman"/>
                <w:sz w:val="18"/>
                <w:szCs w:val="18"/>
                <w:color w:val="DE1A1E"/>
                <w:w w:val="99"/>
              </w:rPr>
              <w:t>it seek an offer to buy these securities</w:t>
            </w:r>
          </w:p>
        </w:tc>
        <w:tc>
          <w:tcPr>
            <w:tcW w:w="200" w:type="dxa"/>
            <w:vAlign w:val="bottom"/>
          </w:tcPr>
          <w:p>
            <w:pPr>
              <w:spacing w:after="0"/>
              <w:rPr>
                <w:sz w:val="24"/>
                <w:szCs w:val="24"/>
                <w:color w:val="auto"/>
              </w:rPr>
            </w:pPr>
          </w:p>
        </w:tc>
      </w:tr>
      <w:tr>
        <w:trPr>
          <w:trHeight w:val="8504"/>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color w:val="DE1A1E"/>
                <w:w w:val="99"/>
              </w:rPr>
              <w:t>The information in this preliminary prospectus is not complete and may be changed. These securities may not be sold</w:t>
            </w:r>
          </w:p>
        </w:tc>
        <w:tc>
          <w:tcPr>
            <w:tcW w:w="220" w:type="dxa"/>
            <w:vAlign w:val="bottom"/>
            <w:textDirection w:val="btLr"/>
          </w:tcPr>
          <w:p>
            <w:pPr>
              <w:ind w:left="13"/>
              <w:spacing w:after="0"/>
              <w:rPr>
                <w:sz w:val="20"/>
                <w:szCs w:val="20"/>
                <w:color w:val="auto"/>
              </w:rPr>
            </w:pPr>
            <w:r>
              <w:rPr>
                <w:rFonts w:ascii="Times New Roman" w:cs="Times New Roman" w:eastAsia="Times New Roman" w:hAnsi="Times New Roman"/>
                <w:sz w:val="18"/>
                <w:szCs w:val="18"/>
                <w:color w:val="DE1A1E"/>
                <w:w w:val="99"/>
              </w:rPr>
              <w:t>with the Securities and Exchange Commission is effective. This preliminary prospectus is not an offer to sell nor does</w:t>
            </w:r>
          </w:p>
        </w:tc>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color w:val="DE1A1E"/>
                <w:w w:val="99"/>
              </w:rPr>
              <w:t>in any jurisdiction where the offer or sale is not 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DE1A1E"/>
        </w:rPr>
        <w:t>Subject to Completion. Dated    , 2026.</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2428875</wp:posOffset>
            </wp:positionH>
            <wp:positionV relativeFrom="paragraph">
              <wp:posOffset>147955</wp:posOffset>
            </wp:positionV>
            <wp:extent cx="1268730" cy="12687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6873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227330</wp:posOffset>
            </wp:positionV>
            <wp:extent cx="12858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right="180" w:firstLine="482"/>
        <w:spacing w:after="0" w:line="263" w:lineRule="auto"/>
        <w:rPr>
          <w:sz w:val="20"/>
          <w:szCs w:val="20"/>
          <w:color w:val="auto"/>
        </w:rPr>
      </w:pPr>
      <w:r>
        <w:rPr>
          <w:rFonts w:ascii="Arial" w:cs="Arial" w:eastAsia="Arial" w:hAnsi="Arial"/>
          <w:sz w:val="14"/>
          <w:szCs w:val="14"/>
          <w:color w:val="auto"/>
        </w:rPr>
        <w:t>This is an initial public offering of shares of Class A common stock of Ethos Technologies Inc. We are offering         shares of Class A common stock, and the selling stockholders identified in this prospectus are offering an additional         shares of Class A common stock. We will not receive any proceeds from the sale of shares of Class A common stock by the selling stockholders.</w:t>
      </w:r>
    </w:p>
    <w:p>
      <w:pPr>
        <w:spacing w:after="0" w:line="92" w:lineRule="exact"/>
        <w:rPr>
          <w:sz w:val="20"/>
          <w:szCs w:val="20"/>
          <w:color w:val="auto"/>
        </w:rPr>
      </w:pPr>
    </w:p>
    <w:p>
      <w:pPr>
        <w:ind w:right="100" w:firstLine="482"/>
        <w:spacing w:after="0" w:line="263" w:lineRule="auto"/>
        <w:rPr>
          <w:sz w:val="20"/>
          <w:szCs w:val="20"/>
          <w:color w:val="auto"/>
        </w:rPr>
      </w:pPr>
      <w:r>
        <w:rPr>
          <w:rFonts w:ascii="Arial" w:cs="Arial" w:eastAsia="Arial" w:hAnsi="Arial"/>
          <w:sz w:val="14"/>
          <w:szCs w:val="14"/>
          <w:color w:val="auto"/>
        </w:rPr>
        <w:t>Prior to this offering, there has been no public market for our Class A common stock. It is currently estimated that the initial public offering price per share will be between $        and $        . We have applied to list our Class A common stock on the Nasdaq Global Select Market, or Nasdaq, under the symbol “LIFE.”</w:t>
      </w:r>
    </w:p>
    <w:p>
      <w:pPr>
        <w:spacing w:after="0" w:line="105" w:lineRule="exact"/>
        <w:rPr>
          <w:sz w:val="20"/>
          <w:szCs w:val="20"/>
          <w:color w:val="auto"/>
        </w:rPr>
      </w:pPr>
    </w:p>
    <w:p>
      <w:pPr>
        <w:ind w:right="80" w:firstLine="482"/>
        <w:spacing w:after="0" w:line="246" w:lineRule="auto"/>
        <w:rPr>
          <w:sz w:val="20"/>
          <w:szCs w:val="20"/>
          <w:color w:val="auto"/>
        </w:rPr>
      </w:pPr>
      <w:r>
        <w:rPr>
          <w:rFonts w:ascii="Arial" w:cs="Arial" w:eastAsia="Arial" w:hAnsi="Arial"/>
          <w:sz w:val="14"/>
          <w:szCs w:val="14"/>
          <w:color w:val="auto"/>
        </w:rPr>
        <w:t>We have two classes of authorized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 Class B common stock is entitled to 20 votes and is convertible at any time into one share of Class A common stock. Upon the completion of this offering, Peter Colis and Lingke Wang, or our co-founders, who are both current executive officers and directors, and their respective affiliates will represent approximately       % of the voting power of our outstanding capital stock, which voting power may increase over time as our co-founders exercise or vest in equity awards outstanding at the time of the completion of this offering. Entities affiliated with Accel and Sequoia Capital, our two largest stockholders, will represent       % of the voting power of our outstanding capital stock. As a result, each of our co-founders, Accel and Sequoia Capital will be able to significantly influence or control any action requiring the approval of our stockholders, including the election of our board of directors, the adoption of amendments to our amended and restated certificate of incorporation and bylaws and the approval of any merger, consolidation, sale of all or substantially all of our assets or other major corporate transaction.</w:t>
      </w:r>
    </w:p>
    <w:p>
      <w:pPr>
        <w:spacing w:after="0" w:line="118" w:lineRule="exact"/>
        <w:rPr>
          <w:sz w:val="20"/>
          <w:szCs w:val="20"/>
          <w:color w:val="auto"/>
        </w:rPr>
      </w:pPr>
    </w:p>
    <w:p>
      <w:pPr>
        <w:jc w:val="both"/>
        <w:ind w:right="460" w:firstLine="482"/>
        <w:spacing w:after="0" w:line="263" w:lineRule="auto"/>
        <w:rPr>
          <w:sz w:val="20"/>
          <w:szCs w:val="20"/>
          <w:color w:val="auto"/>
        </w:rPr>
      </w:pPr>
      <w:r>
        <w:rPr>
          <w:rFonts w:ascii="Arial" w:cs="Arial" w:eastAsia="Arial" w:hAnsi="Arial"/>
          <w:sz w:val="14"/>
          <w:szCs w:val="14"/>
          <w:color w:val="auto"/>
        </w:rPr>
        <w:t>We are an “emerging growth company” as defined under the federal securities laws, and as such, we have elected to comply with certain reduced reporting requirements for this prospectus and may elect to do so in future filings. See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140970</wp:posOffset>
            </wp:positionV>
            <wp:extent cx="12858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57" w:lineRule="exact"/>
        <w:rPr>
          <w:sz w:val="20"/>
          <w:szCs w:val="20"/>
          <w:color w:val="auto"/>
        </w:rPr>
      </w:pPr>
    </w:p>
    <w:p>
      <w:pPr>
        <w:jc w:val="both"/>
        <w:ind w:right="460" w:firstLine="482"/>
        <w:spacing w:after="0" w:line="282" w:lineRule="auto"/>
        <w:rPr>
          <w:sz w:val="20"/>
          <w:szCs w:val="20"/>
          <w:color w:val="auto"/>
        </w:rPr>
      </w:pPr>
      <w:r>
        <w:rPr>
          <w:rFonts w:ascii="Arial" w:cs="Arial" w:eastAsia="Arial" w:hAnsi="Arial"/>
          <w:sz w:val="14"/>
          <w:szCs w:val="14"/>
          <w:i w:val="1"/>
          <w:iCs w:val="1"/>
          <w:color w:val="auto"/>
        </w:rPr>
        <w:t>See the section titled “</w:t>
      </w:r>
      <w:r>
        <w:rPr>
          <w:rFonts w:ascii="Arial" w:cs="Arial" w:eastAsia="Arial" w:hAnsi="Arial"/>
          <w:sz w:val="14"/>
          <w:szCs w:val="14"/>
          <w:i w:val="1"/>
          <w:iCs w:val="1"/>
          <w:u w:val="single" w:color="auto"/>
          <w:color w:val="0000EE"/>
        </w:rPr>
        <w:t>Risk Factors</w:t>
      </w:r>
      <w:r>
        <w:rPr>
          <w:rFonts w:ascii="Arial" w:cs="Arial" w:eastAsia="Arial" w:hAnsi="Arial"/>
          <w:sz w:val="14"/>
          <w:szCs w:val="14"/>
          <w:i w:val="1"/>
          <w:iCs w:val="1"/>
          <w:color w:val="auto"/>
        </w:rPr>
        <w:t>” beginning on page 24 to read about factors you should consider before buying shares of our Class A common stock.</w:t>
      </w:r>
    </w:p>
    <w:p>
      <w:pPr>
        <w:spacing w:after="0" w:line="79" w:lineRule="exact"/>
        <w:rPr>
          <w:sz w:val="20"/>
          <w:szCs w:val="20"/>
          <w:color w:val="auto"/>
        </w:rPr>
      </w:pPr>
    </w:p>
    <w:p>
      <w:pPr>
        <w:ind w:right="140" w:firstLine="482"/>
        <w:spacing w:after="0" w:line="294" w:lineRule="auto"/>
        <w:rPr>
          <w:sz w:val="20"/>
          <w:szCs w:val="20"/>
          <w:color w:val="auto"/>
        </w:rPr>
      </w:pPr>
      <w:r>
        <w:rPr>
          <w:rFonts w:ascii="Arial" w:cs="Arial" w:eastAsia="Arial" w:hAnsi="Arial"/>
          <w:sz w:val="14"/>
          <w:szCs w:val="14"/>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132715</wp:posOffset>
            </wp:positionV>
            <wp:extent cx="12858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60" w:type="dxa"/>
            <w:vAlign w:val="bottom"/>
            <w:gridSpan w:val="5"/>
          </w:tcPr>
          <w:p>
            <w:pPr>
              <w:ind w:left="20"/>
              <w:spacing w:after="0"/>
              <w:rPr>
                <w:sz w:val="20"/>
                <w:szCs w:val="20"/>
                <w:color w:val="auto"/>
              </w:rPr>
            </w:pPr>
            <w:r>
              <w:rPr>
                <w:rFonts w:ascii="Arial" w:cs="Arial" w:eastAsia="Arial" w:hAnsi="Arial"/>
                <w:sz w:val="14"/>
                <w:szCs w:val="14"/>
                <w:color w:val="auto"/>
              </w:rPr>
              <w:t>PER SHARE</w:t>
            </w:r>
          </w:p>
        </w:tc>
        <w:tc>
          <w:tcPr>
            <w:tcW w:w="220" w:type="dxa"/>
            <w:vAlign w:val="bottom"/>
          </w:tcPr>
          <w:p>
            <w:pPr>
              <w:spacing w:after="0"/>
              <w:rPr>
                <w:sz w:val="14"/>
                <w:szCs w:val="14"/>
                <w:color w:val="auto"/>
              </w:rPr>
            </w:pPr>
          </w:p>
        </w:tc>
        <w:tc>
          <w:tcPr>
            <w:tcW w:w="600" w:type="dxa"/>
            <w:vAlign w:val="bottom"/>
            <w:gridSpan w:val="4"/>
          </w:tcPr>
          <w:p>
            <w:pPr>
              <w:ind w:left="60"/>
              <w:spacing w:after="0"/>
              <w:rPr>
                <w:sz w:val="20"/>
                <w:szCs w:val="20"/>
                <w:color w:val="auto"/>
              </w:rPr>
            </w:pPr>
            <w:r>
              <w:rPr>
                <w:rFonts w:ascii="Arial" w:cs="Arial" w:eastAsia="Arial" w:hAnsi="Arial"/>
                <w:sz w:val="14"/>
                <w:szCs w:val="14"/>
                <w:color w:val="auto"/>
              </w:rPr>
              <w:t>TOTAL</w:t>
            </w:r>
          </w:p>
        </w:tc>
      </w:tr>
      <w:tr>
        <w:trPr>
          <w:trHeight w:val="155"/>
        </w:trPr>
        <w:tc>
          <w:tcPr>
            <w:tcW w:w="57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Initial public offering price</w:t>
            </w:r>
          </w:p>
        </w:tc>
        <w:tc>
          <w:tcPr>
            <w:tcW w:w="2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 xml:space="preserve">$ </w:t>
            </w: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8"/>
                <w:szCs w:val="8"/>
                <w:color w:val="auto"/>
                <w:w w:val="74"/>
              </w:rPr>
              <w:t> </w:t>
            </w:r>
          </w:p>
        </w:tc>
        <w:tc>
          <w:tcPr>
            <w:tcW w:w="240" w:type="dxa"/>
            <w:vAlign w:val="bottom"/>
            <w:tcBorders>
              <w:top w:val="single" w:sz="8" w:color="auto"/>
            </w:tcBorders>
            <w:shd w:val="clear" w:color="auto" w:fill="CCEEFF"/>
          </w:tcPr>
          <w:p>
            <w:pPr>
              <w:ind w:left="60"/>
              <w:spacing w:after="0" w:line="155" w:lineRule="exact"/>
              <w:rPr>
                <w:sz w:val="20"/>
                <w:szCs w:val="20"/>
                <w:color w:val="auto"/>
              </w:rPr>
            </w:pPr>
            <w:r>
              <w:rPr>
                <w:rFonts w:ascii="Arial" w:cs="Arial" w:eastAsia="Arial" w:hAnsi="Arial"/>
                <w:sz w:val="14"/>
                <w:szCs w:val="14"/>
                <w:color w:val="auto"/>
              </w:rPr>
              <w:t> </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 xml:space="preserve">$ </w:t>
            </w:r>
          </w:p>
        </w:tc>
        <w:tc>
          <w:tcPr>
            <w:tcW w:w="1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8"/>
                <w:szCs w:val="8"/>
                <w:color w:val="auto"/>
                <w:w w:val="74"/>
              </w:rPr>
              <w:t> </w:t>
            </w:r>
          </w:p>
        </w:tc>
        <w:tc>
          <w:tcPr>
            <w:tcW w:w="240" w:type="dxa"/>
            <w:vAlign w:val="bottom"/>
            <w:tcBorders>
              <w:top w:val="single" w:sz="8" w:color="auto"/>
            </w:tcBorders>
            <w:shd w:val="clear" w:color="auto" w:fill="CCEEFF"/>
          </w:tcPr>
          <w:p>
            <w:pPr>
              <w:ind w:left="60"/>
              <w:spacing w:after="0" w:line="155" w:lineRule="exact"/>
              <w:rPr>
                <w:sz w:val="20"/>
                <w:szCs w:val="20"/>
                <w:color w:val="auto"/>
              </w:rPr>
            </w:pPr>
            <w:r>
              <w:rPr>
                <w:rFonts w:ascii="Arial" w:cs="Arial" w:eastAsia="Arial" w:hAnsi="Arial"/>
                <w:sz w:val="14"/>
                <w:szCs w:val="14"/>
                <w:color w:val="auto"/>
              </w:rPr>
              <w:t> </w:t>
            </w:r>
          </w:p>
        </w:tc>
        <w:tc>
          <w:tcPr>
            <w:tcW w:w="40" w:type="dxa"/>
            <w:vAlign w:val="bottom"/>
            <w:tcBorders>
              <w:top w:val="single" w:sz="8" w:color="CCEEFF"/>
            </w:tcBorders>
            <w:shd w:val="clear" w:color="auto" w:fill="CCEEFF"/>
          </w:tcPr>
          <w:p>
            <w:pPr>
              <w:spacing w:after="0"/>
              <w:rPr>
                <w:sz w:val="13"/>
                <w:szCs w:val="13"/>
                <w:color w:val="auto"/>
              </w:rPr>
            </w:pPr>
          </w:p>
        </w:tc>
      </w:tr>
      <w:tr>
        <w:trPr>
          <w:trHeight w:val="162"/>
        </w:trPr>
        <w:tc>
          <w:tcPr>
            <w:tcW w:w="5740" w:type="dxa"/>
            <w:vAlign w:val="bottom"/>
          </w:tcPr>
          <w:p>
            <w:pPr>
              <w:spacing w:after="0" w:line="162" w:lineRule="exact"/>
              <w:rPr>
                <w:sz w:val="20"/>
                <w:szCs w:val="20"/>
                <w:color w:val="auto"/>
              </w:rPr>
            </w:pPr>
            <w:r>
              <w:rPr>
                <w:rFonts w:ascii="Arial" w:cs="Arial" w:eastAsia="Arial" w:hAnsi="Arial"/>
                <w:sz w:val="13"/>
                <w:szCs w:val="13"/>
                <w:color w:val="auto"/>
              </w:rPr>
              <w:t>Underwriting discounts and commissions</w:t>
            </w:r>
            <w:r>
              <w:rPr>
                <w:rFonts w:ascii="Arial" w:cs="Arial" w:eastAsia="Arial" w:hAnsi="Arial"/>
                <w:sz w:val="18"/>
                <w:szCs w:val="18"/>
                <w:color w:val="auto"/>
                <w:vertAlign w:val="superscript"/>
              </w:rPr>
              <w:t>(1)</w:t>
            </w:r>
          </w:p>
        </w:tc>
        <w:tc>
          <w:tcPr>
            <w:tcW w:w="2420" w:type="dxa"/>
            <w:vAlign w:val="bottom"/>
            <w:gridSpan w:val="2"/>
          </w:tcPr>
          <w:p>
            <w:pPr>
              <w:ind w:left="2220"/>
              <w:spacing w:after="0"/>
              <w:rPr>
                <w:sz w:val="20"/>
                <w:szCs w:val="20"/>
                <w:color w:val="auto"/>
              </w:rPr>
            </w:pPr>
            <w:r>
              <w:rPr>
                <w:rFonts w:ascii="Arial" w:cs="Arial" w:eastAsia="Arial" w:hAnsi="Arial"/>
                <w:sz w:val="14"/>
                <w:szCs w:val="14"/>
                <w:color w:val="auto"/>
              </w:rPr>
              <w:t xml:space="preserve">$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240" w:type="dxa"/>
            <w:vAlign w:val="bottom"/>
          </w:tcPr>
          <w:p>
            <w:pPr>
              <w:ind w:left="60"/>
              <w:spacing w:after="0"/>
              <w:rPr>
                <w:sz w:val="20"/>
                <w:szCs w:val="20"/>
                <w:color w:val="auto"/>
              </w:rPr>
            </w:pPr>
            <w:r>
              <w:rPr>
                <w:rFonts w:ascii="Arial" w:cs="Arial" w:eastAsia="Arial" w:hAnsi="Arial"/>
                <w:sz w:val="14"/>
                <w:szCs w:val="14"/>
                <w:color w:val="auto"/>
              </w:rPr>
              <w:t> </w:t>
            </w:r>
          </w:p>
        </w:tc>
        <w:tc>
          <w:tcPr>
            <w:tcW w:w="400" w:type="dxa"/>
            <w:vAlign w:val="bottom"/>
            <w:gridSpan w:val="2"/>
          </w:tcPr>
          <w:p>
            <w:pPr>
              <w:ind w:left="220"/>
              <w:spacing w:after="0"/>
              <w:rPr>
                <w:sz w:val="20"/>
                <w:szCs w:val="20"/>
                <w:color w:val="auto"/>
              </w:rPr>
            </w:pPr>
            <w:r>
              <w:rPr>
                <w:rFonts w:ascii="Arial" w:cs="Arial" w:eastAsia="Arial" w:hAnsi="Arial"/>
                <w:sz w:val="14"/>
                <w:szCs w:val="14"/>
                <w:color w:val="auto"/>
              </w:rPr>
              <w:t xml:space="preserve">$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280" w:type="dxa"/>
            <w:vAlign w:val="bottom"/>
            <w:gridSpan w:val="2"/>
          </w:tcPr>
          <w:p>
            <w:pPr>
              <w:ind w:left="60"/>
              <w:spacing w:after="0"/>
              <w:rPr>
                <w:sz w:val="20"/>
                <w:szCs w:val="20"/>
                <w:color w:val="auto"/>
              </w:rPr>
            </w:pPr>
            <w:r>
              <w:rPr>
                <w:rFonts w:ascii="Arial" w:cs="Arial" w:eastAsia="Arial" w:hAnsi="Arial"/>
                <w:sz w:val="14"/>
                <w:szCs w:val="14"/>
                <w:color w:val="auto"/>
              </w:rPr>
              <w:t> </w:t>
            </w:r>
          </w:p>
        </w:tc>
      </w:tr>
      <w:tr>
        <w:trPr>
          <w:trHeight w:val="162"/>
        </w:trPr>
        <w:tc>
          <w:tcPr>
            <w:tcW w:w="5740" w:type="dxa"/>
            <w:vAlign w:val="bottom"/>
            <w:shd w:val="clear" w:color="auto" w:fill="CCEEFF"/>
          </w:tcPr>
          <w:p>
            <w:pPr>
              <w:spacing w:after="0"/>
              <w:rPr>
                <w:sz w:val="20"/>
                <w:szCs w:val="20"/>
                <w:color w:val="auto"/>
              </w:rPr>
            </w:pPr>
            <w:r>
              <w:rPr>
                <w:rFonts w:ascii="Arial" w:cs="Arial" w:eastAsia="Arial" w:hAnsi="Arial"/>
                <w:sz w:val="14"/>
                <w:szCs w:val="14"/>
                <w:color w:val="auto"/>
              </w:rPr>
              <w:t>Proceeds, before expenses, to Ethos Technologies Inc.</w:t>
            </w:r>
          </w:p>
        </w:tc>
        <w:tc>
          <w:tcPr>
            <w:tcW w:w="2420" w:type="dxa"/>
            <w:vAlign w:val="bottom"/>
            <w:gridSpan w:val="2"/>
            <w:shd w:val="clear" w:color="auto" w:fill="CCEEFF"/>
          </w:tcPr>
          <w:p>
            <w:pPr>
              <w:ind w:left="2220"/>
              <w:spacing w:after="0"/>
              <w:rPr>
                <w:sz w:val="20"/>
                <w:szCs w:val="20"/>
                <w:color w:val="auto"/>
              </w:rPr>
            </w:pPr>
            <w:r>
              <w:rPr>
                <w:rFonts w:ascii="Arial" w:cs="Arial" w:eastAsia="Arial" w:hAnsi="Arial"/>
                <w:sz w:val="14"/>
                <w:szCs w:val="14"/>
                <w:color w:val="auto"/>
              </w:rPr>
              <w:t xml:space="preserve">$ </w:t>
            </w:r>
          </w:p>
        </w:tc>
        <w:tc>
          <w:tcPr>
            <w:tcW w:w="140" w:type="dxa"/>
            <w:vAlign w:val="bottom"/>
            <w:shd w:val="clear" w:color="auto" w:fill="CCEEFF"/>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shd w:val="clear" w:color="auto" w:fill="CCEEFF"/>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shd w:val="clear" w:color="auto" w:fill="CCEEFF"/>
          </w:tcPr>
          <w:p>
            <w:pPr>
              <w:ind w:left="60"/>
              <w:spacing w:after="0"/>
              <w:rPr>
                <w:sz w:val="20"/>
                <w:szCs w:val="20"/>
                <w:color w:val="auto"/>
              </w:rPr>
            </w:pPr>
            <w:r>
              <w:rPr>
                <w:rFonts w:ascii="Arial" w:cs="Arial" w:eastAsia="Arial" w:hAnsi="Arial"/>
                <w:sz w:val="8"/>
                <w:szCs w:val="8"/>
                <w:color w:val="auto"/>
                <w:w w:val="74"/>
              </w:rPr>
              <w:t> </w:t>
            </w:r>
          </w:p>
        </w:tc>
        <w:tc>
          <w:tcPr>
            <w:tcW w:w="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 </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 xml:space="preserve">$ </w:t>
            </w:r>
          </w:p>
        </w:tc>
        <w:tc>
          <w:tcPr>
            <w:tcW w:w="140" w:type="dxa"/>
            <w:vAlign w:val="bottom"/>
            <w:shd w:val="clear" w:color="auto" w:fill="CCEEFF"/>
          </w:tcPr>
          <w:p>
            <w:pPr>
              <w:ind w:left="60"/>
              <w:spacing w:after="0"/>
              <w:rPr>
                <w:sz w:val="20"/>
                <w:szCs w:val="20"/>
                <w:color w:val="auto"/>
              </w:rPr>
            </w:pPr>
            <w:r>
              <w:rPr>
                <w:rFonts w:ascii="Arial" w:cs="Arial" w:eastAsia="Arial" w:hAnsi="Arial"/>
                <w:sz w:val="8"/>
                <w:szCs w:val="8"/>
                <w:color w:val="auto"/>
                <w:w w:val="74"/>
              </w:rPr>
              <w:t> </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 </w:t>
            </w:r>
          </w:p>
        </w:tc>
      </w:tr>
      <w:tr>
        <w:trPr>
          <w:trHeight w:val="190"/>
        </w:trPr>
        <w:tc>
          <w:tcPr>
            <w:tcW w:w="5740" w:type="dxa"/>
            <w:vAlign w:val="bottom"/>
          </w:tcPr>
          <w:p>
            <w:pPr>
              <w:spacing w:after="0"/>
              <w:rPr>
                <w:sz w:val="20"/>
                <w:szCs w:val="20"/>
                <w:color w:val="auto"/>
              </w:rPr>
            </w:pPr>
            <w:r>
              <w:rPr>
                <w:rFonts w:ascii="Arial" w:cs="Arial" w:eastAsia="Arial" w:hAnsi="Arial"/>
                <w:sz w:val="14"/>
                <w:szCs w:val="14"/>
                <w:color w:val="auto"/>
              </w:rPr>
              <w:t>Proceeds, before expenses, to selling stockholders</w:t>
            </w:r>
          </w:p>
        </w:tc>
        <w:tc>
          <w:tcPr>
            <w:tcW w:w="2420" w:type="dxa"/>
            <w:vAlign w:val="bottom"/>
            <w:gridSpan w:val="2"/>
          </w:tcPr>
          <w:p>
            <w:pPr>
              <w:ind w:left="2220"/>
              <w:spacing w:after="0"/>
              <w:rPr>
                <w:sz w:val="20"/>
                <w:szCs w:val="20"/>
                <w:color w:val="auto"/>
              </w:rPr>
            </w:pPr>
            <w:r>
              <w:rPr>
                <w:rFonts w:ascii="Arial" w:cs="Arial" w:eastAsia="Arial" w:hAnsi="Arial"/>
                <w:sz w:val="14"/>
                <w:szCs w:val="14"/>
                <w:color w:val="auto"/>
              </w:rPr>
              <w:t xml:space="preserve">$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240" w:type="dxa"/>
            <w:vAlign w:val="bottom"/>
          </w:tcPr>
          <w:p>
            <w:pPr>
              <w:ind w:left="60"/>
              <w:spacing w:after="0"/>
              <w:rPr>
                <w:sz w:val="20"/>
                <w:szCs w:val="20"/>
                <w:color w:val="auto"/>
              </w:rPr>
            </w:pPr>
            <w:r>
              <w:rPr>
                <w:rFonts w:ascii="Arial" w:cs="Arial" w:eastAsia="Arial" w:hAnsi="Arial"/>
                <w:sz w:val="14"/>
                <w:szCs w:val="14"/>
                <w:color w:val="auto"/>
              </w:rPr>
              <w:t> </w:t>
            </w:r>
          </w:p>
        </w:tc>
        <w:tc>
          <w:tcPr>
            <w:tcW w:w="400" w:type="dxa"/>
            <w:vAlign w:val="bottom"/>
            <w:gridSpan w:val="2"/>
          </w:tcPr>
          <w:p>
            <w:pPr>
              <w:ind w:left="220"/>
              <w:spacing w:after="0"/>
              <w:rPr>
                <w:sz w:val="20"/>
                <w:szCs w:val="20"/>
                <w:color w:val="auto"/>
              </w:rPr>
            </w:pPr>
            <w:r>
              <w:rPr>
                <w:rFonts w:ascii="Arial" w:cs="Arial" w:eastAsia="Arial" w:hAnsi="Arial"/>
                <w:sz w:val="14"/>
                <w:szCs w:val="14"/>
                <w:color w:val="auto"/>
              </w:rPr>
              <w:t xml:space="preserve">$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280" w:type="dxa"/>
            <w:vAlign w:val="bottom"/>
            <w:gridSpan w:val="2"/>
          </w:tcPr>
          <w:p>
            <w:pPr>
              <w:ind w:left="60"/>
              <w:spacing w:after="0"/>
              <w:rPr>
                <w:sz w:val="20"/>
                <w:szCs w:val="20"/>
                <w:color w:val="auto"/>
              </w:rPr>
            </w:pPr>
            <w:r>
              <w:rPr>
                <w:rFonts w:ascii="Arial" w:cs="Arial" w:eastAsia="Arial" w:hAnsi="Arial"/>
                <w:sz w:val="14"/>
                <w:szCs w:val="14"/>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6686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45" w:lineRule="exact"/>
        <w:rPr>
          <w:sz w:val="20"/>
          <w:szCs w:val="20"/>
          <w:color w:val="auto"/>
        </w:rPr>
      </w:pPr>
    </w:p>
    <w:p>
      <w:pPr>
        <w:ind w:left="380" w:hanging="380"/>
        <w:spacing w:after="0"/>
        <w:tabs>
          <w:tab w:leader="none" w:pos="38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the section titled “Underwriting” for additional information regarding compensation payable to the underwriters.</w:t>
      </w:r>
    </w:p>
    <w:p>
      <w:pPr>
        <w:spacing w:after="0" w:line="136" w:lineRule="exact"/>
        <w:rPr>
          <w:sz w:val="20"/>
          <w:szCs w:val="20"/>
          <w:color w:val="auto"/>
        </w:rPr>
      </w:pPr>
    </w:p>
    <w:p>
      <w:pPr>
        <w:ind w:right="200" w:firstLine="482"/>
        <w:spacing w:after="0" w:line="285" w:lineRule="auto"/>
        <w:rPr>
          <w:sz w:val="20"/>
          <w:szCs w:val="20"/>
          <w:color w:val="auto"/>
        </w:rPr>
      </w:pPr>
      <w:r>
        <w:rPr>
          <w:rFonts w:ascii="Arial" w:cs="Arial" w:eastAsia="Arial" w:hAnsi="Arial"/>
          <w:sz w:val="14"/>
          <w:szCs w:val="14"/>
          <w:color w:val="auto"/>
        </w:rPr>
        <w:t>The underwriters do not have an option to purchase additional shares of Class A common stock from us at the initial public offering price less the underwriting discount.</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The underwriters expect to deliver the shares of Class A common stock against payment in New York, New York on            , 2026.</w:t>
      </w:r>
    </w:p>
    <w:p>
      <w:pPr>
        <w:spacing w:after="0" w:line="125" w:lineRule="exact"/>
        <w:rPr>
          <w:sz w:val="20"/>
          <w:szCs w:val="20"/>
          <w:color w:val="auto"/>
        </w:rPr>
      </w:pPr>
    </w:p>
    <w:p>
      <w:pPr>
        <w:spacing w:after="0"/>
        <w:tabs>
          <w:tab w:leader="none" w:pos="802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8"/>
          <w:szCs w:val="28"/>
          <w:b w:val="1"/>
          <w:bCs w:val="1"/>
          <w:color w:val="auto"/>
        </w:rPr>
        <w:t>J.P. Morgan</w:t>
      </w:r>
    </w:p>
    <w:p>
      <w:pPr>
        <w:spacing w:after="0" w:line="170" w:lineRule="exact"/>
        <w:rPr>
          <w:sz w:val="20"/>
          <w:szCs w:val="20"/>
          <w:color w:val="auto"/>
        </w:rPr>
      </w:pPr>
    </w:p>
    <w:p>
      <w:pPr>
        <w:sectPr>
          <w:pgSz w:w="11900" w:h="16838" w:orient="portrait"/>
          <w:cols w:equalWidth="0" w:num="2">
            <w:col w:w="720" w:space="80"/>
            <w:col w:w="9640"/>
          </w:cols>
          <w:pgMar w:left="320" w:top="455" w:right="1139" w:bottom="1440" w:gutter="0" w:footer="0" w:header="0"/>
          <w:type w:val="continuous"/>
        </w:sectPr>
      </w:pPr>
    </w:p>
    <w:p>
      <w:pPr>
        <w:ind w:left="800"/>
        <w:spacing w:after="0"/>
        <w:tabs>
          <w:tab w:leader="none" w:pos="3680" w:val="left"/>
          <w:tab w:leader="none" w:pos="5600" w:val="left"/>
          <w:tab w:leader="none" w:pos="7760" w:val="left"/>
        </w:tabs>
        <w:rPr>
          <w:sz w:val="20"/>
          <w:szCs w:val="20"/>
          <w:color w:val="auto"/>
        </w:rPr>
      </w:pPr>
      <w:r>
        <w:rPr>
          <w:rFonts w:ascii="Arial" w:cs="Arial" w:eastAsia="Arial" w:hAnsi="Arial"/>
          <w:sz w:val="22"/>
          <w:szCs w:val="22"/>
          <w:b w:val="1"/>
          <w:bCs w:val="1"/>
          <w:color w:val="auto"/>
        </w:rPr>
        <w:t>BofA Securities</w:t>
      </w:r>
      <w:r>
        <w:rPr>
          <w:sz w:val="20"/>
          <w:szCs w:val="20"/>
          <w:color w:val="auto"/>
        </w:rPr>
        <w:tab/>
      </w:r>
      <w:r>
        <w:rPr>
          <w:rFonts w:ascii="Arial" w:cs="Arial" w:eastAsia="Arial" w:hAnsi="Arial"/>
          <w:sz w:val="22"/>
          <w:szCs w:val="22"/>
          <w:b w:val="1"/>
          <w:bCs w:val="1"/>
          <w:color w:val="auto"/>
        </w:rPr>
        <w:t>Barclays</w:t>
      </w:r>
      <w:r>
        <w:rPr>
          <w:sz w:val="20"/>
          <w:szCs w:val="20"/>
          <w:color w:val="auto"/>
        </w:rPr>
        <w:tab/>
      </w: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21"/>
          <w:szCs w:val="21"/>
          <w:b w:val="1"/>
          <w:bCs w:val="1"/>
          <w:color w:val="auto"/>
        </w:rPr>
        <w:t>Deutsche Bank Securities</w:t>
      </w:r>
    </w:p>
    <w:p>
      <w:pPr>
        <w:spacing w:after="0" w:line="148" w:lineRule="exact"/>
        <w:rPr>
          <w:sz w:val="20"/>
          <w:szCs w:val="20"/>
          <w:color w:val="auto"/>
        </w:rPr>
      </w:pPr>
    </w:p>
    <w:p>
      <w:pPr>
        <w:ind w:left="800"/>
        <w:spacing w:after="0"/>
        <w:tabs>
          <w:tab w:leader="none" w:pos="6080" w:val="left"/>
          <w:tab w:leader="none" w:pos="9960" w:val="left"/>
        </w:tabs>
        <w:rPr>
          <w:sz w:val="20"/>
          <w:szCs w:val="20"/>
          <w:color w:val="auto"/>
        </w:rPr>
      </w:pPr>
      <w:r>
        <w:rPr>
          <w:rFonts w:ascii="Arial" w:cs="Arial" w:eastAsia="Arial" w:hAnsi="Arial"/>
          <w:sz w:val="18"/>
          <w:szCs w:val="18"/>
          <w:b w:val="1"/>
          <w:bCs w:val="1"/>
          <w:color w:val="auto"/>
        </w:rPr>
        <w:t>Citizens Capital Markets</w:t>
      </w:r>
      <w:r>
        <w:rPr>
          <w:sz w:val="20"/>
          <w:szCs w:val="20"/>
          <w:color w:val="auto"/>
        </w:rPr>
        <w:tab/>
      </w:r>
      <w:r>
        <w:rPr>
          <w:rFonts w:ascii="Arial" w:cs="Arial" w:eastAsia="Arial" w:hAnsi="Arial"/>
          <w:sz w:val="18"/>
          <w:szCs w:val="18"/>
          <w:b w:val="1"/>
          <w:bCs w:val="1"/>
          <w:color w:val="auto"/>
        </w:rPr>
        <w:t>William Blair</w:t>
      </w:r>
      <w:r>
        <w:rPr>
          <w:sz w:val="20"/>
          <w:szCs w:val="20"/>
          <w:color w:val="auto"/>
        </w:rPr>
        <w:tab/>
      </w:r>
      <w:r>
        <w:rPr>
          <w:rFonts w:ascii="Arial" w:cs="Arial" w:eastAsia="Arial" w:hAnsi="Arial"/>
          <w:sz w:val="17"/>
          <w:szCs w:val="17"/>
          <w:b w:val="1"/>
          <w:bCs w:val="1"/>
          <w:color w:val="auto"/>
        </w:rPr>
        <w:t>Baird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172085</wp:posOffset>
            </wp:positionV>
            <wp:extent cx="12858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ectPr>
          <w:pgSz w:w="11900" w:h="16838" w:orient="portrait"/>
          <w:cols w:equalWidth="0" w:num="1">
            <w:col w:w="10440"/>
          </w:cols>
          <w:pgMar w:left="320" w:top="455" w:right="113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Prospectus dated               , 2026.</w:t>
      </w:r>
    </w:p>
    <w:p>
      <w:pPr>
        <w:sectPr>
          <w:pgSz w:w="11900" w:h="16838" w:orient="portrait"/>
          <w:cols w:equalWidth="0" w:num="1">
            <w:col w:w="10440"/>
          </w:cols>
          <w:pgMar w:left="320" w:top="455" w:right="11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224155</wp:posOffset>
            </wp:positionV>
            <wp:extent cx="5212080" cy="6737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673798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224155</wp:posOffset>
            </wp:positionV>
            <wp:extent cx="5212080" cy="673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673798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224155</wp:posOffset>
            </wp:positionV>
            <wp:extent cx="5212080" cy="673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673798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224155</wp:posOffset>
            </wp:positionV>
            <wp:extent cx="5212080" cy="6737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673798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224155</wp:posOffset>
            </wp:positionV>
            <wp:extent cx="5212080" cy="6737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673798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224155</wp:posOffset>
            </wp:positionV>
            <wp:extent cx="5212080" cy="6737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673798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224155</wp:posOffset>
            </wp:positionV>
            <wp:extent cx="5212080" cy="6737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2080" cy="673798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gridSpan w:val="26"/>
            <w:vMerge w:val="restart"/>
          </w:tcPr>
          <w:p>
            <w:pPr>
              <w:spacing w:after="0"/>
              <w:rPr>
                <w:sz w:val="20"/>
                <w:szCs w:val="20"/>
                <w:color w:val="auto"/>
              </w:rPr>
            </w:pPr>
            <w:r>
              <w:rPr>
                <w:rFonts w:ascii="Arial" w:cs="Arial" w:eastAsia="Arial" w:hAnsi="Arial"/>
                <w:sz w:val="18"/>
                <w:szCs w:val="18"/>
                <w:color w:val="0000EE"/>
              </w:rPr>
              <w:t>GLOSSARY OF TERMS</w:t>
            </w:r>
          </w:p>
        </w:tc>
        <w:tc>
          <w:tcPr>
            <w:tcW w:w="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560" w:type="dxa"/>
            <w:vAlign w:val="bottom"/>
            <w:gridSpan w:val="26"/>
            <w:vMerge w:val="continue"/>
          </w:tcPr>
          <w:p>
            <w:pPr>
              <w:spacing w:after="0"/>
              <w:rPr>
                <w:sz w:val="14"/>
                <w:szCs w:val="14"/>
                <w:color w:val="auto"/>
              </w:rPr>
            </w:pPr>
          </w:p>
        </w:tc>
        <w:tc>
          <w:tcPr>
            <w:tcW w:w="3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iii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10560" w:type="dxa"/>
            <w:vAlign w:val="bottom"/>
            <w:gridSpan w:val="26"/>
          </w:tcPr>
          <w:p>
            <w:pPr>
              <w:spacing w:after="0" w:line="182" w:lineRule="exact"/>
              <w:rPr>
                <w:sz w:val="20"/>
                <w:szCs w:val="20"/>
                <w:color w:val="auto"/>
              </w:rPr>
            </w:pPr>
            <w:r>
              <w:rPr>
                <w:rFonts w:ascii="Arial" w:cs="Arial" w:eastAsia="Arial" w:hAnsi="Arial"/>
                <w:sz w:val="18"/>
                <w:szCs w:val="18"/>
                <w:color w:val="0000EE"/>
              </w:rPr>
              <w:t>PROSPECTUS SUMMARY</w:t>
            </w:r>
          </w:p>
        </w:tc>
        <w:tc>
          <w:tcPr>
            <w:tcW w:w="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4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8"/>
              </w:rPr>
              <w:t>THE OFFERING</w:t>
            </w:r>
          </w:p>
        </w:tc>
        <w:tc>
          <w:tcPr>
            <w:tcW w:w="860" w:type="dxa"/>
            <w:vAlign w:val="bottom"/>
            <w:tcBorders>
              <w:top w:val="single" w:sz="8" w:color="0000EE"/>
            </w:tcBorders>
            <w:gridSpan w:val="7"/>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3"/>
        </w:trPr>
        <w:tc>
          <w:tcPr>
            <w:tcW w:w="10560" w:type="dxa"/>
            <w:vAlign w:val="bottom"/>
            <w:gridSpan w:val="26"/>
          </w:tcPr>
          <w:p>
            <w:pPr>
              <w:spacing w:after="0" w:line="182" w:lineRule="exact"/>
              <w:rPr>
                <w:sz w:val="20"/>
                <w:szCs w:val="20"/>
                <w:color w:val="auto"/>
              </w:rPr>
            </w:pPr>
            <w:r>
              <w:rPr>
                <w:rFonts w:ascii="Arial" w:cs="Arial" w:eastAsia="Arial" w:hAnsi="Arial"/>
                <w:sz w:val="18"/>
                <w:szCs w:val="18"/>
                <w:color w:val="0000EE"/>
              </w:rPr>
              <w:t>SUMMARY CONSOLIDATED FINANCIAL AND OTHER DATA</w:t>
            </w: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498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RISK FACTORS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32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SPECIAL NOTE</w:t>
            </w:r>
          </w:p>
        </w:tc>
        <w:tc>
          <w:tcPr>
            <w:tcW w:w="9240" w:type="dxa"/>
            <w:vAlign w:val="bottom"/>
            <w:gridSpan w:val="21"/>
          </w:tcPr>
          <w:p>
            <w:pPr>
              <w:ind w:left="40"/>
              <w:spacing w:after="0" w:line="182" w:lineRule="exact"/>
              <w:rPr>
                <w:sz w:val="20"/>
                <w:szCs w:val="20"/>
                <w:color w:val="auto"/>
              </w:rPr>
            </w:pPr>
            <w:r>
              <w:rPr>
                <w:rFonts w:ascii="Arial" w:cs="Arial" w:eastAsia="Arial" w:hAnsi="Arial"/>
                <w:sz w:val="18"/>
                <w:szCs w:val="18"/>
                <w:color w:val="0000EE"/>
              </w:rPr>
              <w:t>REGARDING FORWARD-LOOKING STATEMENTS</w:t>
            </w: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3"/>
        </w:trPr>
        <w:tc>
          <w:tcPr>
            <w:tcW w:w="552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MARKET, INDUSTRY, AND OTHER DATA</w:t>
            </w:r>
          </w:p>
        </w:tc>
        <w:tc>
          <w:tcPr>
            <w:tcW w:w="1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338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USE OF PROCEEDS</w:t>
            </w: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15"/>
                <w:szCs w:val="15"/>
                <w:color w:val="auto"/>
              </w:rPr>
            </w:pPr>
          </w:p>
        </w:tc>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83"/>
        </w:trPr>
        <w:tc>
          <w:tcPr>
            <w:tcW w:w="172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DIVIDEND POLICY</w:t>
            </w:r>
          </w:p>
        </w:tc>
        <w:tc>
          <w:tcPr>
            <w:tcW w:w="800" w:type="dxa"/>
            <w:vAlign w:val="bottom"/>
            <w:gridSpan w:val="3"/>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15"/>
                <w:szCs w:val="15"/>
                <w:color w:val="auto"/>
              </w:rPr>
            </w:pPr>
          </w:p>
        </w:tc>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3"/>
        </w:trPr>
        <w:tc>
          <w:tcPr>
            <w:tcW w:w="156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CAPITALIZATION</w:t>
            </w:r>
          </w:p>
        </w:tc>
        <w:tc>
          <w:tcPr>
            <w:tcW w:w="960" w:type="dxa"/>
            <w:vAlign w:val="bottom"/>
            <w:gridSpan w:val="4"/>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15"/>
                <w:szCs w:val="15"/>
                <w:color w:val="auto"/>
              </w:rPr>
            </w:pPr>
          </w:p>
        </w:tc>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83"/>
        </w:trPr>
        <w:tc>
          <w:tcPr>
            <w:tcW w:w="86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DILUTION</w:t>
            </w:r>
          </w:p>
        </w:tc>
        <w:tc>
          <w:tcPr>
            <w:tcW w:w="580" w:type="dxa"/>
            <w:vAlign w:val="bottom"/>
            <w:tcBorders>
              <w:top w:val="single" w:sz="8" w:color="0000EE"/>
            </w:tcBorders>
            <w:gridSpan w:val="6"/>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5"/>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15"/>
                <w:szCs w:val="15"/>
                <w:color w:val="auto"/>
              </w:rPr>
            </w:pPr>
          </w:p>
        </w:tc>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3"/>
        </w:trPr>
        <w:tc>
          <w:tcPr>
            <w:tcW w:w="10560" w:type="dxa"/>
            <w:vAlign w:val="bottom"/>
            <w:gridSpan w:val="26"/>
          </w:tcPr>
          <w:p>
            <w:pPr>
              <w:spacing w:after="0" w:line="182"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83"/>
        </w:trPr>
        <w:tc>
          <w:tcPr>
            <w:tcW w:w="9120" w:type="dxa"/>
            <w:vAlign w:val="bottom"/>
            <w:tcBorders>
              <w:top w:val="single" w:sz="8" w:color="0000EE"/>
            </w:tcBorders>
            <w:gridSpan w:val="24"/>
          </w:tcPr>
          <w:p>
            <w:pPr>
              <w:spacing w:after="0" w:line="182" w:lineRule="exact"/>
              <w:rPr>
                <w:sz w:val="20"/>
                <w:szCs w:val="20"/>
                <w:color w:val="auto"/>
              </w:rPr>
            </w:pPr>
            <w:r>
              <w:rPr>
                <w:rFonts w:ascii="Arial" w:cs="Arial" w:eastAsia="Arial" w:hAnsi="Arial"/>
                <w:sz w:val="18"/>
                <w:szCs w:val="18"/>
                <w:color w:val="0000EE"/>
              </w:rPr>
              <w:t>BUSINESS</w:t>
            </w: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138</w:t>
            </w:r>
          </w:p>
        </w:tc>
        <w:tc>
          <w:tcPr>
            <w:tcW w:w="0" w:type="dxa"/>
            <w:vAlign w:val="bottom"/>
          </w:tcPr>
          <w:p>
            <w:pPr>
              <w:spacing w:after="0" w:line="20" w:lineRule="exact"/>
              <w:rPr>
                <w:sz w:val="1"/>
                <w:szCs w:val="1"/>
                <w:color w:val="auto"/>
              </w:rPr>
            </w:pPr>
          </w:p>
        </w:tc>
      </w:tr>
      <w:tr>
        <w:trPr>
          <w:trHeight w:val="183"/>
        </w:trPr>
        <w:tc>
          <w:tcPr>
            <w:tcW w:w="10560" w:type="dxa"/>
            <w:vAlign w:val="bottom"/>
            <w:gridSpan w:val="26"/>
          </w:tcPr>
          <w:p>
            <w:pPr>
              <w:spacing w:after="0" w:line="182" w:lineRule="exact"/>
              <w:rPr>
                <w:sz w:val="20"/>
                <w:szCs w:val="20"/>
                <w:color w:val="auto"/>
              </w:rPr>
            </w:pPr>
            <w:r>
              <w:rPr>
                <w:rFonts w:ascii="Arial" w:cs="Arial" w:eastAsia="Arial" w:hAnsi="Arial"/>
                <w:sz w:val="18"/>
                <w:szCs w:val="18"/>
                <w:color w:val="0000EE"/>
              </w:rPr>
              <w:t>MANAGEMENT</w:t>
            </w:r>
          </w:p>
        </w:tc>
        <w:tc>
          <w:tcPr>
            <w:tcW w:w="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EXECUTIVE</w:t>
            </w:r>
          </w:p>
        </w:tc>
        <w:tc>
          <w:tcPr>
            <w:tcW w:w="1240" w:type="dxa"/>
            <w:vAlign w:val="bottom"/>
            <w:tcBorders>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83"/>
              </w:rPr>
              <w:t>COMPENSATION</w:t>
            </w:r>
          </w:p>
        </w:tc>
        <w:tc>
          <w:tcPr>
            <w:tcW w:w="8040" w:type="dxa"/>
            <w:vAlign w:val="bottom"/>
            <w:gridSpan w:val="12"/>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83"/>
        </w:trPr>
        <w:tc>
          <w:tcPr>
            <w:tcW w:w="10560" w:type="dxa"/>
            <w:vAlign w:val="bottom"/>
            <w:gridSpan w:val="26"/>
          </w:tcPr>
          <w:p>
            <w:pPr>
              <w:spacing w:after="0" w:line="182" w:lineRule="exact"/>
              <w:rPr>
                <w:sz w:val="20"/>
                <w:szCs w:val="20"/>
                <w:color w:val="auto"/>
              </w:rPr>
            </w:pPr>
            <w:r>
              <w:rPr>
                <w:rFonts w:ascii="Arial" w:cs="Arial" w:eastAsia="Arial" w:hAnsi="Arial"/>
                <w:sz w:val="18"/>
                <w:szCs w:val="18"/>
                <w:color w:val="0000EE"/>
              </w:rPr>
              <w:t>CERTAIN RELATIONSHIPS AND RELATED PARTY TRANSACTIONS</w:t>
            </w: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83"/>
        </w:trPr>
        <w:tc>
          <w:tcPr>
            <w:tcW w:w="5640" w:type="dxa"/>
            <w:vAlign w:val="bottom"/>
            <w:tcBorders>
              <w:top w:val="single" w:sz="8" w:color="0000EE"/>
            </w:tcBorders>
            <w:gridSpan w:val="23"/>
          </w:tcPr>
          <w:p>
            <w:pPr>
              <w:spacing w:after="0" w:line="182" w:lineRule="exact"/>
              <w:rPr>
                <w:sz w:val="20"/>
                <w:szCs w:val="20"/>
                <w:color w:val="auto"/>
              </w:rPr>
            </w:pPr>
            <w:r>
              <w:rPr>
                <w:rFonts w:ascii="Arial" w:cs="Arial" w:eastAsia="Arial" w:hAnsi="Arial"/>
                <w:sz w:val="18"/>
                <w:szCs w:val="18"/>
                <w:color w:val="0000EE"/>
              </w:rPr>
              <w:t>PRINCIPAL AND SELLING STOCKHOLDERS</w:t>
            </w:r>
          </w:p>
        </w:tc>
        <w:tc>
          <w:tcPr>
            <w:tcW w:w="44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183"/>
        </w:trPr>
        <w:tc>
          <w:tcPr>
            <w:tcW w:w="2980" w:type="dxa"/>
            <w:vAlign w:val="bottom"/>
            <w:tcBorders>
              <w:top w:val="single" w:sz="8" w:color="0000EE"/>
              <w:bottom w:val="single" w:sz="8" w:color="0000EE"/>
            </w:tcBorders>
            <w:gridSpan w:val="15"/>
          </w:tcPr>
          <w:p>
            <w:pPr>
              <w:spacing w:after="0" w:line="182" w:lineRule="exact"/>
              <w:rPr>
                <w:sz w:val="20"/>
                <w:szCs w:val="20"/>
                <w:color w:val="auto"/>
              </w:rPr>
            </w:pPr>
            <w:r>
              <w:rPr>
                <w:rFonts w:ascii="Arial" w:cs="Arial" w:eastAsia="Arial" w:hAnsi="Arial"/>
                <w:sz w:val="18"/>
                <w:szCs w:val="18"/>
                <w:color w:val="0000EE"/>
                <w:w w:val="98"/>
              </w:rPr>
              <w:t>DESCRIPTION OF CAPITAL STOCK</w:t>
            </w:r>
          </w:p>
        </w:tc>
        <w:tc>
          <w:tcPr>
            <w:tcW w:w="720" w:type="dxa"/>
            <w:vAlign w:val="bottom"/>
            <w:tcBorders>
              <w:top w:val="single" w:sz="8" w:color="0000EE"/>
            </w:tcBorders>
            <w:gridSpan w:val="3"/>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60" w:type="dxa"/>
            <w:vAlign w:val="bottom"/>
            <w:gridSpan w:val="5"/>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83"/>
        </w:trPr>
        <w:tc>
          <w:tcPr>
            <w:tcW w:w="10560" w:type="dxa"/>
            <w:vAlign w:val="bottom"/>
            <w:gridSpan w:val="26"/>
          </w:tcPr>
          <w:p>
            <w:pPr>
              <w:spacing w:after="0" w:line="182" w:lineRule="exact"/>
              <w:rPr>
                <w:sz w:val="20"/>
                <w:szCs w:val="20"/>
                <w:color w:val="auto"/>
              </w:rPr>
            </w:pPr>
            <w:r>
              <w:rPr>
                <w:rFonts w:ascii="Arial" w:cs="Arial" w:eastAsia="Arial" w:hAnsi="Arial"/>
                <w:sz w:val="18"/>
                <w:szCs w:val="18"/>
                <w:color w:val="0000EE"/>
              </w:rPr>
              <w:t>SHARES ELIGIBLE FOR FUTURE SALE</w:t>
            </w: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83"/>
        </w:trPr>
        <w:tc>
          <w:tcPr>
            <w:tcW w:w="330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w w:val="97"/>
              </w:rPr>
              <w:t>MATERIAL U.S. FEDERAL INCOME TAX</w:t>
            </w:r>
          </w:p>
        </w:tc>
        <w:tc>
          <w:tcPr>
            <w:tcW w:w="7260" w:type="dxa"/>
            <w:vAlign w:val="bottom"/>
            <w:gridSpan w:val="10"/>
          </w:tcPr>
          <w:p>
            <w:pPr>
              <w:ind w:left="60"/>
              <w:spacing w:after="0" w:line="182" w:lineRule="exact"/>
              <w:rPr>
                <w:sz w:val="20"/>
                <w:szCs w:val="20"/>
                <w:color w:val="auto"/>
              </w:rPr>
            </w:pPr>
            <w:r>
              <w:rPr>
                <w:rFonts w:ascii="Arial" w:cs="Arial" w:eastAsia="Arial" w:hAnsi="Arial"/>
                <w:sz w:val="18"/>
                <w:szCs w:val="18"/>
                <w:color w:val="0000EE"/>
              </w:rPr>
              <w:t>CONSEQUENCES TO NON-U.S. HOLDERS OF OUR CLASS A COMMON STOCK</w:t>
            </w: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83"/>
        </w:trPr>
        <w:tc>
          <w:tcPr>
            <w:tcW w:w="10080" w:type="dxa"/>
            <w:vAlign w:val="bottom"/>
            <w:tcBorders>
              <w:top w:val="single" w:sz="8" w:color="0000EE"/>
            </w:tcBorders>
            <w:gridSpan w:val="25"/>
          </w:tcPr>
          <w:p>
            <w:pPr>
              <w:spacing w:after="0" w:line="182" w:lineRule="exact"/>
              <w:rPr>
                <w:sz w:val="20"/>
                <w:szCs w:val="20"/>
                <w:color w:val="auto"/>
              </w:rPr>
            </w:pPr>
            <w:r>
              <w:rPr>
                <w:rFonts w:ascii="Arial" w:cs="Arial" w:eastAsia="Arial" w:hAnsi="Arial"/>
                <w:sz w:val="18"/>
                <w:szCs w:val="18"/>
                <w:color w:val="0000EE"/>
              </w:rPr>
              <w:t>UNDERWRITING</w:t>
            </w: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83"/>
        </w:trPr>
        <w:tc>
          <w:tcPr>
            <w:tcW w:w="1420" w:type="dxa"/>
            <w:vAlign w:val="bottom"/>
            <w:tcBorders>
              <w:top w:val="single" w:sz="8" w:color="0000EE"/>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3"/>
              </w:rPr>
              <w:t>LEGAL MATTERS</w:t>
            </w:r>
          </w:p>
        </w:tc>
        <w:tc>
          <w:tcPr>
            <w:tcW w:w="60" w:type="dxa"/>
            <w:vAlign w:val="bottom"/>
            <w:tcBorders>
              <w:bottom w:val="single" w:sz="8" w:color="0000EE"/>
            </w:tcBorders>
            <w:gridSpan w:val="2"/>
          </w:tcPr>
          <w:p>
            <w:pPr>
              <w:spacing w:after="0"/>
              <w:rPr>
                <w:sz w:val="15"/>
                <w:szCs w:val="15"/>
                <w:color w:val="auto"/>
              </w:rPr>
            </w:pPr>
          </w:p>
        </w:tc>
        <w:tc>
          <w:tcPr>
            <w:tcW w:w="2960" w:type="dxa"/>
            <w:vAlign w:val="bottom"/>
            <w:gridSpan w:val="10"/>
          </w:tcPr>
          <w:p>
            <w:pPr>
              <w:spacing w:after="0"/>
              <w:rPr>
                <w:sz w:val="15"/>
                <w:szCs w:val="15"/>
                <w:color w:val="auto"/>
              </w:rPr>
            </w:pPr>
          </w:p>
        </w:tc>
        <w:tc>
          <w:tcPr>
            <w:tcW w:w="80" w:type="dxa"/>
            <w:vAlign w:val="bottom"/>
          </w:tcPr>
          <w:p>
            <w:pPr>
              <w:spacing w:after="0"/>
              <w:rPr>
                <w:sz w:val="15"/>
                <w:szCs w:val="15"/>
                <w:color w:val="auto"/>
              </w:rPr>
            </w:pPr>
          </w:p>
        </w:tc>
        <w:tc>
          <w:tcPr>
            <w:tcW w:w="6040" w:type="dxa"/>
            <w:vAlign w:val="bottom"/>
            <w:gridSpan w:val="6"/>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183"/>
        </w:trPr>
        <w:tc>
          <w:tcPr>
            <w:tcW w:w="84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7"/>
              </w:rPr>
              <w:t>EXPERTS</w:t>
            </w:r>
          </w:p>
        </w:tc>
        <w:tc>
          <w:tcPr>
            <w:tcW w:w="640" w:type="dxa"/>
            <w:vAlign w:val="bottom"/>
            <w:gridSpan w:val="8"/>
          </w:tcPr>
          <w:p>
            <w:pPr>
              <w:spacing w:after="0"/>
              <w:rPr>
                <w:sz w:val="15"/>
                <w:szCs w:val="15"/>
                <w:color w:val="auto"/>
              </w:rPr>
            </w:pPr>
          </w:p>
        </w:tc>
        <w:tc>
          <w:tcPr>
            <w:tcW w:w="2960" w:type="dxa"/>
            <w:vAlign w:val="bottom"/>
            <w:gridSpan w:val="10"/>
          </w:tcPr>
          <w:p>
            <w:pPr>
              <w:spacing w:after="0"/>
              <w:rPr>
                <w:sz w:val="15"/>
                <w:szCs w:val="15"/>
                <w:color w:val="auto"/>
              </w:rPr>
            </w:pPr>
          </w:p>
        </w:tc>
        <w:tc>
          <w:tcPr>
            <w:tcW w:w="80" w:type="dxa"/>
            <w:vAlign w:val="bottom"/>
          </w:tcPr>
          <w:p>
            <w:pPr>
              <w:spacing w:after="0"/>
              <w:rPr>
                <w:sz w:val="15"/>
                <w:szCs w:val="15"/>
                <w:color w:val="auto"/>
              </w:rPr>
            </w:pPr>
          </w:p>
        </w:tc>
        <w:tc>
          <w:tcPr>
            <w:tcW w:w="6040" w:type="dxa"/>
            <w:vAlign w:val="bottom"/>
            <w:gridSpan w:val="6"/>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183"/>
        </w:trPr>
        <w:tc>
          <w:tcPr>
            <w:tcW w:w="10560" w:type="dxa"/>
            <w:vAlign w:val="bottom"/>
            <w:gridSpan w:val="26"/>
          </w:tcPr>
          <w:p>
            <w:pPr>
              <w:spacing w:after="0" w:line="182" w:lineRule="exact"/>
              <w:rPr>
                <w:sz w:val="20"/>
                <w:szCs w:val="20"/>
                <w:color w:val="auto"/>
              </w:rPr>
            </w:pPr>
            <w:r>
              <w:rPr>
                <w:rFonts w:ascii="Arial" w:cs="Arial" w:eastAsia="Arial" w:hAnsi="Arial"/>
                <w:sz w:val="18"/>
                <w:szCs w:val="18"/>
                <w:color w:val="0000EE"/>
              </w:rPr>
              <w:t>WHERE YOU CAN FIND ADDITIONAL INFORMATION</w:t>
            </w: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182"/>
        </w:trPr>
        <w:tc>
          <w:tcPr>
            <w:tcW w:w="4440" w:type="dxa"/>
            <w:vAlign w:val="bottom"/>
            <w:tcBorders>
              <w:top w:val="single" w:sz="8" w:color="0000EE"/>
              <w:bottom w:val="single" w:sz="8" w:color="0000EE"/>
            </w:tcBorders>
            <w:gridSpan w:val="19"/>
          </w:tcPr>
          <w:p>
            <w:pPr>
              <w:spacing w:after="0" w:line="182" w:lineRule="exact"/>
              <w:rPr>
                <w:sz w:val="20"/>
                <w:szCs w:val="20"/>
                <w:color w:val="auto"/>
              </w:rPr>
            </w:pPr>
            <w:r>
              <w:rPr>
                <w:rFonts w:ascii="Arial" w:cs="Arial" w:eastAsia="Arial" w:hAnsi="Arial"/>
                <w:sz w:val="18"/>
                <w:szCs w:val="18"/>
                <w:color w:val="0000EE"/>
                <w:w w:val="96"/>
              </w:rPr>
              <w:t>INDEX TO CONSOLIDATED FINANCIAL STATEMENTS</w:t>
            </w:r>
          </w:p>
        </w:tc>
        <w:tc>
          <w:tcPr>
            <w:tcW w:w="80" w:type="dxa"/>
            <w:vAlign w:val="bottom"/>
            <w:tcBorders>
              <w:bottom w:val="single" w:sz="8" w:color="0000EE"/>
            </w:tcBorders>
          </w:tcPr>
          <w:p>
            <w:pPr>
              <w:spacing w:after="0"/>
              <w:rPr>
                <w:sz w:val="15"/>
                <w:szCs w:val="15"/>
                <w:color w:val="auto"/>
              </w:rPr>
            </w:pPr>
          </w:p>
        </w:tc>
        <w:tc>
          <w:tcPr>
            <w:tcW w:w="6040" w:type="dxa"/>
            <w:vAlign w:val="bottom"/>
            <w:gridSpan w:val="6"/>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394335</wp:posOffset>
            </wp:positionV>
            <wp:extent cx="11144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Through and including           , 2026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6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Neither we, the selling stockholders, nor any of the underwriters has authorized anyone to provide you with any information or to make any representations other than those contained in this prospectus or in any free writing prospectuses we have prepared. Neither we, the selling stockholders, nor any of the underwriters takes any responsibility for, and can provide no assurance as to the reliability of, any other information that others may give you. We and the selling stockholders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results of operations, and growth prospects may have changed since that date.</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320" w:top="455"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GLOSSARY OF TERMS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prospectus, unless the context indicates or otherwise requires, the following terms have the following meanings:</w:t>
      </w:r>
    </w:p>
    <w:p>
      <w:pPr>
        <w:spacing w:after="0" w:line="104" w:lineRule="exact"/>
        <w:rPr>
          <w:sz w:val="20"/>
          <w:szCs w:val="20"/>
          <w:color w:val="auto"/>
        </w:rPr>
      </w:pPr>
    </w:p>
    <w:p>
      <w:pPr>
        <w:ind w:left="660" w:right="200"/>
        <w:spacing w:after="0" w:line="253" w:lineRule="auto"/>
        <w:rPr>
          <w:sz w:val="20"/>
          <w:szCs w:val="20"/>
          <w:color w:val="auto"/>
        </w:rPr>
      </w:pPr>
      <w:r>
        <w:rPr>
          <w:rFonts w:ascii="Arial" w:cs="Arial" w:eastAsia="Arial" w:hAnsi="Arial"/>
          <w:sz w:val="18"/>
          <w:szCs w:val="18"/>
          <w:i w:val="1"/>
          <w:iCs w:val="1"/>
          <w:color w:val="auto"/>
        </w:rPr>
        <w:t xml:space="preserve">Activated Policy: </w:t>
      </w:r>
      <w:r>
        <w:rPr>
          <w:rFonts w:ascii="Arial" w:cs="Arial" w:eastAsia="Arial" w:hAnsi="Arial"/>
          <w:sz w:val="18"/>
          <w:szCs w:val="18"/>
          <w:color w:val="auto"/>
        </w:rPr>
        <w:t>An insurance policy that was sold through our platform. Activated policies include insurance policies issued and</w:t>
      </w:r>
      <w:r>
        <w:rPr>
          <w:rFonts w:ascii="Arial" w:cs="Arial" w:eastAsia="Arial" w:hAnsi="Arial"/>
          <w:sz w:val="18"/>
          <w:szCs w:val="18"/>
          <w:i w:val="1"/>
          <w:iCs w:val="1"/>
          <w:color w:val="auto"/>
        </w:rPr>
        <w:t xml:space="preserve"> </w:t>
      </w:r>
      <w:r>
        <w:rPr>
          <w:rFonts w:ascii="Arial" w:cs="Arial" w:eastAsia="Arial" w:hAnsi="Arial"/>
          <w:sz w:val="18"/>
          <w:szCs w:val="18"/>
          <w:color w:val="auto"/>
        </w:rPr>
        <w:t>sold to consumers who come to our platform directly as well as those sourced through third-party channels. The number of activated policies does not include any Wills &amp; Estate Planning products.</w:t>
      </w:r>
    </w:p>
    <w:p>
      <w:pPr>
        <w:spacing w:after="0" w:line="61" w:lineRule="exact"/>
        <w:rPr>
          <w:sz w:val="20"/>
          <w:szCs w:val="20"/>
          <w:color w:val="auto"/>
        </w:rPr>
      </w:pPr>
    </w:p>
    <w:p>
      <w:pPr>
        <w:ind w:left="660" w:right="120"/>
        <w:spacing w:after="0" w:line="271" w:lineRule="auto"/>
        <w:rPr>
          <w:sz w:val="20"/>
          <w:szCs w:val="20"/>
          <w:color w:val="auto"/>
        </w:rPr>
      </w:pPr>
      <w:r>
        <w:rPr>
          <w:rFonts w:ascii="Arial" w:cs="Arial" w:eastAsia="Arial" w:hAnsi="Arial"/>
          <w:sz w:val="18"/>
          <w:szCs w:val="18"/>
          <w:i w:val="1"/>
          <w:iCs w:val="1"/>
          <w:color w:val="auto"/>
        </w:rPr>
        <w:t xml:space="preserve">Active Carriers: </w:t>
      </w:r>
      <w:r>
        <w:rPr>
          <w:rFonts w:ascii="Arial" w:cs="Arial" w:eastAsia="Arial" w:hAnsi="Arial"/>
          <w:sz w:val="18"/>
          <w:szCs w:val="18"/>
          <w:color w:val="auto"/>
        </w:rPr>
        <w:t>Carriers that issued at least one policy through our platform within the last 12 months and were continuing to offer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through our platform as of September 30, 2025.</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Active Selling Agents: </w:t>
      </w:r>
      <w:r>
        <w:rPr>
          <w:rFonts w:ascii="Arial" w:cs="Arial" w:eastAsia="Arial" w:hAnsi="Arial"/>
          <w:sz w:val="18"/>
          <w:szCs w:val="18"/>
          <w:color w:val="auto"/>
        </w:rPr>
        <w:t>Agents who have activated a policy through our platform within the last 12 months.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Agencies: </w:t>
      </w:r>
      <w:r>
        <w:rPr>
          <w:rFonts w:ascii="Arial" w:cs="Arial" w:eastAsia="Arial" w:hAnsi="Arial"/>
          <w:sz w:val="18"/>
          <w:szCs w:val="18"/>
          <w:color w:val="auto"/>
        </w:rPr>
        <w:t>Independent insurance agencies that are not owned or operated by us but use our platform to sell insurance products.</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agencies employ, or contract with, agents who engage with consumers and submit applications through our platform.</w:t>
      </w:r>
    </w:p>
    <w:p>
      <w:pPr>
        <w:spacing w:after="0" w:line="86" w:lineRule="exact"/>
        <w:rPr>
          <w:sz w:val="20"/>
          <w:szCs w:val="20"/>
          <w:color w:val="auto"/>
        </w:rPr>
      </w:pPr>
    </w:p>
    <w:p>
      <w:pPr>
        <w:ind w:left="660" w:right="180"/>
        <w:spacing w:after="0" w:line="271" w:lineRule="auto"/>
        <w:rPr>
          <w:sz w:val="20"/>
          <w:szCs w:val="20"/>
          <w:color w:val="auto"/>
        </w:rPr>
      </w:pPr>
      <w:r>
        <w:rPr>
          <w:rFonts w:ascii="Arial" w:cs="Arial" w:eastAsia="Arial" w:hAnsi="Arial"/>
          <w:sz w:val="18"/>
          <w:szCs w:val="18"/>
          <w:i w:val="1"/>
          <w:iCs w:val="1"/>
          <w:color w:val="auto"/>
        </w:rPr>
        <w:t xml:space="preserve">Agent Payments: </w:t>
      </w:r>
      <w:r>
        <w:rPr>
          <w:rFonts w:ascii="Arial" w:cs="Arial" w:eastAsia="Arial" w:hAnsi="Arial"/>
          <w:sz w:val="18"/>
          <w:szCs w:val="18"/>
          <w:color w:val="auto"/>
        </w:rPr>
        <w:t>Amounts paid by us to agents or agencies in connection with both policy sales and sale referrals made by such</w:t>
      </w:r>
      <w:r>
        <w:rPr>
          <w:rFonts w:ascii="Arial" w:cs="Arial" w:eastAsia="Arial" w:hAnsi="Arial"/>
          <w:sz w:val="18"/>
          <w:szCs w:val="18"/>
          <w:i w:val="1"/>
          <w:iCs w:val="1"/>
          <w:color w:val="auto"/>
        </w:rPr>
        <w:t xml:space="preserve"> </w:t>
      </w:r>
      <w:r>
        <w:rPr>
          <w:rFonts w:ascii="Arial" w:cs="Arial" w:eastAsia="Arial" w:hAnsi="Arial"/>
          <w:sz w:val="18"/>
          <w:szCs w:val="18"/>
          <w:color w:val="auto"/>
        </w:rPr>
        <w:t>agents, or in the case of payments made to agencies, their affiliated agents, on our platform.</w:t>
      </w:r>
    </w:p>
    <w:p>
      <w:pPr>
        <w:spacing w:after="0" w:line="46" w:lineRule="exact"/>
        <w:rPr>
          <w:sz w:val="20"/>
          <w:szCs w:val="20"/>
          <w:color w:val="auto"/>
        </w:rPr>
      </w:pPr>
    </w:p>
    <w:p>
      <w:pPr>
        <w:ind w:left="660" w:right="320"/>
        <w:spacing w:after="0" w:line="271" w:lineRule="auto"/>
        <w:rPr>
          <w:sz w:val="20"/>
          <w:szCs w:val="20"/>
          <w:color w:val="auto"/>
        </w:rPr>
      </w:pPr>
      <w:r>
        <w:rPr>
          <w:rFonts w:ascii="Arial" w:cs="Arial" w:eastAsia="Arial" w:hAnsi="Arial"/>
          <w:sz w:val="18"/>
          <w:szCs w:val="18"/>
          <w:i w:val="1"/>
          <w:iCs w:val="1"/>
          <w:color w:val="auto"/>
        </w:rPr>
        <w:t>Agents</w:t>
      </w:r>
      <w:r>
        <w:rPr>
          <w:rFonts w:ascii="Arial" w:cs="Arial" w:eastAsia="Arial" w:hAnsi="Arial"/>
          <w:sz w:val="18"/>
          <w:szCs w:val="18"/>
          <w:color w:val="auto"/>
        </w:rPr>
        <w:t>: Individuals licensed to sell insurance policies in the relevant jurisdiction, whether captive, independent, or affiliated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agencies, including those who sell insurance and related products through our platform.</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Carrier: </w:t>
      </w:r>
      <w:r>
        <w:rPr>
          <w:rFonts w:ascii="Arial" w:cs="Arial" w:eastAsia="Arial" w:hAnsi="Arial"/>
          <w:sz w:val="18"/>
          <w:szCs w:val="18"/>
          <w:color w:val="auto"/>
        </w:rPr>
        <w:t>A licensed insurance company.</w:t>
      </w:r>
    </w:p>
    <w:p>
      <w:pPr>
        <w:spacing w:after="0" w:line="104" w:lineRule="exact"/>
        <w:rPr>
          <w:sz w:val="20"/>
          <w:szCs w:val="20"/>
          <w:color w:val="auto"/>
        </w:rPr>
      </w:pPr>
    </w:p>
    <w:p>
      <w:pPr>
        <w:jc w:val="both"/>
        <w:ind w:left="660" w:right="20"/>
        <w:spacing w:after="0" w:line="253" w:lineRule="auto"/>
        <w:rPr>
          <w:sz w:val="20"/>
          <w:szCs w:val="20"/>
          <w:color w:val="auto"/>
        </w:rPr>
      </w:pPr>
      <w:r>
        <w:rPr>
          <w:rFonts w:ascii="Arial" w:cs="Arial" w:eastAsia="Arial" w:hAnsi="Arial"/>
          <w:sz w:val="18"/>
          <w:szCs w:val="18"/>
          <w:i w:val="1"/>
          <w:iCs w:val="1"/>
          <w:color w:val="auto"/>
        </w:rPr>
        <w:t xml:space="preserve">Commissions: </w:t>
      </w:r>
      <w:r>
        <w:rPr>
          <w:rFonts w:ascii="Arial" w:cs="Arial" w:eastAsia="Arial" w:hAnsi="Arial"/>
          <w:sz w:val="18"/>
          <w:szCs w:val="18"/>
          <w:color w:val="auto"/>
        </w:rPr>
        <w:t>The compensation paid by a carrier to us for an activated policy. Commissions are based on the annual premium of</w:t>
      </w:r>
      <w:r>
        <w:rPr>
          <w:rFonts w:ascii="Arial" w:cs="Arial" w:eastAsia="Arial" w:hAnsi="Arial"/>
          <w:sz w:val="18"/>
          <w:szCs w:val="18"/>
          <w:i w:val="1"/>
          <w:iCs w:val="1"/>
          <w:color w:val="auto"/>
        </w:rPr>
        <w:t xml:space="preserve"> </w:t>
      </w:r>
      <w:r>
        <w:rPr>
          <w:rFonts w:ascii="Arial" w:cs="Arial" w:eastAsia="Arial" w:hAnsi="Arial"/>
          <w:sz w:val="18"/>
          <w:szCs w:val="18"/>
          <w:color w:val="auto"/>
        </w:rPr>
        <w:t>an activated policy and are typically paid throughout the life of the policy. The majority of a policy’s lifetime commissions are paid in the first year following activation.</w:t>
      </w:r>
    </w:p>
    <w:p>
      <w:pPr>
        <w:spacing w:after="0" w:line="61" w:lineRule="exact"/>
        <w:rPr>
          <w:sz w:val="20"/>
          <w:szCs w:val="20"/>
          <w:color w:val="auto"/>
        </w:rPr>
      </w:pPr>
    </w:p>
    <w:p>
      <w:pPr>
        <w:ind w:left="660" w:right="320"/>
        <w:spacing w:after="0" w:line="271" w:lineRule="auto"/>
        <w:rPr>
          <w:sz w:val="20"/>
          <w:szCs w:val="20"/>
          <w:color w:val="auto"/>
        </w:rPr>
      </w:pPr>
      <w:r>
        <w:rPr>
          <w:rFonts w:ascii="Arial" w:cs="Arial" w:eastAsia="Arial" w:hAnsi="Arial"/>
          <w:sz w:val="18"/>
          <w:szCs w:val="18"/>
          <w:i w:val="1"/>
          <w:iCs w:val="1"/>
          <w:color w:val="auto"/>
        </w:rPr>
        <w:t xml:space="preserve">Commission Rates: </w:t>
      </w:r>
      <w:r>
        <w:rPr>
          <w:rFonts w:ascii="Arial" w:cs="Arial" w:eastAsia="Arial" w:hAnsi="Arial"/>
          <w:sz w:val="18"/>
          <w:szCs w:val="18"/>
          <w:color w:val="auto"/>
        </w:rPr>
        <w:t>The percentage of the policy premium in each policy year paid to us as commission. Commission rates are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contractually defined with carriers and reviewed on an annual basis.</w:t>
      </w:r>
    </w:p>
    <w:p>
      <w:pPr>
        <w:spacing w:after="0" w:line="46" w:lineRule="exact"/>
        <w:rPr>
          <w:sz w:val="20"/>
          <w:szCs w:val="20"/>
          <w:color w:val="auto"/>
        </w:rPr>
      </w:pPr>
    </w:p>
    <w:p>
      <w:pPr>
        <w:ind w:left="660" w:right="120"/>
        <w:spacing w:after="0" w:line="271" w:lineRule="auto"/>
        <w:rPr>
          <w:sz w:val="20"/>
          <w:szCs w:val="20"/>
          <w:color w:val="auto"/>
        </w:rPr>
      </w:pPr>
      <w:r>
        <w:rPr>
          <w:rFonts w:ascii="Arial" w:cs="Arial" w:eastAsia="Arial" w:hAnsi="Arial"/>
          <w:sz w:val="18"/>
          <w:szCs w:val="18"/>
          <w:i w:val="1"/>
          <w:iCs w:val="1"/>
          <w:color w:val="auto"/>
        </w:rPr>
        <w:t xml:space="preserve">Consumers: </w:t>
      </w:r>
      <w:r>
        <w:rPr>
          <w:rFonts w:ascii="Arial" w:cs="Arial" w:eastAsia="Arial" w:hAnsi="Arial"/>
          <w:sz w:val="18"/>
          <w:szCs w:val="18"/>
          <w:color w:val="auto"/>
        </w:rPr>
        <w:t>Individuals who apply for and purchase insurance and related products on our platform, either directly, or through our</w:t>
      </w:r>
      <w:r>
        <w:rPr>
          <w:rFonts w:ascii="Arial" w:cs="Arial" w:eastAsia="Arial" w:hAnsi="Arial"/>
          <w:sz w:val="18"/>
          <w:szCs w:val="18"/>
          <w:i w:val="1"/>
          <w:iCs w:val="1"/>
          <w:color w:val="auto"/>
        </w:rPr>
        <w:t xml:space="preserve"> </w:t>
      </w:r>
      <w:r>
        <w:rPr>
          <w:rFonts w:ascii="Arial" w:cs="Arial" w:eastAsia="Arial" w:hAnsi="Arial"/>
          <w:sz w:val="18"/>
          <w:szCs w:val="18"/>
          <w:color w:val="auto"/>
        </w:rPr>
        <w:t>third-party channel.</w:t>
      </w:r>
    </w:p>
    <w:p>
      <w:pPr>
        <w:spacing w:after="0" w:line="46" w:lineRule="exact"/>
        <w:rPr>
          <w:sz w:val="20"/>
          <w:szCs w:val="20"/>
          <w:color w:val="auto"/>
        </w:rPr>
      </w:pPr>
    </w:p>
    <w:p>
      <w:pPr>
        <w:ind w:left="660"/>
        <w:spacing w:after="0" w:line="242" w:lineRule="auto"/>
        <w:rPr>
          <w:sz w:val="20"/>
          <w:szCs w:val="20"/>
          <w:color w:val="auto"/>
        </w:rPr>
      </w:pPr>
      <w:r>
        <w:rPr>
          <w:rFonts w:ascii="Arial" w:cs="Arial" w:eastAsia="Arial" w:hAnsi="Arial"/>
          <w:sz w:val="18"/>
          <w:szCs w:val="18"/>
          <w:i w:val="1"/>
          <w:iCs w:val="1"/>
          <w:color w:val="auto"/>
        </w:rPr>
        <w:t xml:space="preserve">NPS: </w:t>
      </w:r>
      <w:r>
        <w:rPr>
          <w:rFonts w:ascii="Arial" w:cs="Arial" w:eastAsia="Arial" w:hAnsi="Arial"/>
          <w:sz w:val="18"/>
          <w:szCs w:val="18"/>
          <w:color w:val="auto"/>
        </w:rPr>
        <w:t>Net promoter score, or NPS, is a standardized measure of consumer satisfaction and loyalty and can range from a low of</w:t>
      </w:r>
      <w:r>
        <w:rPr>
          <w:rFonts w:ascii="Arial" w:cs="Arial" w:eastAsia="Arial" w:hAnsi="Arial"/>
          <w:sz w:val="18"/>
          <w:szCs w:val="18"/>
          <w:i w:val="1"/>
          <w:iCs w:val="1"/>
          <w:color w:val="auto"/>
        </w:rPr>
        <w:t xml:space="preserve"> </w:t>
      </w:r>
      <w:r>
        <w:rPr>
          <w:rFonts w:ascii="Arial" w:cs="Arial" w:eastAsia="Arial" w:hAnsi="Arial"/>
          <w:sz w:val="18"/>
          <w:szCs w:val="18"/>
          <w:color w:val="auto"/>
        </w:rPr>
        <w:t>negative 100 to a high of positive 100. NPS benchmarks can vary significantly by industry, but a score greater than zero represents a company that has more promoters than detractors. Our NPS is calculated using a third-party platform. We use NPS to assess consumer satisfaction and experience with policies sold through our platform for which we serve as the third-party administrator and to evaluate performance across carriers on our platform on average over a given period. Our NPS provided in this prospectus reflects the nine months ended September 30, 2025.</w:t>
      </w:r>
    </w:p>
    <w:p>
      <w:pPr>
        <w:spacing w:after="0" w:line="71" w:lineRule="exact"/>
        <w:rPr>
          <w:sz w:val="20"/>
          <w:szCs w:val="20"/>
          <w:color w:val="auto"/>
        </w:rPr>
      </w:pPr>
    </w:p>
    <w:p>
      <w:pPr>
        <w:ind w:left="660" w:right="160"/>
        <w:spacing w:after="0" w:line="253" w:lineRule="auto"/>
        <w:rPr>
          <w:sz w:val="20"/>
          <w:szCs w:val="20"/>
          <w:color w:val="auto"/>
        </w:rPr>
      </w:pPr>
      <w:r>
        <w:rPr>
          <w:rFonts w:ascii="Arial" w:cs="Arial" w:eastAsia="Arial" w:hAnsi="Arial"/>
          <w:sz w:val="18"/>
          <w:szCs w:val="18"/>
          <w:i w:val="1"/>
          <w:iCs w:val="1"/>
          <w:color w:val="auto"/>
        </w:rPr>
        <w:t xml:space="preserve">Persistency: </w:t>
      </w:r>
      <w:r>
        <w:rPr>
          <w:rFonts w:ascii="Arial" w:cs="Arial" w:eastAsia="Arial" w:hAnsi="Arial"/>
          <w:sz w:val="18"/>
          <w:szCs w:val="18"/>
          <w:color w:val="auto"/>
        </w:rPr>
        <w:t>The term “persistency” refers to how long activated policies remain active throughout their terms. Observed</w:t>
      </w:r>
      <w:r>
        <w:rPr>
          <w:rFonts w:ascii="Arial" w:cs="Arial" w:eastAsia="Arial" w:hAnsi="Arial"/>
          <w:sz w:val="18"/>
          <w:szCs w:val="18"/>
          <w:i w:val="1"/>
          <w:iCs w:val="1"/>
          <w:color w:val="auto"/>
        </w:rPr>
        <w:t xml:space="preserve"> </w:t>
      </w:r>
      <w:r>
        <w:rPr>
          <w:rFonts w:ascii="Arial" w:cs="Arial" w:eastAsia="Arial" w:hAnsi="Arial"/>
          <w:sz w:val="18"/>
          <w:szCs w:val="18"/>
          <w:color w:val="auto"/>
        </w:rPr>
        <w:t>persistency for policies of a particular product type changes over time as activated policies are terminated prior to the end of their terms.</w:t>
      </w:r>
    </w:p>
    <w:p>
      <w:pPr>
        <w:spacing w:after="0" w:line="61" w:lineRule="exact"/>
        <w:rPr>
          <w:sz w:val="20"/>
          <w:szCs w:val="20"/>
          <w:color w:val="auto"/>
        </w:rPr>
      </w:pPr>
    </w:p>
    <w:p>
      <w:pPr>
        <w:ind w:left="660" w:right="260"/>
        <w:spacing w:after="0" w:line="247" w:lineRule="auto"/>
        <w:rPr>
          <w:sz w:val="20"/>
          <w:szCs w:val="20"/>
          <w:color w:val="auto"/>
        </w:rPr>
      </w:pPr>
      <w:r>
        <w:rPr>
          <w:rFonts w:ascii="Arial" w:cs="Arial" w:eastAsia="Arial" w:hAnsi="Arial"/>
          <w:sz w:val="18"/>
          <w:szCs w:val="18"/>
          <w:i w:val="1"/>
          <w:iCs w:val="1"/>
          <w:color w:val="auto"/>
        </w:rPr>
        <w:t xml:space="preserve">Persistency Estimate: </w:t>
      </w:r>
      <w:r>
        <w:rPr>
          <w:rFonts w:ascii="Arial" w:cs="Arial" w:eastAsia="Arial" w:hAnsi="Arial"/>
          <w:sz w:val="18"/>
          <w:szCs w:val="18"/>
          <w:color w:val="auto"/>
        </w:rPr>
        <w:t>The term persistency estimate refers to a percentage estimating the likelihood that a currently activated</w:t>
      </w:r>
      <w:r>
        <w:rPr>
          <w:rFonts w:ascii="Arial" w:cs="Arial" w:eastAsia="Arial" w:hAnsi="Arial"/>
          <w:sz w:val="18"/>
          <w:szCs w:val="18"/>
          <w:i w:val="1"/>
          <w:iCs w:val="1"/>
          <w:color w:val="auto"/>
        </w:rPr>
        <w:t xml:space="preserve"> </w:t>
      </w:r>
      <w:r>
        <w:rPr>
          <w:rFonts w:ascii="Arial" w:cs="Arial" w:eastAsia="Arial" w:hAnsi="Arial"/>
          <w:sz w:val="18"/>
          <w:szCs w:val="18"/>
          <w:color w:val="auto"/>
        </w:rPr>
        <w:t>policy will remain active throughout the policy’s term. We derive the persistency estimate for a policy using our observed persistency data applicable to that policy as well as relevant industry persistency data. We apply the persistency estimate for an activated</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80"/>
          </w:cols>
          <w:pgMar w:left="320" w:top="455"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660" w:right="640"/>
        <w:spacing w:after="0" w:line="271" w:lineRule="auto"/>
        <w:rPr>
          <w:sz w:val="20"/>
          <w:szCs w:val="20"/>
          <w:color w:val="auto"/>
        </w:rPr>
      </w:pPr>
      <w:r>
        <w:rPr>
          <w:rFonts w:ascii="Arial" w:cs="Arial" w:eastAsia="Arial" w:hAnsi="Arial"/>
          <w:sz w:val="18"/>
          <w:szCs w:val="18"/>
          <w:color w:val="auto"/>
        </w:rPr>
        <w:t>policy when recognizing revenue from that policy, and we regularly review, and update as needed, persistency estimates as observed persistency applicable to that policy changes over time.</w:t>
      </w:r>
    </w:p>
    <w:p>
      <w:pPr>
        <w:spacing w:after="0" w:line="46" w:lineRule="exact"/>
        <w:rPr>
          <w:sz w:val="20"/>
          <w:szCs w:val="20"/>
          <w:color w:val="auto"/>
        </w:rPr>
      </w:pPr>
    </w:p>
    <w:p>
      <w:pPr>
        <w:jc w:val="both"/>
        <w:ind w:left="660" w:right="40"/>
        <w:spacing w:after="0" w:line="253" w:lineRule="auto"/>
        <w:rPr>
          <w:sz w:val="20"/>
          <w:szCs w:val="20"/>
          <w:color w:val="auto"/>
        </w:rPr>
      </w:pPr>
      <w:r>
        <w:rPr>
          <w:rFonts w:ascii="Arial" w:cs="Arial" w:eastAsia="Arial" w:hAnsi="Arial"/>
          <w:sz w:val="18"/>
          <w:szCs w:val="18"/>
          <w:i w:val="1"/>
          <w:iCs w:val="1"/>
          <w:color w:val="auto"/>
        </w:rPr>
        <w:t xml:space="preserve">Post-Issue Audit: </w:t>
      </w:r>
      <w:r>
        <w:rPr>
          <w:rFonts w:ascii="Arial" w:cs="Arial" w:eastAsia="Arial" w:hAnsi="Arial"/>
          <w:sz w:val="18"/>
          <w:szCs w:val="18"/>
          <w:color w:val="auto"/>
        </w:rPr>
        <w:t>A review process conducted periodically by Ethos after a policy has been activated to validate digital underwriting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The audits may result in recommendations for policy termination where discrepancies are identified. While we conduct the audit, implementation of any resulting actions, such as policy terminations, is typically carried out by the issuing carriers.</w:t>
      </w:r>
    </w:p>
    <w:p>
      <w:pPr>
        <w:spacing w:after="0" w:line="61" w:lineRule="exact"/>
        <w:rPr>
          <w:sz w:val="20"/>
          <w:szCs w:val="20"/>
          <w:color w:val="auto"/>
        </w:rPr>
      </w:pPr>
    </w:p>
    <w:p>
      <w:pPr>
        <w:ind w:left="660" w:right="40"/>
        <w:spacing w:after="0" w:line="247" w:lineRule="auto"/>
        <w:rPr>
          <w:sz w:val="20"/>
          <w:szCs w:val="20"/>
          <w:color w:val="auto"/>
        </w:rPr>
      </w:pPr>
      <w:r>
        <w:rPr>
          <w:rFonts w:ascii="Arial" w:cs="Arial" w:eastAsia="Arial" w:hAnsi="Arial"/>
          <w:sz w:val="18"/>
          <w:szCs w:val="18"/>
          <w:i w:val="1"/>
          <w:iCs w:val="1"/>
          <w:color w:val="auto"/>
        </w:rPr>
        <w:t xml:space="preserve">Terminations: </w:t>
      </w:r>
      <w:r>
        <w:rPr>
          <w:rFonts w:ascii="Arial" w:cs="Arial" w:eastAsia="Arial" w:hAnsi="Arial"/>
          <w:sz w:val="18"/>
          <w:szCs w:val="18"/>
          <w:color w:val="auto"/>
        </w:rPr>
        <w:t>Previously activated policies that cease to be active due to either (i) policy lapses, which are primarily driven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consumer’s failure to pay their premiums or voluntary consumer cancellations, (ii) policy rescissions, which are cancellations by the carrier typically resulting from misrepresentation or non-disclosure of material facts by the consumer discovered during post-issue audits, or (iii) death of the consumer.</w:t>
      </w:r>
    </w:p>
    <w:p>
      <w:pPr>
        <w:spacing w:after="0" w:line="66" w:lineRule="exact"/>
        <w:rPr>
          <w:sz w:val="20"/>
          <w:szCs w:val="20"/>
          <w:color w:val="auto"/>
        </w:rPr>
      </w:pPr>
    </w:p>
    <w:p>
      <w:pPr>
        <w:ind w:left="660" w:right="220"/>
        <w:spacing w:after="0" w:line="253" w:lineRule="auto"/>
        <w:rPr>
          <w:sz w:val="20"/>
          <w:szCs w:val="20"/>
          <w:color w:val="auto"/>
        </w:rPr>
      </w:pPr>
      <w:r>
        <w:rPr>
          <w:rFonts w:ascii="Arial" w:cs="Arial" w:eastAsia="Arial" w:hAnsi="Arial"/>
          <w:sz w:val="18"/>
          <w:szCs w:val="18"/>
          <w:i w:val="1"/>
          <w:iCs w:val="1"/>
          <w:color w:val="auto"/>
        </w:rPr>
        <w:t>Third-Party Channel</w:t>
      </w:r>
      <w:r>
        <w:rPr>
          <w:rFonts w:ascii="Arial" w:cs="Arial" w:eastAsia="Arial" w:hAnsi="Arial"/>
          <w:sz w:val="18"/>
          <w:szCs w:val="18"/>
          <w:color w:val="auto"/>
        </w:rPr>
        <w:t>: Our external distribution network, which is composed of independent insurance agencies, their affiliated</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agents, independent agents, third-party fintech companies, and other third parties that refer consumers to, or enable the sale of, insurance products through our platform.</w:t>
      </w:r>
    </w:p>
    <w:p>
      <w:pPr>
        <w:spacing w:after="0" w:line="61"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i w:val="1"/>
          <w:iCs w:val="1"/>
          <w:color w:val="auto"/>
        </w:rPr>
        <w:t xml:space="preserve">Underwriting Costs: </w:t>
      </w:r>
      <w:r>
        <w:rPr>
          <w:rFonts w:ascii="Arial" w:cs="Arial" w:eastAsia="Arial" w:hAnsi="Arial"/>
          <w:sz w:val="18"/>
          <w:szCs w:val="18"/>
          <w:color w:val="auto"/>
        </w:rPr>
        <w:t>The costs incurred throughout the underwriting process for both activated and non-activated policies,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associated with obtaining third-party evidences (such as prescription history, credit-based insurance scores and motor vehicle records), and, separately, costs related to post-issue audits.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70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14" w:lineRule="exact"/>
        <w:rPr>
          <w:sz w:val="20"/>
          <w:szCs w:val="20"/>
          <w:color w:val="auto"/>
        </w:rPr>
      </w:pPr>
    </w:p>
    <w:p>
      <w:pPr>
        <w:ind w:left="300" w:firstLine="532"/>
        <w:spacing w:after="0" w:line="239"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“Special Note Regarding Forward-Looking Statements,” and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“we,” “us,” “our,” “our company,” “the Company,” and “Ethos” refer to Ethos Technologies Inc. and its consolidated subsidiaries. Unless otherwise indicated, references to our “common stock” include our Class A common stock and Class B common stock.</w:t>
      </w:r>
    </w:p>
    <w:p>
      <w:pPr>
        <w:spacing w:after="0" w:line="200" w:lineRule="exact"/>
        <w:rPr>
          <w:sz w:val="20"/>
          <w:szCs w:val="20"/>
          <w:color w:val="auto"/>
        </w:rPr>
      </w:pPr>
    </w:p>
    <w:p>
      <w:pPr>
        <w:spacing w:after="0" w:line="2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ETHOS TECHNOLOGIES INC.</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Mission</w:t>
      </w:r>
    </w:p>
    <w:p>
      <w:pPr>
        <w:spacing w:after="0" w:line="10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mission is to protect families by democratizing access to life insurance and empowering agents at scale.</w:t>
      </w:r>
    </w:p>
    <w:p>
      <w:pPr>
        <w:spacing w:after="0" w:line="212" w:lineRule="exact"/>
        <w:rPr>
          <w:sz w:val="20"/>
          <w:szCs w:val="20"/>
          <w:color w:val="auto"/>
        </w:rPr>
      </w:pPr>
    </w:p>
    <w:p>
      <w:pPr>
        <w:ind w:left="300" w:right="780" w:firstLine="532"/>
        <w:spacing w:after="0" w:line="271" w:lineRule="auto"/>
        <w:rPr>
          <w:sz w:val="20"/>
          <w:szCs w:val="20"/>
          <w:color w:val="auto"/>
        </w:rPr>
      </w:pPr>
      <w:r>
        <w:rPr>
          <w:rFonts w:ascii="Arial" w:cs="Arial" w:eastAsia="Arial" w:hAnsi="Arial"/>
          <w:sz w:val="18"/>
          <w:szCs w:val="18"/>
          <w:color w:val="auto"/>
        </w:rPr>
        <w:t>To achieve this mission, we built Ethos, a three-sided technology platform that transforms the buying, selling, and risk management experience of life insurance for consumers, agents, and carriers alike.</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Problem with the Legacy Life Insurance Process</w:t>
      </w:r>
    </w:p>
    <w:p>
      <w:pPr>
        <w:spacing w:after="0" w:line="102" w:lineRule="exact"/>
        <w:rPr>
          <w:sz w:val="20"/>
          <w:szCs w:val="20"/>
          <w:color w:val="auto"/>
        </w:rPr>
      </w:pPr>
    </w:p>
    <w:p>
      <w:pPr>
        <w:ind w:left="300" w:right="340" w:firstLine="532"/>
        <w:spacing w:after="0" w:line="271" w:lineRule="auto"/>
        <w:rPr>
          <w:sz w:val="20"/>
          <w:szCs w:val="20"/>
          <w:color w:val="auto"/>
        </w:rPr>
      </w:pPr>
      <w:r>
        <w:rPr>
          <w:rFonts w:ascii="Arial" w:cs="Arial" w:eastAsia="Arial" w:hAnsi="Arial"/>
          <w:sz w:val="18"/>
          <w:szCs w:val="18"/>
          <w:color w:val="auto"/>
        </w:rPr>
        <w:t>Life insurance is a pillar of financial security. It provides individuals and their families peace of mind and financial protection against unforeseen events.</w:t>
      </w:r>
    </w:p>
    <w:p>
      <w:pPr>
        <w:spacing w:after="0" w:line="154" w:lineRule="exact"/>
        <w:rPr>
          <w:sz w:val="20"/>
          <w:szCs w:val="20"/>
          <w:color w:val="auto"/>
        </w:rPr>
      </w:pPr>
    </w:p>
    <w:p>
      <w:pPr>
        <w:jc w:val="both"/>
        <w:ind w:left="300" w:firstLine="532"/>
        <w:spacing w:after="0" w:line="253" w:lineRule="auto"/>
        <w:rPr>
          <w:sz w:val="20"/>
          <w:szCs w:val="20"/>
          <w:color w:val="auto"/>
        </w:rPr>
      </w:pPr>
      <w:r>
        <w:rPr>
          <w:rFonts w:ascii="Arial" w:cs="Arial" w:eastAsia="Arial" w:hAnsi="Arial"/>
          <w:sz w:val="18"/>
          <w:szCs w:val="18"/>
          <w:color w:val="auto"/>
        </w:rPr>
        <w:t>While technology has transformed almost every important personal and financial experience, from education to buying a home, banking, or investing, the experience of purchasing, selling, and administering life insurance has not meaningfully improved in several decades:</w:t>
      </w:r>
    </w:p>
    <w:p>
      <w:pPr>
        <w:spacing w:after="0" w:line="196" w:lineRule="exact"/>
        <w:rPr>
          <w:sz w:val="20"/>
          <w:szCs w:val="20"/>
          <w:color w:val="auto"/>
        </w:rPr>
      </w:pPr>
    </w:p>
    <w:p>
      <w:pPr>
        <w:ind w:left="1020" w:right="420" w:hanging="195"/>
        <w:spacing w:after="0" w:line="271"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Consumers: </w:t>
      </w:r>
      <w:r>
        <w:rPr>
          <w:rFonts w:ascii="Arial" w:cs="Arial" w:eastAsia="Arial" w:hAnsi="Arial"/>
          <w:sz w:val="18"/>
          <w:szCs w:val="18"/>
          <w:color w:val="auto"/>
        </w:rPr>
        <w:t>Consumers today face slow, complex, and opaque application processes that often discourage them from</w:t>
      </w:r>
      <w:r>
        <w:rPr>
          <w:rFonts w:ascii="Arial" w:cs="Arial" w:eastAsia="Arial" w:hAnsi="Arial"/>
          <w:sz w:val="18"/>
          <w:szCs w:val="18"/>
          <w:b w:val="1"/>
          <w:bCs w:val="1"/>
          <w:color w:val="auto"/>
        </w:rPr>
        <w:t xml:space="preserve"> </w:t>
      </w:r>
      <w:r>
        <w:rPr>
          <w:rFonts w:ascii="Arial" w:cs="Arial" w:eastAsia="Arial" w:hAnsi="Arial"/>
          <w:sz w:val="18"/>
          <w:szCs w:val="18"/>
          <w:color w:val="auto"/>
        </w:rPr>
        <w:t>obtaining the coverage they need.</w:t>
      </w:r>
    </w:p>
    <w:p>
      <w:pPr>
        <w:spacing w:after="0" w:line="59" w:lineRule="exact"/>
        <w:rPr>
          <w:rFonts w:ascii="Arial" w:cs="Arial" w:eastAsia="Arial" w:hAnsi="Arial"/>
          <w:sz w:val="18"/>
          <w:szCs w:val="18"/>
          <w:color w:val="auto"/>
        </w:rPr>
      </w:pPr>
    </w:p>
    <w:p>
      <w:pPr>
        <w:ind w:left="1020" w:right="560" w:hanging="195"/>
        <w:spacing w:after="0" w:line="301" w:lineRule="auto"/>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Agents: </w:t>
      </w:r>
      <w:r>
        <w:rPr>
          <w:rFonts w:ascii="Arial" w:cs="Arial" w:eastAsia="Arial" w:hAnsi="Arial"/>
          <w:sz w:val="17"/>
          <w:szCs w:val="17"/>
          <w:color w:val="auto"/>
        </w:rPr>
        <w:t>Agents are required to navigate complex underwriting guidelines and rely on legacy, disparate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that distract from insurance sales, create long sales cycles, and make case management labor-intensive.</w:t>
      </w:r>
    </w:p>
    <w:p>
      <w:pPr>
        <w:spacing w:after="0" w:line="36" w:lineRule="exact"/>
        <w:rPr>
          <w:rFonts w:ascii="Arial" w:cs="Arial" w:eastAsia="Arial" w:hAnsi="Arial"/>
          <w:sz w:val="17"/>
          <w:szCs w:val="17"/>
          <w:color w:val="auto"/>
        </w:rPr>
      </w:pPr>
    </w:p>
    <w:p>
      <w:pPr>
        <w:ind w:left="1020" w:hanging="195"/>
        <w:spacing w:after="0" w:line="271"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Carriers: </w:t>
      </w:r>
      <w:r>
        <w:rPr>
          <w:rFonts w:ascii="Arial" w:cs="Arial" w:eastAsia="Arial" w:hAnsi="Arial"/>
          <w:sz w:val="18"/>
          <w:szCs w:val="18"/>
          <w:color w:val="auto"/>
        </w:rPr>
        <w:t>Carriers rely on analog underwriting processes and siloed data, which limits the speed and scale at which they can</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 policies.</w:t>
      </w:r>
    </w:p>
    <w:p>
      <w:pPr>
        <w:spacing w:after="0" w:line="154" w:lineRule="exact"/>
        <w:rPr>
          <w:sz w:val="20"/>
          <w:szCs w:val="20"/>
          <w:color w:val="auto"/>
        </w:rPr>
      </w:pPr>
    </w:p>
    <w:p>
      <w:pPr>
        <w:ind w:left="300" w:right="160" w:firstLine="532"/>
        <w:spacing w:after="0" w:line="247" w:lineRule="auto"/>
        <w:rPr>
          <w:sz w:val="20"/>
          <w:szCs w:val="20"/>
          <w:color w:val="auto"/>
        </w:rPr>
      </w:pPr>
      <w:r>
        <w:rPr>
          <w:rFonts w:ascii="Arial" w:cs="Arial" w:eastAsia="Arial" w:hAnsi="Arial"/>
          <w:sz w:val="18"/>
          <w:szCs w:val="18"/>
          <w:color w:val="auto"/>
        </w:rPr>
        <w:t>As a result, there is a significant need for a new approach to life insurance in the United States. In 2024, 42% of American adults recognized they needed life insurance coverage but did not purchase it due to multiple reasons, notably the complexity of the products, perceived cost, and other financial priorities, according to the Life Insurance Marketing and Research Association, or LIMRA, a leading research organization for insurance and financial services companies.</w:t>
      </w:r>
    </w:p>
    <w:p>
      <w:pPr>
        <w:spacing w:after="0" w:line="29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5" w:right="6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0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850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Value Proposition to Consumers, Agents, and Carriers</w:t>
      </w:r>
    </w:p>
    <w:p>
      <w:pPr>
        <w:spacing w:after="0" w:line="102" w:lineRule="exact"/>
        <w:rPr>
          <w:sz w:val="20"/>
          <w:szCs w:val="20"/>
          <w:color w:val="auto"/>
        </w:rPr>
      </w:pPr>
    </w:p>
    <w:p>
      <w:pPr>
        <w:ind w:left="300" w:firstLine="532"/>
        <w:spacing w:after="0" w:line="253" w:lineRule="auto"/>
        <w:rPr>
          <w:sz w:val="20"/>
          <w:szCs w:val="20"/>
          <w:color w:val="auto"/>
        </w:rPr>
      </w:pPr>
      <w:r>
        <w:rPr>
          <w:rFonts w:ascii="Arial" w:cs="Arial" w:eastAsia="Arial" w:hAnsi="Arial"/>
          <w:sz w:val="18"/>
          <w:szCs w:val="18"/>
          <w:color w:val="auto"/>
        </w:rPr>
        <w:t>Through our three-sided technology platform, we serve a growing ecosystem of consumers, agents, and carriers, each of which benefits from the scale, ease-of-use, and efficiency of our platform. This creates strong network effects that drive our continued growth.</w:t>
      </w:r>
    </w:p>
    <w:p>
      <w:pPr>
        <w:spacing w:after="0" w:line="169" w:lineRule="exact"/>
        <w:rPr>
          <w:sz w:val="20"/>
          <w:szCs w:val="20"/>
          <w:color w:val="auto"/>
        </w:rPr>
      </w:pPr>
    </w:p>
    <w:p>
      <w:pPr>
        <w:ind w:left="300" w:right="280" w:firstLine="532"/>
        <w:spacing w:after="0" w:line="271" w:lineRule="auto"/>
        <w:rPr>
          <w:sz w:val="20"/>
          <w:szCs w:val="20"/>
          <w:color w:val="auto"/>
        </w:rPr>
      </w:pPr>
      <w:r>
        <w:rPr>
          <w:rFonts w:ascii="Arial" w:cs="Arial" w:eastAsia="Arial" w:hAnsi="Arial"/>
          <w:sz w:val="18"/>
          <w:szCs w:val="18"/>
          <w:color w:val="auto"/>
        </w:rPr>
        <w:t>Since inception, we have activated over 480,000 policies, and as of September 30, 2025, we had over 10,000 active selling agents and several active carriers on our platform.</w:t>
      </w:r>
    </w:p>
    <w:p>
      <w:pPr>
        <w:spacing w:after="0" w:line="59" w:lineRule="exact"/>
        <w:rPr>
          <w:sz w:val="20"/>
          <w:szCs w:val="20"/>
          <w:color w:val="auto"/>
        </w:rPr>
      </w:pPr>
    </w:p>
    <w:p>
      <w:pPr>
        <w:ind w:left="1020" w:right="20" w:hanging="195"/>
        <w:spacing w:after="0" w:line="25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Consumers: </w:t>
      </w:r>
      <w:r>
        <w:rPr>
          <w:rFonts w:ascii="Arial" w:cs="Arial" w:eastAsia="Arial" w:hAnsi="Arial"/>
          <w:sz w:val="18"/>
          <w:szCs w:val="18"/>
          <w:color w:val="auto"/>
        </w:rPr>
        <w:t>We remove the friction from buying life insurance with a 100% digital application and underwriting process that</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transparent pricing, a few health questions driven by our proprietary underwriting engine instead of lengthy and invasive medical exams, and decisions in minutes for almost all consumers.</w:t>
      </w:r>
    </w:p>
    <w:p>
      <w:pPr>
        <w:spacing w:after="0" w:line="74" w:lineRule="exact"/>
        <w:rPr>
          <w:rFonts w:ascii="Arial" w:cs="Arial" w:eastAsia="Arial" w:hAnsi="Arial"/>
          <w:sz w:val="18"/>
          <w:szCs w:val="18"/>
          <w:color w:val="auto"/>
        </w:rPr>
      </w:pPr>
    </w:p>
    <w:p>
      <w:pPr>
        <w:ind w:left="1020" w:right="160" w:hanging="195"/>
        <w:spacing w:after="0" w:line="24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Agents: </w:t>
      </w:r>
      <w:r>
        <w:rPr>
          <w:rFonts w:ascii="Arial" w:cs="Arial" w:eastAsia="Arial" w:hAnsi="Arial"/>
          <w:sz w:val="18"/>
          <w:szCs w:val="18"/>
          <w:color w:val="auto"/>
        </w:rPr>
        <w:t>Our platform is designed to enable agents to sell more policies and get paid quickly across a broad portfolio of</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We provide agents with an all-in-one agent operating system, or Agent OS, that streamlines quoting, application submission, and policy management. This reduces case management work and streamlines payments infrastructure, all of which substantially increase an agent’s time available to prospect and sell.</w:t>
      </w:r>
    </w:p>
    <w:p>
      <w:pPr>
        <w:spacing w:after="0" w:line="79" w:lineRule="exact"/>
        <w:rPr>
          <w:rFonts w:ascii="Arial" w:cs="Arial" w:eastAsia="Arial" w:hAnsi="Arial"/>
          <w:sz w:val="18"/>
          <w:szCs w:val="18"/>
          <w:color w:val="auto"/>
        </w:rPr>
      </w:pPr>
    </w:p>
    <w:p>
      <w:pPr>
        <w:ind w:left="1020" w:right="60" w:hanging="195"/>
        <w:spacing w:after="0" w:line="25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Carriers: </w:t>
      </w:r>
      <w:r>
        <w:rPr>
          <w:rFonts w:ascii="Arial" w:cs="Arial" w:eastAsia="Arial" w:hAnsi="Arial"/>
          <w:sz w:val="18"/>
          <w:szCs w:val="18"/>
          <w:color w:val="auto"/>
        </w:rPr>
        <w:t>We help life insurance carriers expand their consumer and agent reach in a manner designed to optimize risk</w:t>
      </w:r>
      <w:r>
        <w:rPr>
          <w:rFonts w:ascii="Arial" w:cs="Arial" w:eastAsia="Arial" w:hAnsi="Arial"/>
          <w:sz w:val="18"/>
          <w:szCs w:val="18"/>
          <w:b w:val="1"/>
          <w:bCs w:val="1"/>
          <w:color w:val="auto"/>
        </w:rPr>
        <w:t xml:space="preserve"> </w:t>
      </w:r>
      <w:r>
        <w:rPr>
          <w:rFonts w:ascii="Arial" w:cs="Arial" w:eastAsia="Arial" w:hAnsi="Arial"/>
          <w:sz w:val="18"/>
          <w:szCs w:val="18"/>
          <w:color w:val="auto"/>
        </w:rPr>
        <w:t>selection and profitability, as carriers assume the insurance risk of the underlying policies. We do not assume balance sheet risk for the policies on our platform.</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Platform</w:t>
      </w:r>
    </w:p>
    <w:p>
      <w:pPr>
        <w:spacing w:after="0" w:line="102" w:lineRule="exact"/>
        <w:rPr>
          <w:sz w:val="20"/>
          <w:szCs w:val="20"/>
          <w:color w:val="auto"/>
        </w:rPr>
      </w:pPr>
    </w:p>
    <w:p>
      <w:pPr>
        <w:ind w:left="300" w:right="20" w:firstLine="532"/>
        <w:spacing w:after="0" w:line="247" w:lineRule="auto"/>
        <w:rPr>
          <w:sz w:val="20"/>
          <w:szCs w:val="20"/>
          <w:color w:val="auto"/>
        </w:rPr>
      </w:pPr>
      <w:r>
        <w:rPr>
          <w:rFonts w:ascii="Arial" w:cs="Arial" w:eastAsia="Arial" w:hAnsi="Arial"/>
          <w:sz w:val="18"/>
          <w:szCs w:val="18"/>
          <w:color w:val="auto"/>
        </w:rPr>
        <w:t>Our technology platform is fully digital and vertically integrated. We simplify the insurance value chain from distribution to underwriting, activation, payments, and administration. Combining key elements of the insurance sales and administrative process into a singular platform enables us to build insurance products quickly, dynamically adjust underwriting and pricing, and rapidly iterate to deliver a delightful consumer and agent experience.</w:t>
      </w:r>
    </w:p>
    <w:p>
      <w:pPr>
        <w:spacing w:after="0" w:line="174" w:lineRule="exact"/>
        <w:rPr>
          <w:sz w:val="20"/>
          <w:szCs w:val="20"/>
          <w:color w:val="auto"/>
        </w:rPr>
      </w:pPr>
    </w:p>
    <w:p>
      <w:pPr>
        <w:ind w:left="300" w:right="60" w:firstLine="532"/>
        <w:spacing w:after="0"/>
        <w:rPr>
          <w:sz w:val="20"/>
          <w:szCs w:val="20"/>
          <w:color w:val="auto"/>
        </w:rPr>
      </w:pPr>
      <w:r>
        <w:rPr>
          <w:rFonts w:ascii="Arial" w:cs="Arial" w:eastAsia="Arial" w:hAnsi="Arial"/>
          <w:sz w:val="18"/>
          <w:szCs w:val="18"/>
          <w:color w:val="auto"/>
        </w:rPr>
        <w:t>Our platform makes the application process faster and more accessible for consumers and agents while reducing errors, including by validating disclosures against third-party data in real-time. Our proprietary underwriting engine leverages predictive and real-time data acquired with the consent of the applicant to create a bespoke information graph that allows us to instantly assess risk and deliver quick, competitively priced policies with high approval rates. Once issued, our cloud-native policy administration system provides consumers with seamless servicing and billing. The unified, end-to-end nature of our platform enables us to collect and analyze granular data across the entire consumer and agent journey. We then identify patterns across cohorts to continuously optimize our underwriting and improve conversion and platform usability.</w:t>
      </w:r>
    </w:p>
    <w:p>
      <w:pPr>
        <w:spacing w:after="0" w:line="185" w:lineRule="exact"/>
        <w:rPr>
          <w:sz w:val="20"/>
          <w:szCs w:val="20"/>
          <w:color w:val="auto"/>
        </w:rPr>
      </w:pPr>
    </w:p>
    <w:p>
      <w:pPr>
        <w:ind w:left="300" w:right="20" w:firstLine="532"/>
        <w:spacing w:after="0"/>
        <w:rPr>
          <w:sz w:val="20"/>
          <w:szCs w:val="20"/>
          <w:color w:val="auto"/>
        </w:rPr>
      </w:pPr>
      <w:r>
        <w:rPr>
          <w:rFonts w:ascii="Arial" w:cs="Arial" w:eastAsia="Arial" w:hAnsi="Arial"/>
          <w:sz w:val="18"/>
          <w:szCs w:val="18"/>
          <w:color w:val="auto"/>
        </w:rPr>
        <w:t>Our technology platform is extensible, demonstrated by our ability to launch and scale new life insurance and estate planning products. This has enabled us to expand our offerings from just one product in 2019 to ten as of December 31, 2024. We have launched multiple Term Life Insurance, Whole Life Insurance, and Indexed Universal Life Insurance products, as well as Wills &amp; Estate Planning and Supplemental Health Insurance products. As a result, we have achieved significant scale with broad demographic and geographic distribution. We have activated over 480,000 policies, and these consumers come from a wide range of educational backgrounds, income levels, and ages, consistent with our mission of democratizing access to life insurance. Our technology platform continuously improves as we scale and collect data, which further refines underwriting accuracy, pricing efficiency, and our platform engagement strategy to create durable network effects.</w:t>
      </w:r>
    </w:p>
    <w:p>
      <w:pPr>
        <w:spacing w:after="0" w:line="3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320" w:top="455" w:right="6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645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102" w:lineRule="exact"/>
        <w:rPr>
          <w:sz w:val="20"/>
          <w:szCs w:val="20"/>
          <w:color w:val="auto"/>
        </w:rPr>
      </w:pPr>
    </w:p>
    <w:p>
      <w:pPr>
        <w:ind w:left="300" w:right="180" w:firstLine="532"/>
        <w:spacing w:after="0" w:line="253" w:lineRule="auto"/>
        <w:rPr>
          <w:sz w:val="20"/>
          <w:szCs w:val="20"/>
          <w:color w:val="auto"/>
        </w:rPr>
      </w:pPr>
      <w:r>
        <w:rPr>
          <w:rFonts w:ascii="Arial" w:cs="Arial" w:eastAsia="Arial" w:hAnsi="Arial"/>
          <w:sz w:val="18"/>
          <w:szCs w:val="18"/>
          <w:color w:val="auto"/>
        </w:rPr>
        <w:t>Our business model is capital and asset light and highly scalable. In contrast to a traditional carrier model, we do not assume balance sheet risk for the policies sold on our platform. We power the technology, distribution, digital underwriting, and consumer experience while our insurance carriers assume the underlying insurance risk of the policies.</w:t>
      </w:r>
    </w:p>
    <w:p>
      <w:pPr>
        <w:spacing w:after="0" w:line="169" w:lineRule="exact"/>
        <w:rPr>
          <w:sz w:val="20"/>
          <w:szCs w:val="20"/>
          <w:color w:val="auto"/>
        </w:rPr>
      </w:pPr>
    </w:p>
    <w:p>
      <w:pPr>
        <w:ind w:left="300" w:firstLine="532"/>
        <w:spacing w:after="0" w:line="237" w:lineRule="auto"/>
        <w:rPr>
          <w:sz w:val="20"/>
          <w:szCs w:val="20"/>
          <w:color w:val="auto"/>
        </w:rPr>
      </w:pPr>
      <w:r>
        <w:rPr>
          <w:rFonts w:ascii="Arial" w:cs="Arial" w:eastAsia="Arial" w:hAnsi="Arial"/>
          <w:sz w:val="18"/>
          <w:szCs w:val="18"/>
          <w:color w:val="auto"/>
        </w:rPr>
        <w:t>We have achieved significant scale and rapid growth, and have expanded our margins since inception. The number of activated policies on our platform increased by 77% from 72,018 in the year ended December 31, 2023 to 127,623 in the year ended December 31, 2024, and increased by 61% from 89,108 in the nine months ended September 30, 2024 to 143,625 in the nine months ended September 30, 2025. Our revenue for the years ended December 31, 2023 and 2024 was $ 160 million and $255 million, respectively, representing an increase of 60%. Over the same period, we also increased our gross profit margin from 96% to 97%, respectively, and Contribution Margin from 32% to 41%, respectively. Our revenue for the nine months ended September 30, 2024 and 2025 was $188 million and $ 278 million, respectively, representing an increase of 47%. Over the same period, we also increased our gross profit margin from 97% to 98%, respectively, and Contribution Margin from 40% to 41%, respectively. In the years ended December 31, 2023 and 2024, our net income margin was 1% and 19% and our Adjusted EBITDA Margin increased from 4% to 23%. In the nine months ended September 30, 2024 and 2025, our net income margin was 21% and 17% and our Adjusted EBITDA Margin remained at 23%. For more information about Contribution Margin and Adjusted EBITDA Margin, including the limitations of such measures and a reconciliation of each metric to its most directly comparable financial measure under GAAP, see the section titled “Management’s Discussion and Analysis of Financial Condition and Results of Operations–Key Business Metrics and Non-GAAP Financial Measures.”</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Ethos Platform</w:t>
      </w:r>
    </w:p>
    <w:p>
      <w:pPr>
        <w:spacing w:after="0" w:line="104" w:lineRule="exact"/>
        <w:rPr>
          <w:sz w:val="20"/>
          <w:szCs w:val="20"/>
          <w:color w:val="auto"/>
        </w:rPr>
      </w:pPr>
    </w:p>
    <w:p>
      <w:pPr>
        <w:ind w:left="300" w:right="140" w:firstLine="532"/>
        <w:spacing w:after="0" w:line="253" w:lineRule="auto"/>
        <w:rPr>
          <w:sz w:val="20"/>
          <w:szCs w:val="20"/>
          <w:color w:val="auto"/>
        </w:rPr>
      </w:pPr>
      <w:r>
        <w:rPr>
          <w:rFonts w:ascii="Arial" w:cs="Arial" w:eastAsia="Arial" w:hAnsi="Arial"/>
          <w:sz w:val="18"/>
          <w:szCs w:val="18"/>
          <w:color w:val="auto"/>
        </w:rPr>
        <w:t>We operate a vertically integrated platform transforming how life insurance is bought and sold through end-to-end distribution, underwriting, and policy administration. Our platform is natively built on a unified data infrastructure and our technology allows for continuous platform improvement, creating network effects as we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5" w:right="6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47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Vertically Integrated</w:t>
      </w:r>
    </w:p>
    <w:p>
      <w:pPr>
        <w:spacing w:after="0" w:line="102" w:lineRule="exact"/>
        <w:rPr>
          <w:sz w:val="20"/>
          <w:szCs w:val="20"/>
          <w:color w:val="auto"/>
        </w:rPr>
      </w:pPr>
    </w:p>
    <w:p>
      <w:pPr>
        <w:ind w:left="300" w:right="20" w:firstLine="532"/>
        <w:spacing w:after="0" w:line="247" w:lineRule="auto"/>
        <w:rPr>
          <w:sz w:val="20"/>
          <w:szCs w:val="20"/>
          <w:color w:val="auto"/>
        </w:rPr>
      </w:pPr>
      <w:r>
        <w:rPr>
          <w:rFonts w:ascii="Arial" w:cs="Arial" w:eastAsia="Arial" w:hAnsi="Arial"/>
          <w:sz w:val="18"/>
          <w:szCs w:val="18"/>
          <w:color w:val="auto"/>
        </w:rPr>
        <w:t>Our vertical integration yields comprehensive data and insights across the value chain, enabling us to deliver superior value to consumers, agents, and carriers, while continuously improving our platform. By integrating multiple carriers on our unified platform, we are also able to offer a wider array of products tailored to various consumer profiles, creating a significant competitive advantage that compounds over time and helps us achieve our mission of democratizing access to life insurance.</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Distribution</w:t>
      </w:r>
    </w:p>
    <w:p>
      <w:pPr>
        <w:spacing w:after="0" w:line="102" w:lineRule="exact"/>
        <w:rPr>
          <w:sz w:val="20"/>
          <w:szCs w:val="20"/>
          <w:color w:val="auto"/>
        </w:rPr>
      </w:pPr>
    </w:p>
    <w:p>
      <w:pPr>
        <w:ind w:left="300" w:right="260" w:firstLine="532"/>
        <w:spacing w:after="0" w:line="271" w:lineRule="auto"/>
        <w:rPr>
          <w:sz w:val="20"/>
          <w:szCs w:val="20"/>
          <w:color w:val="auto"/>
        </w:rPr>
      </w:pPr>
      <w:r>
        <w:rPr>
          <w:rFonts w:ascii="Arial" w:cs="Arial" w:eastAsia="Arial" w:hAnsi="Arial"/>
          <w:sz w:val="18"/>
          <w:szCs w:val="18"/>
          <w:color w:val="auto"/>
        </w:rPr>
        <w:t>We believe we have transformed distribution for constituents in the life insurance value chain, simplifying and improving the policy experience for consumers, agents, and carriers alike.</w:t>
      </w:r>
    </w:p>
    <w:p>
      <w:pPr>
        <w:spacing w:after="0" w:line="154" w:lineRule="exact"/>
        <w:rPr>
          <w:sz w:val="20"/>
          <w:szCs w:val="20"/>
          <w:color w:val="auto"/>
        </w:rPr>
      </w:pPr>
    </w:p>
    <w:p>
      <w:pPr>
        <w:ind w:left="300" w:right="340" w:firstLine="532"/>
        <w:spacing w:after="0" w:line="253" w:lineRule="auto"/>
        <w:rPr>
          <w:sz w:val="20"/>
          <w:szCs w:val="20"/>
          <w:color w:val="auto"/>
        </w:rPr>
      </w:pPr>
      <w:r>
        <w:rPr>
          <w:rFonts w:ascii="Arial" w:cs="Arial" w:eastAsia="Arial" w:hAnsi="Arial"/>
          <w:sz w:val="18"/>
          <w:szCs w:val="18"/>
          <w:color w:val="auto"/>
        </w:rPr>
        <w:t>We serve consumers by unifying the direct-to-consumer, or DTC, and third-party distribution channels on a single digital platform. This integrated model creates powerful flywheel effects: consumer marketing drives brand visibility and inbound interest from agents leading to higher sales and data captured from both channels that collectively improve our platform.</w:t>
      </w:r>
    </w:p>
    <w:p>
      <w:pPr>
        <w:spacing w:after="0" w:line="169" w:lineRule="exact"/>
        <w:rPr>
          <w:sz w:val="20"/>
          <w:szCs w:val="20"/>
          <w:color w:val="auto"/>
        </w:rPr>
      </w:pPr>
    </w:p>
    <w:p>
      <w:pPr>
        <w:jc w:val="both"/>
        <w:ind w:left="300" w:right="160" w:firstLine="532"/>
        <w:spacing w:after="0" w:line="253" w:lineRule="auto"/>
        <w:rPr>
          <w:sz w:val="20"/>
          <w:szCs w:val="20"/>
          <w:color w:val="auto"/>
        </w:rPr>
      </w:pPr>
      <w:r>
        <w:rPr>
          <w:rFonts w:ascii="Arial" w:cs="Arial" w:eastAsia="Arial" w:hAnsi="Arial"/>
          <w:sz w:val="18"/>
          <w:szCs w:val="18"/>
          <w:color w:val="auto"/>
        </w:rPr>
        <w:t>Our data engine and machine learning models identify patterns from historical consumer cohorts and use that data to predict purchase behavior, consumer lifetime values, and underwriting outcomes early in the funnel, improving our targeting while offering consumers an experience that is personalized to their needs.</w:t>
      </w:r>
    </w:p>
    <w:p>
      <w:pPr>
        <w:spacing w:after="0" w:line="169" w:lineRule="exact"/>
        <w:rPr>
          <w:sz w:val="20"/>
          <w:szCs w:val="20"/>
          <w:color w:val="auto"/>
        </w:rPr>
      </w:pPr>
    </w:p>
    <w:p>
      <w:pPr>
        <w:ind w:left="300" w:firstLine="532"/>
        <w:spacing w:after="0" w:line="253" w:lineRule="auto"/>
        <w:rPr>
          <w:sz w:val="20"/>
          <w:szCs w:val="20"/>
          <w:color w:val="auto"/>
        </w:rPr>
      </w:pPr>
      <w:r>
        <w:rPr>
          <w:rFonts w:ascii="Arial" w:cs="Arial" w:eastAsia="Arial" w:hAnsi="Arial"/>
          <w:sz w:val="18"/>
          <w:szCs w:val="18"/>
          <w:color w:val="auto"/>
        </w:rPr>
        <w:t>Our platform also integrates with third-party channels such as fintech companies via application programming interfaces, or APIs, allowing these companies to quote, process, and activate policies within their own platform. This further expands our reach and reinforces our distribution.</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Underwriting</w:t>
      </w:r>
    </w:p>
    <w:p>
      <w:pPr>
        <w:spacing w:after="0" w:line="102" w:lineRule="exact"/>
        <w:rPr>
          <w:sz w:val="20"/>
          <w:szCs w:val="20"/>
          <w:color w:val="auto"/>
        </w:rPr>
      </w:pPr>
    </w:p>
    <w:p>
      <w:pPr>
        <w:ind w:left="300" w:right="500" w:firstLine="532"/>
        <w:spacing w:after="0" w:line="271" w:lineRule="auto"/>
        <w:rPr>
          <w:sz w:val="20"/>
          <w:szCs w:val="20"/>
          <w:color w:val="auto"/>
        </w:rPr>
      </w:pPr>
      <w:r>
        <w:rPr>
          <w:rFonts w:ascii="Arial" w:cs="Arial" w:eastAsia="Arial" w:hAnsi="Arial"/>
          <w:sz w:val="18"/>
          <w:szCs w:val="18"/>
          <w:color w:val="auto"/>
        </w:rPr>
        <w:t>Our proprietary underwriting engine leverages real-time, sophisticated data analytics designed to deliver faster decision-making and higher approval rates at competitive prices compared to traditional models.</w:t>
      </w:r>
    </w:p>
    <w:p>
      <w:pPr>
        <w:spacing w:after="0" w:line="154" w:lineRule="exact"/>
        <w:rPr>
          <w:sz w:val="20"/>
          <w:szCs w:val="20"/>
          <w:color w:val="auto"/>
        </w:rPr>
      </w:pPr>
    </w:p>
    <w:p>
      <w:pPr>
        <w:jc w:val="both"/>
        <w:ind w:left="300" w:right="360" w:firstLine="532"/>
        <w:spacing w:after="0" w:line="253" w:lineRule="auto"/>
        <w:rPr>
          <w:sz w:val="20"/>
          <w:szCs w:val="20"/>
          <w:color w:val="auto"/>
        </w:rPr>
      </w:pPr>
      <w:r>
        <w:rPr>
          <w:rFonts w:ascii="Arial" w:cs="Arial" w:eastAsia="Arial" w:hAnsi="Arial"/>
          <w:sz w:val="18"/>
          <w:szCs w:val="18"/>
          <w:color w:val="auto"/>
        </w:rPr>
        <w:t>Traditional underwriting often requires in-person blood tests, urine analysis, and medical exams, as well as time-intensive, static, fillable forms. Such processes can take several weeks and subsequently can result in denial of coverage. With our digital technology platform, the majority of applicants receive a decision within ten minutes of starting their application.</w:t>
      </w:r>
    </w:p>
    <w:p>
      <w:pPr>
        <w:spacing w:after="0" w:line="169" w:lineRule="exact"/>
        <w:rPr>
          <w:sz w:val="20"/>
          <w:szCs w:val="20"/>
          <w:color w:val="auto"/>
        </w:rPr>
      </w:pPr>
    </w:p>
    <w:p>
      <w:pPr>
        <w:ind w:left="300" w:right="140" w:firstLine="532"/>
        <w:spacing w:after="0"/>
        <w:rPr>
          <w:sz w:val="20"/>
          <w:szCs w:val="20"/>
          <w:color w:val="auto"/>
        </w:rPr>
      </w:pPr>
      <w:r>
        <w:rPr>
          <w:rFonts w:ascii="Arial" w:cs="Arial" w:eastAsia="Arial" w:hAnsi="Arial"/>
          <w:sz w:val="18"/>
          <w:szCs w:val="18"/>
          <w:color w:val="auto"/>
        </w:rPr>
        <w:t>Our underwriting engine ingests up to 250,000 data points per application, including prescription history, credit-based insurance scores, historical underwriting outcomes, and motor vehicle records. Importantly, it is designed to intelligently determine which data is most relevant for each individual consumer, which minimizes both cost and friction in the process. Our underwriting engine then combines such relevant third-party data with consumer-submitted application data to create a proprietary information graph that allows us to identify and assess risk instantly in an individualized manner. This scale of data integration and evaluation is difficult to achieve and is powered by our proprietary technology. When paired with our comprehensive product suite spanning a broad array of risk profiles, 95% of applicants receive decisions instantly based on internal data compared to four to eight weeks on average for traditional underwriting processes.</w:t>
      </w:r>
    </w:p>
    <w:p>
      <w:pPr>
        <w:spacing w:after="0" w:line="180" w:lineRule="exact"/>
        <w:rPr>
          <w:sz w:val="20"/>
          <w:szCs w:val="20"/>
          <w:color w:val="auto"/>
        </w:rPr>
      </w:pPr>
    </w:p>
    <w:p>
      <w:pPr>
        <w:ind w:left="300" w:right="380" w:firstLine="532"/>
        <w:spacing w:after="0" w:line="253" w:lineRule="auto"/>
        <w:rPr>
          <w:sz w:val="20"/>
          <w:szCs w:val="20"/>
          <w:color w:val="auto"/>
        </w:rPr>
      </w:pPr>
      <w:r>
        <w:rPr>
          <w:rFonts w:ascii="Arial" w:cs="Arial" w:eastAsia="Arial" w:hAnsi="Arial"/>
          <w:sz w:val="18"/>
          <w:szCs w:val="18"/>
          <w:color w:val="auto"/>
        </w:rPr>
        <w:t>As a testament to our capabilities, many of our carriers entrust us with underwriting administration and execution. In these arrangements, we administer underwriting pursuant to certain standards that we develop and modify as necessary pursuant to carrier-specific requirements. The final standards, as</w:t>
      </w:r>
    </w:p>
    <w:p>
      <w:pPr>
        <w:spacing w:after="0" w:line="2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320" w:top="455" w:right="6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474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347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42" w:lineRule="auto"/>
        <w:rPr>
          <w:sz w:val="20"/>
          <w:szCs w:val="20"/>
          <w:color w:val="auto"/>
        </w:rPr>
      </w:pPr>
      <w:r>
        <w:rPr>
          <w:rFonts w:ascii="Arial" w:cs="Arial" w:eastAsia="Arial" w:hAnsi="Arial"/>
          <w:sz w:val="18"/>
          <w:szCs w:val="18"/>
          <w:color w:val="auto"/>
        </w:rPr>
        <w:t>agreed to by carriers, are set forth in carrier-specific manuals or guidelines. These standards are specific to each carrier and also vary by product, and address matters such as persistency, mortality, and post-issue audits. These standards generally apply consistently regardless of whether a policy is activated on our platform through our DTC channel or third-party channel, including APIs. These standards provide the framework within which our underwriting engine operates. Our underwriting engine continuously improves with each application processed, refining logic-based rules for risk selection, optimizing pricing, and enhancing approval rates, which drives better unit economics for us and our carriers.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Policy Administration</w:t>
      </w:r>
    </w:p>
    <w:p>
      <w:pPr>
        <w:spacing w:after="0" w:line="102" w:lineRule="exact"/>
        <w:rPr>
          <w:sz w:val="20"/>
          <w:szCs w:val="20"/>
          <w:color w:val="auto"/>
        </w:rPr>
      </w:pPr>
    </w:p>
    <w:p>
      <w:pPr>
        <w:ind w:left="300" w:right="100" w:firstLine="532"/>
        <w:spacing w:after="0"/>
        <w:rPr>
          <w:sz w:val="20"/>
          <w:szCs w:val="20"/>
          <w:color w:val="auto"/>
        </w:rPr>
      </w:pPr>
      <w:r>
        <w:rPr>
          <w:rFonts w:ascii="Arial" w:cs="Arial" w:eastAsia="Arial" w:hAnsi="Arial"/>
          <w:sz w:val="18"/>
          <w:szCs w:val="18"/>
          <w:color w:val="auto"/>
        </w:rPr>
        <w:t>Our cloud-native policy administration system is able to automate significant portions of the full policy lifecycle, from issuance to servicing and policyholder payments. These services include dynamic contract generation, payment processing and reinstatements, endorsements (policy changes such as coverage amount or beneficiary updates), full servicing workflows (including consumer self-service), and structured data pipelines for auditing and compliance reporting. Owning our own policy administration stack allows us to deploy new product features, pricing updates, and carrier configurations in days, not quarters. This reduces unnecessary integration with, and reliance on, legacy carrier systems, which tend to be less flexible and therefore slower to iterate or improve.</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Platform Extensibility</w:t>
      </w:r>
    </w:p>
    <w:p>
      <w:pPr>
        <w:spacing w:after="0" w:line="102" w:lineRule="exact"/>
        <w:rPr>
          <w:sz w:val="20"/>
          <w:szCs w:val="20"/>
          <w:color w:val="auto"/>
        </w:rPr>
      </w:pPr>
    </w:p>
    <w:p>
      <w:pPr>
        <w:ind w:left="300" w:right="180" w:firstLine="532"/>
        <w:spacing w:after="0" w:line="247" w:lineRule="auto"/>
        <w:rPr>
          <w:sz w:val="20"/>
          <w:szCs w:val="20"/>
          <w:color w:val="auto"/>
        </w:rPr>
      </w:pPr>
      <w:r>
        <w:rPr>
          <w:rFonts w:ascii="Arial" w:cs="Arial" w:eastAsia="Arial" w:hAnsi="Arial"/>
          <w:sz w:val="18"/>
          <w:szCs w:val="18"/>
          <w:color w:val="auto"/>
        </w:rPr>
        <w:t>Our integrated distribution, underwriting, and policy administration capabilities enable us to efficiently develop and scale new products. We leverage ongoing feedback from agents, which is grounded in their understanding of consumer demand, to help guide product development. We also collaborate with carriers to introduce additional offerings that expand their distribution reach and broaden our product suite on our platform.</w:t>
      </w:r>
    </w:p>
    <w:p>
      <w:pPr>
        <w:spacing w:after="0" w:line="174" w:lineRule="exact"/>
        <w:rPr>
          <w:sz w:val="20"/>
          <w:szCs w:val="20"/>
          <w:color w:val="auto"/>
        </w:rPr>
      </w:pPr>
    </w:p>
    <w:p>
      <w:pPr>
        <w:ind w:left="300" w:right="340" w:firstLine="532"/>
        <w:spacing w:after="0" w:line="244" w:lineRule="auto"/>
        <w:rPr>
          <w:sz w:val="20"/>
          <w:szCs w:val="20"/>
          <w:color w:val="auto"/>
        </w:rPr>
      </w:pPr>
      <w:r>
        <w:rPr>
          <w:rFonts w:ascii="Arial" w:cs="Arial" w:eastAsia="Arial" w:hAnsi="Arial"/>
          <w:sz w:val="18"/>
          <w:szCs w:val="18"/>
          <w:color w:val="auto"/>
        </w:rPr>
        <w:t>We continue to remain active in product development, including launching Indexed Universal Life Insurance products in September 2023 and November 2025, launching a Supplemental Health Insurance product in November 2025 and enhancing the consumer experience for certain of our existing products in 2024. We believe that our ability to rapidly develop and launch new products sets us apart. For example, we launched one of our most recent Term Life Insurance products in less than half of the industry average product development time, based on average timelines cited in a 2023 Deloitte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5"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13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61352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Network Effects</w:t>
      </w:r>
    </w:p>
    <w:p>
      <w:pPr>
        <w:spacing w:after="0" w:line="21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technology platform benefits from three key network effects:</w:t>
      </w:r>
    </w:p>
    <w:p>
      <w:pPr>
        <w:spacing w:after="0" w:line="117" w:lineRule="exact"/>
        <w:rPr>
          <w:sz w:val="20"/>
          <w:szCs w:val="20"/>
          <w:color w:val="auto"/>
        </w:rPr>
      </w:pPr>
    </w:p>
    <w:p>
      <w:pPr>
        <w:ind w:left="1020" w:hanging="195"/>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Data Advantage: </w:t>
      </w:r>
      <w:r>
        <w:rPr>
          <w:rFonts w:ascii="Arial" w:cs="Arial" w:eastAsia="Arial" w:hAnsi="Arial"/>
          <w:sz w:val="18"/>
          <w:szCs w:val="18"/>
          <w:color w:val="auto"/>
        </w:rPr>
        <w:t>Because we vertically integrate the distribution, underwriting, and administration of policies, we are able to</w:t>
      </w:r>
      <w:r>
        <w:rPr>
          <w:rFonts w:ascii="Arial" w:cs="Arial" w:eastAsia="Arial" w:hAnsi="Arial"/>
          <w:sz w:val="18"/>
          <w:szCs w:val="18"/>
          <w:b w:val="1"/>
          <w:bCs w:val="1"/>
          <w:color w:val="auto"/>
        </w:rPr>
        <w:t xml:space="preserve"> </w:t>
      </w:r>
      <w:r>
        <w:rPr>
          <w:rFonts w:ascii="Arial" w:cs="Arial" w:eastAsia="Arial" w:hAnsi="Arial"/>
          <w:sz w:val="18"/>
          <w:szCs w:val="18"/>
          <w:color w:val="auto"/>
        </w:rPr>
        <w:t>gather and utilize data across the entire consumer journey. As more consumers apply for policies through our platform, our machine-learning driven consumer intelligence engine strengthens and adapts, resulting in optimized targeting in marketing, better consumer experiences, and improved conversion, allowing us to scale efficiently. As we underwrite more policies, our underwriting engine leverages these insights to optimize our risk assessment, which improves the unit economics for us and our carriers.</w:t>
      </w:r>
    </w:p>
    <w:p>
      <w:pPr>
        <w:spacing w:after="0" w:line="84" w:lineRule="exact"/>
        <w:rPr>
          <w:rFonts w:ascii="Arial" w:cs="Arial" w:eastAsia="Arial" w:hAnsi="Arial"/>
          <w:sz w:val="18"/>
          <w:szCs w:val="18"/>
          <w:color w:val="auto"/>
        </w:rPr>
      </w:pPr>
    </w:p>
    <w:p>
      <w:pPr>
        <w:ind w:left="1020" w:right="60" w:hanging="195"/>
        <w:spacing w:after="0" w:line="24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Platform Engagement: </w:t>
      </w:r>
      <w:r>
        <w:rPr>
          <w:rFonts w:ascii="Arial" w:cs="Arial" w:eastAsia="Arial" w:hAnsi="Arial"/>
          <w:sz w:val="18"/>
          <w:szCs w:val="18"/>
          <w:color w:val="auto"/>
        </w:rPr>
        <w:t>Our data advantage, increasing scale, and risk-management expertise lead to more carriers joining</w:t>
      </w:r>
      <w:r>
        <w:rPr>
          <w:rFonts w:ascii="Arial" w:cs="Arial" w:eastAsia="Arial" w:hAnsi="Arial"/>
          <w:sz w:val="18"/>
          <w:szCs w:val="18"/>
          <w:b w:val="1"/>
          <w:bCs w:val="1"/>
          <w:color w:val="auto"/>
        </w:rPr>
        <w:t xml:space="preserve"> </w:t>
      </w:r>
      <w:r>
        <w:rPr>
          <w:rFonts w:ascii="Arial" w:cs="Arial" w:eastAsia="Arial" w:hAnsi="Arial"/>
          <w:sz w:val="18"/>
          <w:szCs w:val="18"/>
          <w:color w:val="auto"/>
        </w:rPr>
        <w:t>our platform for incremental growth. As we add new carriers, our existing agents have a broader and more competitive suite of products to sell. This broader offering enables us to attract more agents and agencies onto our platform and strengthens our consumer value proposition and marketing efficiency.</w:t>
      </w:r>
    </w:p>
    <w:p>
      <w:pPr>
        <w:spacing w:after="0" w:line="79" w:lineRule="exact"/>
        <w:rPr>
          <w:rFonts w:ascii="Arial" w:cs="Arial" w:eastAsia="Arial" w:hAnsi="Arial"/>
          <w:sz w:val="18"/>
          <w:szCs w:val="18"/>
          <w:color w:val="auto"/>
        </w:rPr>
      </w:pPr>
    </w:p>
    <w:p>
      <w:pPr>
        <w:ind w:left="1020" w:right="20" w:hanging="195"/>
        <w:spacing w:after="0" w:line="24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Economies of Scale: </w:t>
      </w:r>
      <w:r>
        <w:rPr>
          <w:rFonts w:ascii="Arial" w:cs="Arial" w:eastAsia="Arial" w:hAnsi="Arial"/>
          <w:sz w:val="18"/>
          <w:szCs w:val="18"/>
          <w:color w:val="auto"/>
        </w:rPr>
        <w:t>As more agents engage with our platform, we can more efficiently leverage the fixed costs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building our platform across a larger agent base. This more efficient cost structure allows us to invest more heavily in improving our agent experience and agent incentives. These improvements help attract new agencies and grow our agent base, which further compounds our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Ecosystem—Who We Serve</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platform connects thousands of consumers and agents, and multiple agencies and carriers daily.</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Why Consumers Choose Ethos: Life Insurance Reimagined for the Digital Age</w:t>
      </w:r>
    </w:p>
    <w:p>
      <w:pPr>
        <w:spacing w:after="0" w:line="102" w:lineRule="exact"/>
        <w:rPr>
          <w:sz w:val="20"/>
          <w:szCs w:val="20"/>
          <w:color w:val="auto"/>
        </w:rPr>
      </w:pPr>
    </w:p>
    <w:p>
      <w:pPr>
        <w:ind w:left="300" w:right="300" w:firstLine="532"/>
        <w:spacing w:after="0" w:line="271" w:lineRule="auto"/>
        <w:rPr>
          <w:sz w:val="20"/>
          <w:szCs w:val="20"/>
          <w:color w:val="auto"/>
        </w:rPr>
      </w:pPr>
      <w:r>
        <w:rPr>
          <w:rFonts w:ascii="Arial" w:cs="Arial" w:eastAsia="Arial" w:hAnsi="Arial"/>
          <w:sz w:val="18"/>
          <w:szCs w:val="18"/>
          <w:color w:val="auto"/>
        </w:rPr>
        <w:t>We aim to make buying life insurance as seamless and intuitive as any modern e-commerce experience—fast, transparent, and entirely online. We believe we have revolutionized the application</w:t>
      </w:r>
    </w:p>
    <w:p>
      <w:pPr>
        <w:spacing w:after="0" w:line="2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5" w:right="6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959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56959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80"/>
        <w:spacing w:after="0" w:line="253" w:lineRule="auto"/>
        <w:rPr>
          <w:sz w:val="20"/>
          <w:szCs w:val="20"/>
          <w:color w:val="auto"/>
        </w:rPr>
      </w:pPr>
      <w:r>
        <w:rPr>
          <w:rFonts w:ascii="Arial" w:cs="Arial" w:eastAsia="Arial" w:hAnsi="Arial"/>
          <w:sz w:val="18"/>
          <w:szCs w:val="18"/>
          <w:color w:val="auto"/>
        </w:rPr>
        <w:t>process, enabling consumers to apply and receive decisions in minutes, not weeks. The consumer experience on the Ethos platform eliminates the cumbersome medical exams and extensive paperwork of traditional processes. Our NPS score is 70, compared to the carrier industry average of 14.</w:t>
      </w:r>
    </w:p>
    <w:p>
      <w:pPr>
        <w:spacing w:after="0" w:line="169" w:lineRule="exact"/>
        <w:rPr>
          <w:sz w:val="20"/>
          <w:szCs w:val="20"/>
          <w:color w:val="auto"/>
        </w:rPr>
      </w:pPr>
    </w:p>
    <w:p>
      <w:pPr>
        <w:ind w:left="300" w:right="240" w:firstLine="532"/>
        <w:spacing w:after="0" w:line="247" w:lineRule="auto"/>
        <w:rPr>
          <w:sz w:val="20"/>
          <w:szCs w:val="20"/>
          <w:color w:val="auto"/>
        </w:rPr>
      </w:pPr>
      <w:r>
        <w:rPr>
          <w:rFonts w:ascii="Arial" w:cs="Arial" w:eastAsia="Arial" w:hAnsi="Arial"/>
          <w:sz w:val="18"/>
          <w:szCs w:val="18"/>
          <w:color w:val="auto"/>
        </w:rPr>
        <w:t>We also believe in transparency and value. Consumers have traditionally faced an opaque and confusing array of policy options. Our consumers benefit from competitive pricing from the start, ensuring confidence in their coverage. We streamline life insurance selection with precision, recommending the optimal policy available on our platform for each consumer at a risk-adjusted price and ensuring clarity, confidence, and the right coverage without unnecessary complexity or hidden surprises.</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Why Agents Choose Ethos: Empowering Growth and Efficiency</w:t>
      </w:r>
    </w:p>
    <w:p>
      <w:pPr>
        <w:spacing w:after="0" w:line="102" w:lineRule="exact"/>
        <w:rPr>
          <w:sz w:val="20"/>
          <w:szCs w:val="20"/>
          <w:color w:val="auto"/>
        </w:rPr>
      </w:pPr>
    </w:p>
    <w:p>
      <w:pPr>
        <w:ind w:left="300" w:right="60" w:firstLine="532"/>
        <w:spacing w:after="0"/>
        <w:rPr>
          <w:sz w:val="20"/>
          <w:szCs w:val="20"/>
          <w:color w:val="auto"/>
        </w:rPr>
      </w:pPr>
      <w:r>
        <w:rPr>
          <w:rFonts w:ascii="Arial" w:cs="Arial" w:eastAsia="Arial" w:hAnsi="Arial"/>
          <w:sz w:val="18"/>
          <w:szCs w:val="18"/>
          <w:color w:val="auto"/>
        </w:rPr>
        <w:t>Without Ethos, agents rely on antiquated technology with multiple logins, consumer relationship management, or CRM, platforms, contracting and compensation systems, and quoting tools that lead to fragmented and tedious consumer outreach and case management. Our operating system empowers agents to improve the efficiency of their outreach and increase conversion while making it easier to manage their business. Our end-to-end digital platform streamlines carrier contracting, quoting, applications, and policy management, freeing agents to focus on what they do best: selling policies, rather than administrative work. Additionally, we have added features and functionalities to our platform that help agencies recruit more agents, enhance agent efficiency, and boost overall productivity—delivering better outcomes for agencies, agents, carriers, and us.</w:t>
      </w:r>
    </w:p>
    <w:p>
      <w:pPr>
        <w:spacing w:after="0" w:line="185" w:lineRule="exact"/>
        <w:rPr>
          <w:sz w:val="20"/>
          <w:szCs w:val="20"/>
          <w:color w:val="auto"/>
        </w:rPr>
      </w:pPr>
    </w:p>
    <w:p>
      <w:pPr>
        <w:ind w:left="300" w:firstLine="532"/>
        <w:spacing w:after="0"/>
        <w:rPr>
          <w:sz w:val="20"/>
          <w:szCs w:val="20"/>
          <w:color w:val="auto"/>
        </w:rPr>
      </w:pPr>
      <w:r>
        <w:rPr>
          <w:rFonts w:ascii="Arial" w:cs="Arial" w:eastAsia="Arial" w:hAnsi="Arial"/>
          <w:sz w:val="18"/>
          <w:szCs w:val="18"/>
          <w:color w:val="auto"/>
        </w:rPr>
        <w:t>With our agent platform, agents can enroll in minutes, acquire high-intent leads, sell a policy the same day, and get paid as early as the next day. Our CRM capabilities enable continuous and efficient engagement with current and prospective consumers. We believe our proprietary underwriting engine leads to faster approvals, helping agents close more policies in less time. Real-time tracking of consumer application status and automated payouts help agents optimize their cash flow, all while avoiding administrative burdens. Additionally, we enhance the agent experience through incentives and a structured loyalty program that rewards performance, encourages engagement, and fosters long-term retention. By making the sales process more rewarding and interactive, we help agents boost their productivity and stay motivated to grow their business with us.</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Why Carriers Succeed with Us: Expanding Reach and Optimizing Risk</w:t>
      </w:r>
    </w:p>
    <w:p>
      <w:pPr>
        <w:spacing w:after="0" w:line="102" w:lineRule="exact"/>
        <w:rPr>
          <w:sz w:val="20"/>
          <w:szCs w:val="20"/>
          <w:color w:val="auto"/>
        </w:rPr>
      </w:pPr>
    </w:p>
    <w:p>
      <w:pPr>
        <w:jc w:val="both"/>
        <w:ind w:left="300" w:right="200" w:firstLine="532"/>
        <w:spacing w:after="0" w:line="253" w:lineRule="auto"/>
        <w:rPr>
          <w:sz w:val="20"/>
          <w:szCs w:val="20"/>
          <w:color w:val="auto"/>
        </w:rPr>
      </w:pPr>
      <w:r>
        <w:rPr>
          <w:rFonts w:ascii="Arial" w:cs="Arial" w:eastAsia="Arial" w:hAnsi="Arial"/>
          <w:sz w:val="18"/>
          <w:szCs w:val="18"/>
          <w:color w:val="auto"/>
        </w:rPr>
        <w:t>Our carriers are integral to our success. We are dedicated to helping carriers expand their consumer base through additional distribution, underwriting, and policy administration, as well as to bring new products to market quickly. For our top three carriers by distribution, who are also our longest tenured carriers, we were their largest source of life insurance premiums in 2024.</w:t>
      </w:r>
    </w:p>
    <w:p>
      <w:pPr>
        <w:spacing w:after="0" w:line="169" w:lineRule="exact"/>
        <w:rPr>
          <w:sz w:val="20"/>
          <w:szCs w:val="20"/>
          <w:color w:val="auto"/>
        </w:rPr>
      </w:pPr>
    </w:p>
    <w:p>
      <w:pPr>
        <w:ind w:left="300" w:right="20" w:firstLine="532"/>
        <w:spacing w:after="0" w:line="239" w:lineRule="auto"/>
        <w:rPr>
          <w:sz w:val="20"/>
          <w:szCs w:val="20"/>
          <w:color w:val="auto"/>
        </w:rPr>
      </w:pPr>
      <w:r>
        <w:rPr>
          <w:rFonts w:ascii="Arial" w:cs="Arial" w:eastAsia="Arial" w:hAnsi="Arial"/>
          <w:sz w:val="18"/>
          <w:szCs w:val="18"/>
          <w:color w:val="auto"/>
        </w:rPr>
        <w:t>Carriers often still rely heavily on decades-old technology infrastructure. As a result, sales and underwriting cycles remain long and inefficient. Our platform provides carriers new growth opportunities by reaching digital-first consumers and a growing network of tech-enabled agents, with higher underwriting efficiencies. Our proprietary underwriting model uses real-time data to optimize risk assessment while maintaining strong risk controls. Our commitment to carriers is a top priority, and we take extensive steps to assess and improve the efficacy of our digital underwriting process. For example, we have performed over 100,000 post-issue audits on activated policies (approximately 25% of activated policies to date) to validate digital underwriting information. We also provide carriers with full-service policy administration, which minimizes their internal resource requirements and simplifies the path to distribution at scale. Our carriers enjoy seamless integration with our data infrastructure, which connects with existing systems for rapid deployment and value creation.</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5" w:right="6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387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4387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Opportunity</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There is a Significant Coverage Gap for Life Insurance Today</w:t>
      </w:r>
    </w:p>
    <w:p>
      <w:pPr>
        <w:spacing w:after="0" w:line="102" w:lineRule="exact"/>
        <w:rPr>
          <w:sz w:val="20"/>
          <w:szCs w:val="20"/>
          <w:color w:val="auto"/>
        </w:rPr>
      </w:pPr>
    </w:p>
    <w:p>
      <w:pPr>
        <w:ind w:left="300" w:firstLine="532"/>
        <w:spacing w:after="0" w:line="257" w:lineRule="auto"/>
        <w:rPr>
          <w:sz w:val="20"/>
          <w:szCs w:val="20"/>
          <w:color w:val="auto"/>
        </w:rPr>
      </w:pPr>
      <w:r>
        <w:rPr>
          <w:rFonts w:ascii="Arial" w:cs="Arial" w:eastAsia="Arial" w:hAnsi="Arial"/>
          <w:sz w:val="17"/>
          <w:szCs w:val="17"/>
          <w:color w:val="auto"/>
        </w:rPr>
        <w:t>Life insurance represents a vast market opportunity in the United States, driven by millions of life events each year that heighten the demand for comprehensive coverage. Welcoming a new child, purchasing a home, saving for higher education, reaching retirement age, or experiencing the loss of a loved one are examples of key life milestones that drive this demand. In 2024, 3.6 million children were born in America according to the Centers for Disease Control and Prevention, 5.0 million Americans purchased homes according to the U.S. Census Bureau and the National Association of Realtors, 19.3 million enrolled for college in the United States according to College Enrollment &amp; Student Demographic Statistics, 4.1 million Americans reached the age of 65 according to Alliance for Lifetime Income, and 12.5 million Americans mourned the loss of a loved one according to the Recovery Village Grief Statistics.</w:t>
      </w:r>
    </w:p>
    <w:p>
      <w:pPr>
        <w:spacing w:after="0" w:line="168" w:lineRule="exact"/>
        <w:rPr>
          <w:sz w:val="20"/>
          <w:szCs w:val="20"/>
          <w:color w:val="auto"/>
        </w:rPr>
      </w:pPr>
    </w:p>
    <w:p>
      <w:pPr>
        <w:ind w:left="300" w:right="20" w:firstLine="532"/>
        <w:spacing w:after="0" w:line="244" w:lineRule="auto"/>
        <w:rPr>
          <w:sz w:val="20"/>
          <w:szCs w:val="20"/>
          <w:color w:val="auto"/>
        </w:rPr>
      </w:pPr>
      <w:r>
        <w:rPr>
          <w:rFonts w:ascii="Arial" w:cs="Arial" w:eastAsia="Arial" w:hAnsi="Arial"/>
          <w:sz w:val="18"/>
          <w:szCs w:val="18"/>
          <w:color w:val="auto"/>
        </w:rPr>
        <w:t>These recurring life events result in a persistent annual influx of new consumers seeking life insurance. Despite this demand, a significant need gap persists. According to LIMRA, 42% of American adults in 2024 recognized a need for life insurance but were deterred by the perceived cost and complexity of the products. The industry’s lack of innovation and reliance on traditional methods create an opportunity for technology-driven solutions. Our platform leverages technology and network effects to increase our market share.</w:t>
      </w:r>
    </w:p>
    <w:p>
      <w:pPr>
        <w:spacing w:after="0" w:line="176" w:lineRule="exact"/>
        <w:rPr>
          <w:sz w:val="20"/>
          <w:szCs w:val="20"/>
          <w:color w:val="auto"/>
        </w:rPr>
      </w:pPr>
    </w:p>
    <w:p>
      <w:pPr>
        <w:ind w:left="300" w:right="200" w:firstLine="532"/>
        <w:spacing w:after="0" w:line="244" w:lineRule="auto"/>
        <w:rPr>
          <w:sz w:val="20"/>
          <w:szCs w:val="20"/>
          <w:color w:val="auto"/>
        </w:rPr>
      </w:pPr>
      <w:r>
        <w:rPr>
          <w:rFonts w:ascii="Arial" w:cs="Arial" w:eastAsia="Arial" w:hAnsi="Arial"/>
          <w:sz w:val="18"/>
          <w:szCs w:val="18"/>
          <w:color w:val="auto"/>
        </w:rPr>
        <w:t>The cumbersome nature of legacy life insurance processes has led insurers and agents to increasingly focus on the high net worth segment, where the complexity and cost of servicing are offset by larger premiums and higher lifetime commission value. We believe this focus has left a significant untapped opportunity in the mass affluent and middle market segments, where there is a growing demand for simplified and accessible life insurance solutions. We are well positioned to address this gap by offering streamlined, technology-driven solutions that cater to a broader market segment, thereby expanding our reach and impact.</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Ethos Addresses a Large and Growing Market Opportunity</w:t>
      </w:r>
    </w:p>
    <w:p>
      <w:pPr>
        <w:spacing w:after="0" w:line="102" w:lineRule="exact"/>
        <w:rPr>
          <w:sz w:val="20"/>
          <w:szCs w:val="20"/>
          <w:color w:val="auto"/>
        </w:rPr>
      </w:pPr>
    </w:p>
    <w:p>
      <w:pPr>
        <w:ind w:left="300" w:firstLine="532"/>
        <w:spacing w:after="0"/>
        <w:rPr>
          <w:sz w:val="20"/>
          <w:szCs w:val="20"/>
          <w:color w:val="auto"/>
        </w:rPr>
      </w:pPr>
      <w:r>
        <w:rPr>
          <w:rFonts w:ascii="Arial" w:cs="Arial" w:eastAsia="Arial" w:hAnsi="Arial"/>
          <w:sz w:val="18"/>
          <w:szCs w:val="18"/>
          <w:color w:val="auto"/>
        </w:rPr>
        <w:t>Ethos effectively bridges the life insurance need gap by offering accessible coverage and underwriting 95% of applicants instantly based on internal data. Term Life Insurance, Whole Life Insurance, and Indexed Universal Life Insurance, each offered on our platform, represented an aggregate of $12.6 billion of annual new policy premiums in the industry for the year ended December 31, 2024. The markets for these products have demonstrated consistent demand through economic cycles, with an average of approximately 10 million individuals purchasing new policies annually over the past decade, according to the American Council of Life Insurers. As we expand into new products, such as Variable Universal Life and Fixed Indexed Annuities, our market opportunity could grow to over $140 billion of new premiums a year.</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Limitations Burden Existing Carriers Today</w:t>
      </w:r>
    </w:p>
    <w:p>
      <w:pPr>
        <w:spacing w:after="0" w:line="102" w:lineRule="exact"/>
        <w:rPr>
          <w:sz w:val="20"/>
          <w:szCs w:val="20"/>
          <w:color w:val="auto"/>
        </w:rPr>
      </w:pPr>
    </w:p>
    <w:p>
      <w:pPr>
        <w:ind w:left="300" w:right="120" w:firstLine="532"/>
        <w:spacing w:after="0" w:line="244" w:lineRule="auto"/>
        <w:rPr>
          <w:sz w:val="20"/>
          <w:szCs w:val="20"/>
          <w:color w:val="auto"/>
        </w:rPr>
      </w:pPr>
      <w:r>
        <w:rPr>
          <w:rFonts w:ascii="Arial" w:cs="Arial" w:eastAsia="Arial" w:hAnsi="Arial"/>
          <w:sz w:val="18"/>
          <w:szCs w:val="18"/>
          <w:color w:val="auto"/>
        </w:rPr>
        <w:t>Traditional life insurers face challenges in bridging the life insurance need gap due to outdated infrastructure and the substantial investment required for modernization. With all of the top 20 carriers being over 100 years old, these insurers often focus on maintaining third-party provided legacy systems given the complexity associated with transitioning to new systems. Legacy processes often rely on human underwriters who manually review data, resulting in slow, inconsistent decision-making that limits scalability. Ethos was purpose-built to solve these problems.</w:t>
      </w:r>
    </w:p>
    <w:p>
      <w:pPr>
        <w:spacing w:after="0" w:line="2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320" w:top="455" w:right="6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420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532"/>
        <w:spacing w:after="0" w:line="242" w:lineRule="auto"/>
        <w:rPr>
          <w:sz w:val="20"/>
          <w:szCs w:val="20"/>
          <w:color w:val="auto"/>
        </w:rPr>
      </w:pPr>
      <w:r>
        <w:rPr>
          <w:rFonts w:ascii="Arial" w:cs="Arial" w:eastAsia="Arial" w:hAnsi="Arial"/>
          <w:sz w:val="18"/>
          <w:szCs w:val="18"/>
          <w:color w:val="auto"/>
        </w:rPr>
        <w:t>Over the last decade, the life insurance industry has been transitioning from captive agents tied to a single carrier to independent agents offering products from multiple insurers. This trend is driven by consumer demand for choice, price transparency, and tailored coverage. According to LIMRA, independent agents distributed 53% of premiums in 2023, up 8% from 2013. This shift presents operational challenges for carriers, who must now compete in a broker-driven environment without a dedicated agent salesforce. Consequently, carriers need to invest in agent-friendly tools, simplify underwriting, and offer competitive products to attract independent agents and agencies focused on consumer value rather than brand loyalty.</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Consumer Demand for DTC Sales Positions Ethos for Success</w:t>
      </w:r>
    </w:p>
    <w:p>
      <w:pPr>
        <w:spacing w:after="0" w:line="102" w:lineRule="exact"/>
        <w:rPr>
          <w:sz w:val="20"/>
          <w:szCs w:val="20"/>
          <w:color w:val="auto"/>
        </w:rPr>
      </w:pPr>
    </w:p>
    <w:p>
      <w:pPr>
        <w:ind w:left="300" w:right="80" w:firstLine="532"/>
        <w:spacing w:after="0" w:line="244" w:lineRule="auto"/>
        <w:rPr>
          <w:sz w:val="20"/>
          <w:szCs w:val="20"/>
          <w:color w:val="auto"/>
        </w:rPr>
      </w:pPr>
      <w:r>
        <w:rPr>
          <w:rFonts w:ascii="Arial" w:cs="Arial" w:eastAsia="Arial" w:hAnsi="Arial"/>
          <w:sz w:val="18"/>
          <w:szCs w:val="18"/>
          <w:color w:val="auto"/>
        </w:rPr>
        <w:t>According to LIMRA, approximately 90% of life insurance premiums are sold through agents. We believe DTC sales will continue to gain traction as consumers increasingly expect a digital end-to-end experience. The United States auto insurance sector has demonstrated this preference shift: for example, Progressive wrote 56% of its personal auto premiums through DTC channels for the year ended December 31, 2024 according to company filings. Life insurance is undergoing a similar transformation, and we believe Ethos is positioned to lead and benefit from this transition with its modern, technology-first platform.</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Extensible Platform Drives Growth and Efficiency</w:t>
      </w:r>
    </w:p>
    <w:p>
      <w:pPr>
        <w:spacing w:after="0" w:line="210" w:lineRule="exact"/>
        <w:rPr>
          <w:sz w:val="20"/>
          <w:szCs w:val="20"/>
          <w:color w:val="auto"/>
        </w:rPr>
      </w:pPr>
    </w:p>
    <w:p>
      <w:pPr>
        <w:ind w:left="300" w:right="80" w:firstLine="532"/>
        <w:spacing w:after="0" w:line="238" w:lineRule="auto"/>
        <w:rPr>
          <w:sz w:val="20"/>
          <w:szCs w:val="20"/>
          <w:color w:val="auto"/>
        </w:rPr>
      </w:pPr>
      <w:r>
        <w:rPr>
          <w:rFonts w:ascii="Arial" w:cs="Arial" w:eastAsia="Arial" w:hAnsi="Arial"/>
          <w:sz w:val="18"/>
          <w:szCs w:val="18"/>
          <w:color w:val="auto"/>
        </w:rPr>
        <w:t>Our technology platform is extensible, enabling us to scale more rapidly and more efficiently than traditional carriers. Built on a unified data infrastructure, our digitally native platform can launch products quickly, enhance product design, and update pricing in real-time. In addition, we believe our platform compares favorably to other non-traditional insurance companies in our industry. While many non-traditional insurance companies have implemented elements of automated underwriting to some degree, we believe our platform’s underwriting engine is competitively differentiated in its ability to ingest and analyze a wide range of data sources and identify which data points are most relevant to each individual applicant, both at scale. For example, we are able to deliver underwriting decisions for the majority of applicants within ten minutes, and deliver instant decisions for 95% of applicants based on internal data. Our platform’s scale enhances our underwriting engine and results by continuously generating additional data points that support ongoing refinement of our underwriting model. Further, because our platform is fully native, unlike many non-traditional insurance companies, we can analyze data across the entire ecosystem, from the application engine, underwriting engine, payments and commissions, and marketing infrastructure, allowing us to continuously improve our platform.</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Multi-Carrier Relationship Model Delivers Value to Consumers and Agents</w:t>
      </w:r>
    </w:p>
    <w:p>
      <w:pPr>
        <w:spacing w:after="0" w:line="102" w:lineRule="exact"/>
        <w:rPr>
          <w:sz w:val="20"/>
          <w:szCs w:val="20"/>
          <w:color w:val="auto"/>
        </w:rPr>
      </w:pPr>
    </w:p>
    <w:p>
      <w:pPr>
        <w:jc w:val="both"/>
        <w:ind w:left="300" w:right="80" w:firstLine="532"/>
        <w:spacing w:after="0" w:line="247" w:lineRule="auto"/>
        <w:rPr>
          <w:sz w:val="20"/>
          <w:szCs w:val="20"/>
          <w:color w:val="auto"/>
        </w:rPr>
      </w:pPr>
      <w:r>
        <w:rPr>
          <w:rFonts w:ascii="Arial" w:cs="Arial" w:eastAsia="Arial" w:hAnsi="Arial"/>
          <w:sz w:val="18"/>
          <w:szCs w:val="18"/>
          <w:color w:val="auto"/>
        </w:rPr>
        <w:t>Unlike traditional insurers that typically focus on specific market segments and risk classes, our business model encompasses a wide range of products and risk categories within the life insurance sector. We work with multiple carriers, each uniquely suited for specific product categories and risk characteristics, ensuring strong value propositions across all of our offerings. This flexible model allows us to offer diverse products with the most suitable carrier, driving strong demand from targeted consumer profiles.</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Diverse Go-to-Market Channels</w:t>
      </w:r>
    </w:p>
    <w:p>
      <w:pPr>
        <w:spacing w:after="0" w:line="102" w:lineRule="exact"/>
        <w:rPr>
          <w:sz w:val="20"/>
          <w:szCs w:val="20"/>
          <w:color w:val="auto"/>
        </w:rPr>
      </w:pPr>
    </w:p>
    <w:p>
      <w:pPr>
        <w:ind w:left="300" w:firstLine="532"/>
        <w:spacing w:after="0" w:line="253" w:lineRule="auto"/>
        <w:rPr>
          <w:sz w:val="20"/>
          <w:szCs w:val="20"/>
          <w:color w:val="auto"/>
        </w:rPr>
      </w:pPr>
      <w:r>
        <w:rPr>
          <w:rFonts w:ascii="Arial" w:cs="Arial" w:eastAsia="Arial" w:hAnsi="Arial"/>
          <w:sz w:val="18"/>
          <w:szCs w:val="18"/>
          <w:color w:val="auto"/>
        </w:rPr>
        <w:t>By leveraging both our DTC digital platform and extensive third-party channel, Ethos captures a wide array of consumer use cases and preferences, allowing us to evolve our platform in response to market demands and reinforce our data moat. We cater both to consumers who prefer the</w:t>
      </w:r>
    </w:p>
    <w:p>
      <w:pPr>
        <w:spacing w:after="0" w:line="2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5"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305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54305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40"/>
        <w:spacing w:after="0" w:line="271" w:lineRule="auto"/>
        <w:rPr>
          <w:sz w:val="20"/>
          <w:szCs w:val="20"/>
          <w:color w:val="auto"/>
        </w:rPr>
      </w:pPr>
      <w:r>
        <w:rPr>
          <w:rFonts w:ascii="Arial" w:cs="Arial" w:eastAsia="Arial" w:hAnsi="Arial"/>
          <w:sz w:val="18"/>
          <w:szCs w:val="18"/>
          <w:color w:val="auto"/>
        </w:rPr>
        <w:t>personalized agent experience and others who opt for the convenience of DTC. This diverse go-to-market approach allows us to reach a broader range of consumers across multiple geographies and income levels.</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Significant Data Moat</w:t>
      </w:r>
    </w:p>
    <w:p>
      <w:pPr>
        <w:spacing w:after="0" w:line="102" w:lineRule="exact"/>
        <w:rPr>
          <w:sz w:val="20"/>
          <w:szCs w:val="20"/>
          <w:color w:val="auto"/>
        </w:rPr>
      </w:pPr>
    </w:p>
    <w:p>
      <w:pPr>
        <w:ind w:left="300" w:right="160" w:firstLine="532"/>
        <w:spacing w:after="0" w:line="247" w:lineRule="auto"/>
        <w:rPr>
          <w:sz w:val="20"/>
          <w:szCs w:val="20"/>
          <w:color w:val="auto"/>
        </w:rPr>
      </w:pPr>
      <w:r>
        <w:rPr>
          <w:rFonts w:ascii="Arial" w:cs="Arial" w:eastAsia="Arial" w:hAnsi="Arial"/>
          <w:sz w:val="18"/>
          <w:szCs w:val="18"/>
          <w:color w:val="auto"/>
        </w:rPr>
        <w:t>As a vertically integrated platform, Ethos collects extensive data and insights from consumer interactions and third-party data providers. Our closed-loop data system, which integrates consumer disclosures with reflexive application questions, continually refines our underwriting models. With over 480,000 cumulative policies activated since inception, Ethos has built a robust data moat that enhances accuracy, efficiency, and pricing as more consumer data flows through the platform.</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Early Mover Advantage</w:t>
      </w:r>
    </w:p>
    <w:p>
      <w:pPr>
        <w:spacing w:after="0" w:line="102" w:lineRule="exact"/>
        <w:rPr>
          <w:sz w:val="20"/>
          <w:szCs w:val="20"/>
          <w:color w:val="auto"/>
        </w:rPr>
      </w:pPr>
    </w:p>
    <w:p>
      <w:pPr>
        <w:ind w:left="300" w:firstLine="532"/>
        <w:spacing w:after="0" w:line="247" w:lineRule="auto"/>
        <w:rPr>
          <w:sz w:val="20"/>
          <w:szCs w:val="20"/>
          <w:color w:val="auto"/>
        </w:rPr>
      </w:pPr>
      <w:r>
        <w:rPr>
          <w:rFonts w:ascii="Arial" w:cs="Arial" w:eastAsia="Arial" w:hAnsi="Arial"/>
          <w:sz w:val="18"/>
          <w:szCs w:val="18"/>
          <w:color w:val="auto"/>
        </w:rPr>
        <w:t>Ethos holds a powerful early mover advantage as one of the only scaled technology platforms in the life insurance industry. Our early market entry in 2018 has allowed us to forge long-standing strategic relationships with leading insurance carriers that share our commitment to digitization. Building relationships with carriers is a challenging task, as carriers set a high bar for entrusting a platform like ours with underwriting policies and managing risk on their behalf.</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Proven Track Record with Industry Leading Carriers</w:t>
      </w:r>
    </w:p>
    <w:p>
      <w:pPr>
        <w:spacing w:after="0" w:line="102" w:lineRule="exact"/>
        <w:rPr>
          <w:sz w:val="20"/>
          <w:szCs w:val="20"/>
          <w:color w:val="auto"/>
        </w:rPr>
      </w:pPr>
    </w:p>
    <w:p>
      <w:pPr>
        <w:ind w:left="300" w:firstLine="532"/>
        <w:spacing w:after="0" w:line="244" w:lineRule="auto"/>
        <w:rPr>
          <w:sz w:val="20"/>
          <w:szCs w:val="20"/>
          <w:color w:val="auto"/>
        </w:rPr>
      </w:pPr>
      <w:r>
        <w:rPr>
          <w:rFonts w:ascii="Arial" w:cs="Arial" w:eastAsia="Arial" w:hAnsi="Arial"/>
          <w:sz w:val="18"/>
          <w:szCs w:val="18"/>
          <w:color w:val="auto"/>
        </w:rPr>
        <w:t>Ethos has consistently demonstrated its ability to deliver exceptional value to our carriers. Our three longest tenured, active carriers, who are also our top carriers by distribution, have grown at an average compound annual growth rate, or CAGR, of 64% in annual premiums activated through Ethos from 2021 to 2024. For each of these carriers, we were their largest source of life insurance premiums in 2024. We believe that our track record in driving value for the carriers with whom we work not only helps us retain our existing carriers but also positions us as an attractive choice for new carrier relationships.</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Strategies</w:t>
      </w:r>
    </w:p>
    <w:p>
      <w:pPr>
        <w:spacing w:after="0" w:line="117" w:lineRule="exact"/>
        <w:rPr>
          <w:sz w:val="20"/>
          <w:szCs w:val="20"/>
          <w:color w:val="auto"/>
        </w:rPr>
      </w:pPr>
    </w:p>
    <w:p>
      <w:pPr>
        <w:ind w:left="1020" w:right="40" w:hanging="195"/>
        <w:spacing w:after="0" w:line="27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Attract More Consumers: </w:t>
      </w:r>
      <w:r>
        <w:rPr>
          <w:rFonts w:ascii="Arial" w:cs="Arial" w:eastAsia="Arial" w:hAnsi="Arial"/>
          <w:sz w:val="18"/>
          <w:szCs w:val="18"/>
          <w:color w:val="auto"/>
        </w:rPr>
        <w:t>We continue to attract more consumers by leveraging our rapidly growing data advantage, which</w:t>
      </w:r>
      <w:r>
        <w:rPr>
          <w:rFonts w:ascii="Arial" w:cs="Arial" w:eastAsia="Arial" w:hAnsi="Arial"/>
          <w:sz w:val="18"/>
          <w:szCs w:val="18"/>
          <w:b w:val="1"/>
          <w:bCs w:val="1"/>
          <w:color w:val="auto"/>
        </w:rPr>
        <w:t xml:space="preserve"> </w:t>
      </w:r>
      <w:r>
        <w:rPr>
          <w:rFonts w:ascii="Arial" w:cs="Arial" w:eastAsia="Arial" w:hAnsi="Arial"/>
          <w:sz w:val="18"/>
          <w:szCs w:val="18"/>
          <w:color w:val="auto"/>
        </w:rPr>
        <w:t>strengthens as we scale.</w:t>
      </w:r>
    </w:p>
    <w:p>
      <w:pPr>
        <w:spacing w:after="0" w:line="59" w:lineRule="exact"/>
        <w:rPr>
          <w:rFonts w:ascii="Arial" w:cs="Arial" w:eastAsia="Arial" w:hAnsi="Arial"/>
          <w:sz w:val="18"/>
          <w:szCs w:val="18"/>
          <w:color w:val="auto"/>
        </w:rPr>
      </w:pPr>
    </w:p>
    <w:p>
      <w:pPr>
        <w:ind w:left="1020" w:right="120" w:hanging="195"/>
        <w:spacing w:after="0" w:line="27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Recruit More Agents and Increase Ethos’ Share of Our Agents’ Sales: </w:t>
      </w:r>
      <w:r>
        <w:rPr>
          <w:rFonts w:ascii="Arial" w:cs="Arial" w:eastAsia="Arial" w:hAnsi="Arial"/>
          <w:sz w:val="18"/>
          <w:szCs w:val="18"/>
          <w:color w:val="auto"/>
        </w:rPr>
        <w:t>We have a strong network of over 10,000 active</w:t>
      </w:r>
      <w:r>
        <w:rPr>
          <w:rFonts w:ascii="Arial" w:cs="Arial" w:eastAsia="Arial" w:hAnsi="Arial"/>
          <w:sz w:val="18"/>
          <w:szCs w:val="18"/>
          <w:b w:val="1"/>
          <w:bCs w:val="1"/>
          <w:color w:val="auto"/>
        </w:rPr>
        <w:t xml:space="preserve"> </w:t>
      </w:r>
      <w:r>
        <w:rPr>
          <w:rFonts w:ascii="Arial" w:cs="Arial" w:eastAsia="Arial" w:hAnsi="Arial"/>
          <w:sz w:val="18"/>
          <w:szCs w:val="18"/>
          <w:color w:val="auto"/>
        </w:rPr>
        <w:t>selling agents on our platform as of September 30, 2025, and we are committed to expanding this network.</w:t>
      </w:r>
    </w:p>
    <w:p>
      <w:pPr>
        <w:spacing w:after="0" w:line="59" w:lineRule="exact"/>
        <w:rPr>
          <w:rFonts w:ascii="Arial" w:cs="Arial" w:eastAsia="Arial" w:hAnsi="Arial"/>
          <w:sz w:val="18"/>
          <w:szCs w:val="18"/>
          <w:color w:val="auto"/>
        </w:rPr>
      </w:pPr>
    </w:p>
    <w:p>
      <w:pPr>
        <w:ind w:left="1020" w:right="160" w:hanging="195"/>
        <w:spacing w:after="0" w:line="25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Enhance Agent Productivity: </w:t>
      </w:r>
      <w:r>
        <w:rPr>
          <w:rFonts w:ascii="Arial" w:cs="Arial" w:eastAsia="Arial" w:hAnsi="Arial"/>
          <w:sz w:val="18"/>
          <w:szCs w:val="18"/>
          <w:color w:val="auto"/>
        </w:rPr>
        <w:t>We have achieved significant success by equipping agents with our comprehensive digital</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and there are more enhancements to come. We will continue to invest in platform features to streamline the sales process and boost agent productivity to attract more agents and drive growth.</w:t>
      </w:r>
    </w:p>
    <w:p>
      <w:pPr>
        <w:spacing w:after="0" w:line="74" w:lineRule="exact"/>
        <w:rPr>
          <w:rFonts w:ascii="Arial" w:cs="Arial" w:eastAsia="Arial" w:hAnsi="Arial"/>
          <w:sz w:val="18"/>
          <w:szCs w:val="18"/>
          <w:color w:val="auto"/>
        </w:rPr>
      </w:pPr>
    </w:p>
    <w:p>
      <w:pPr>
        <w:ind w:left="1020" w:right="220" w:hanging="195"/>
        <w:spacing w:after="0" w:line="24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Expand Our Product Portfolio: </w:t>
      </w:r>
      <w:r>
        <w:rPr>
          <w:rFonts w:ascii="Arial" w:cs="Arial" w:eastAsia="Arial" w:hAnsi="Arial"/>
          <w:sz w:val="18"/>
          <w:szCs w:val="18"/>
          <w:color w:val="auto"/>
        </w:rPr>
        <w:t>Ethos has expanded from one product in 2019 to ten products as of December 31, 2024.</w:t>
      </w:r>
      <w:r>
        <w:rPr>
          <w:rFonts w:ascii="Arial" w:cs="Arial" w:eastAsia="Arial" w:hAnsi="Arial"/>
          <w:sz w:val="18"/>
          <w:szCs w:val="18"/>
          <w:b w:val="1"/>
          <w:bCs w:val="1"/>
          <w:color w:val="auto"/>
        </w:rPr>
        <w:t xml:space="preserve"> </w:t>
      </w:r>
      <w:r>
        <w:rPr>
          <w:rFonts w:ascii="Arial" w:cs="Arial" w:eastAsia="Arial" w:hAnsi="Arial"/>
          <w:sz w:val="18"/>
          <w:szCs w:val="18"/>
          <w:color w:val="auto"/>
        </w:rPr>
        <w:t>We recently launched two additional products, a second Indexed Universal Life Insurance product and a Supplemental Health Insurance product, in November 2025 and intend to continue broadening the product offerings available on our platform.</w:t>
      </w: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5" w:right="6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13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 Summary</w:t>
      </w:r>
    </w:p>
    <w:p>
      <w:pPr>
        <w:spacing w:after="0" w:line="104" w:lineRule="exact"/>
        <w:rPr>
          <w:sz w:val="20"/>
          <w:szCs w:val="20"/>
          <w:color w:val="auto"/>
        </w:rPr>
      </w:pPr>
    </w:p>
    <w:p>
      <w:pPr>
        <w:ind w:left="300" w:firstLine="532"/>
        <w:spacing w:after="0" w:line="247" w:lineRule="auto"/>
        <w:rPr>
          <w:sz w:val="20"/>
          <w:szCs w:val="20"/>
          <w:color w:val="auto"/>
        </w:rPr>
      </w:pPr>
      <w:r>
        <w:rPr>
          <w:rFonts w:ascii="Arial" w:cs="Arial" w:eastAsia="Arial" w:hAnsi="Arial"/>
          <w:sz w:val="18"/>
          <w:szCs w:val="18"/>
          <w:color w:val="auto"/>
        </w:rPr>
        <w:t>Investing in our Class A common stock involves numerous risks, including the risks described in the section titled “Risk Factors” and elsewhere in this prospectus. You should carefully consider these risks before making an investment. Below are some of these risks, any one of which could materially adversely affect our business, financial condition, results of operations, and growth prospects.</w:t>
      </w:r>
    </w:p>
    <w:p>
      <w:pPr>
        <w:spacing w:after="0" w:line="79" w:lineRule="exact"/>
        <w:rPr>
          <w:sz w:val="20"/>
          <w:szCs w:val="20"/>
          <w:color w:val="auto"/>
        </w:rPr>
      </w:pPr>
    </w:p>
    <w:p>
      <w:pPr>
        <w:ind w:left="1020" w:hanging="19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history of losses, and while we have recently achieved profitability, we may not sustain it in the future.</w:t>
      </w:r>
    </w:p>
    <w:p>
      <w:pPr>
        <w:spacing w:after="0" w:line="117" w:lineRule="exact"/>
        <w:rPr>
          <w:rFonts w:ascii="Arial" w:cs="Arial" w:eastAsia="Arial" w:hAnsi="Arial"/>
          <w:sz w:val="18"/>
          <w:szCs w:val="18"/>
          <w:color w:val="auto"/>
        </w:rPr>
      </w:pPr>
    </w:p>
    <w:p>
      <w:pPr>
        <w:ind w:left="1020" w:right="180" w:hanging="195"/>
        <w:spacing w:after="0" w:line="24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limited history operating our business at its current scale, scope, and complexity, which makes it difficult to plan for future operations and growth initiatives and predict future results. In particular, factors impacting, and our ability to accurately forecast, our persistency estimates have negatively impacted and may in the future negatively impact our ability to accurately predict future revenue and cash flows and may in future periods result in unexpected differences between actual results compared to our forecasts.</w:t>
      </w:r>
    </w:p>
    <w:p>
      <w:pPr>
        <w:spacing w:after="0" w:line="81" w:lineRule="exact"/>
        <w:rPr>
          <w:rFonts w:ascii="Arial" w:cs="Arial" w:eastAsia="Arial" w:hAnsi="Arial"/>
          <w:sz w:val="18"/>
          <w:szCs w:val="18"/>
          <w:color w:val="auto"/>
        </w:rPr>
      </w:pPr>
    </w:p>
    <w:p>
      <w:pPr>
        <w:ind w:left="1020" w:hanging="19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could be harmed if we fail to manage our growth effectively.</w:t>
      </w:r>
    </w:p>
    <w:p>
      <w:pPr>
        <w:spacing w:after="0" w:line="117" w:lineRule="exact"/>
        <w:rPr>
          <w:rFonts w:ascii="Arial" w:cs="Arial" w:eastAsia="Arial" w:hAnsi="Arial"/>
          <w:sz w:val="18"/>
          <w:szCs w:val="18"/>
          <w:color w:val="auto"/>
        </w:rPr>
      </w:pPr>
    </w:p>
    <w:p>
      <w:pPr>
        <w:ind w:left="1020" w:hanging="195"/>
        <w:spacing w:after="0" w:line="25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we earn on the sale of insurance products is based on premiums set by carriers, and any meaningful change in these premiums, or decrease in commission rates that we negotiate with our carriers based on such premiums, or actions by carriers seeking repayment of commissions, could adversely impact our revenue.</w:t>
      </w:r>
    </w:p>
    <w:p>
      <w:pPr>
        <w:spacing w:after="0" w:line="74" w:lineRule="exact"/>
        <w:rPr>
          <w:rFonts w:ascii="Arial" w:cs="Arial" w:eastAsia="Arial" w:hAnsi="Arial"/>
          <w:sz w:val="18"/>
          <w:szCs w:val="18"/>
          <w:color w:val="auto"/>
        </w:rPr>
      </w:pPr>
    </w:p>
    <w:p>
      <w:pPr>
        <w:ind w:left="1020" w:right="140" w:hanging="195"/>
        <w:spacing w:after="0" w:line="27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may be harmed if we lose relationships with carriers, fail to maintain good relationships with carriers, become even more dependent upon a limited number of carriers or fail to develop new carrier relationships.</w:t>
      </w:r>
    </w:p>
    <w:p>
      <w:pPr>
        <w:spacing w:after="0" w:line="59" w:lineRule="exact"/>
        <w:rPr>
          <w:rFonts w:ascii="Arial" w:cs="Arial" w:eastAsia="Arial" w:hAnsi="Arial"/>
          <w:sz w:val="18"/>
          <w:szCs w:val="18"/>
          <w:color w:val="auto"/>
        </w:rPr>
      </w:pPr>
    </w:p>
    <w:p>
      <w:pPr>
        <w:ind w:left="1020" w:hanging="195"/>
        <w:spacing w:after="0" w:line="27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a limited number of agency counterparties, and if we are unsuccessful in maintaining relationships with these and new agencies, our results of operations be harmed.</w:t>
      </w:r>
    </w:p>
    <w:p>
      <w:pPr>
        <w:spacing w:after="0" w:line="59" w:lineRule="exact"/>
        <w:rPr>
          <w:rFonts w:ascii="Arial" w:cs="Arial" w:eastAsia="Arial" w:hAnsi="Arial"/>
          <w:sz w:val="18"/>
          <w:szCs w:val="18"/>
          <w:color w:val="auto"/>
        </w:rPr>
      </w:pPr>
    </w:p>
    <w:p>
      <w:pPr>
        <w:ind w:left="1020" w:hanging="195"/>
        <w:spacing w:after="0" w:line="27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depends on individual agent adoption and engagement, and if agents do not engage with or adopt our platform, our results of operation will be harmed.</w:t>
      </w:r>
    </w:p>
    <w:p>
      <w:pPr>
        <w:spacing w:after="0" w:line="59" w:lineRule="exact"/>
        <w:rPr>
          <w:rFonts w:ascii="Arial" w:cs="Arial" w:eastAsia="Arial" w:hAnsi="Arial"/>
          <w:sz w:val="18"/>
          <w:szCs w:val="18"/>
          <w:color w:val="auto"/>
        </w:rPr>
      </w:pPr>
    </w:p>
    <w:p>
      <w:pPr>
        <w:ind w:left="1020" w:right="440" w:hanging="195"/>
        <w:spacing w:after="0" w:line="27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depends in part on third-party data, technology, and infrastructure providers, and failure to maintain these relationships or changes in their services could adversely affect our operations, revenue, and growth.</w:t>
      </w:r>
    </w:p>
    <w:p>
      <w:pPr>
        <w:spacing w:after="0" w:line="59" w:lineRule="exact"/>
        <w:rPr>
          <w:rFonts w:ascii="Arial" w:cs="Arial" w:eastAsia="Arial" w:hAnsi="Arial"/>
          <w:sz w:val="18"/>
          <w:szCs w:val="18"/>
          <w:color w:val="auto"/>
        </w:rPr>
      </w:pPr>
    </w:p>
    <w:p>
      <w:pPr>
        <w:ind w:left="1020" w:right="280" w:hanging="195"/>
        <w:spacing w:after="0" w:line="25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Cyber attacks, data breaches, security incidents, systems failures, and resulting, interruptions in the availability of our websites, mobile applications, platform, or services could adversely affect our business, financial condition, and results of operations.</w:t>
      </w:r>
    </w:p>
    <w:p>
      <w:pPr>
        <w:spacing w:after="0" w:line="74" w:lineRule="exact"/>
        <w:rPr>
          <w:rFonts w:ascii="Arial" w:cs="Arial" w:eastAsia="Arial" w:hAnsi="Arial"/>
          <w:sz w:val="18"/>
          <w:szCs w:val="18"/>
          <w:color w:val="auto"/>
        </w:rPr>
      </w:pPr>
    </w:p>
    <w:p>
      <w:pPr>
        <w:ind w:left="1020" w:hanging="19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brand awareness and marketing efforts to help grow our business may not be effective.</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Damage to our reputation could have a material adverse effect on our business.</w:t>
      </w:r>
    </w:p>
    <w:p>
      <w:pPr>
        <w:spacing w:after="0" w:line="117" w:lineRule="exact"/>
        <w:rPr>
          <w:rFonts w:ascii="Arial" w:cs="Arial" w:eastAsia="Arial" w:hAnsi="Arial"/>
          <w:sz w:val="18"/>
          <w:szCs w:val="18"/>
          <w:color w:val="auto"/>
        </w:rPr>
      </w:pPr>
    </w:p>
    <w:p>
      <w:pPr>
        <w:ind w:left="1020" w:right="40" w:hanging="195"/>
        <w:spacing w:after="0" w:line="24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obtain, maintain, protect, defend or enforce our intellectual property rights, the infringement, misappropriation, or other violation of our intellectual property by third parties, or allegations that we have infringed, misappropriated or otherwise violated the intellectual property rights of others, could harm our reputation, ability to compete effectively, financial condition and business.</w:t>
      </w:r>
    </w:p>
    <w:p>
      <w:pPr>
        <w:spacing w:after="0" w:line="79" w:lineRule="exact"/>
        <w:rPr>
          <w:rFonts w:ascii="Arial" w:cs="Arial" w:eastAsia="Arial" w:hAnsi="Arial"/>
          <w:sz w:val="18"/>
          <w:szCs w:val="18"/>
          <w:color w:val="auto"/>
        </w:rPr>
      </w:pPr>
    </w:p>
    <w:p>
      <w:pPr>
        <w:ind w:left="1020" w:hanging="19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is subject to risks related to disputes, legal proceedings, and governmental inquiries and investigations.</w:t>
      </w:r>
    </w:p>
    <w:p>
      <w:pPr>
        <w:spacing w:after="0" w:line="117" w:lineRule="exact"/>
        <w:rPr>
          <w:rFonts w:ascii="Arial" w:cs="Arial" w:eastAsia="Arial" w:hAnsi="Arial"/>
          <w:sz w:val="18"/>
          <w:szCs w:val="18"/>
          <w:color w:val="auto"/>
        </w:rPr>
      </w:pPr>
    </w:p>
    <w:p>
      <w:pPr>
        <w:ind w:left="1020" w:right="160" w:hanging="195"/>
        <w:spacing w:after="0" w:line="25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and the third parties with whom we work are subject to stringent and evolving U.S. laws, regulations, and rules, contractual obligations, industry standards, policies and other obligations related to data privacy and security. Our actual or perceived failure (or that of the</w:t>
      </w:r>
    </w:p>
    <w:p>
      <w:pPr>
        <w:spacing w:after="0" w:line="2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320" w:top="455" w:right="6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40" w:right="180"/>
        <w:spacing w:after="0" w:line="247" w:lineRule="auto"/>
        <w:rPr>
          <w:sz w:val="20"/>
          <w:szCs w:val="20"/>
          <w:color w:val="auto"/>
        </w:rPr>
      </w:pPr>
      <w:r>
        <w:rPr>
          <w:rFonts w:ascii="Arial" w:cs="Arial" w:eastAsia="Arial" w:hAnsi="Arial"/>
          <w:sz w:val="18"/>
          <w:szCs w:val="18"/>
          <w:color w:val="auto"/>
        </w:rPr>
        <w:t>third parties with whom we work) to comply with such obligations could lead, and in certain cases has led, to regulatory investigations or actions, litigation (including class action claims) and mass arbitration demands, fines and penalties, disruptions of our business operations, reputational harm, loss of revenue or profits, loss of consumers or sales, and other adverse business consequences.</w:t>
      </w:r>
    </w:p>
    <w:p>
      <w:pPr>
        <w:spacing w:after="0" w:line="79" w:lineRule="exact"/>
        <w:rPr>
          <w:sz w:val="20"/>
          <w:szCs w:val="20"/>
          <w:color w:val="auto"/>
        </w:rPr>
      </w:pPr>
    </w:p>
    <w:p>
      <w:pPr>
        <w:ind w:left="1020" w:right="200" w:hanging="195"/>
        <w:spacing w:after="0" w:line="24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If we are unable to demonstrate the effectiveness of our remediation measures, or if we identify additional material weaknesses in the future, our ability to produce timely and accurate financial statements or comply with applicable laws and regulations could be adversely affected.</w:t>
      </w:r>
    </w:p>
    <w:p>
      <w:pPr>
        <w:spacing w:after="0" w:line="79" w:lineRule="exact"/>
        <w:rPr>
          <w:rFonts w:ascii="Arial" w:cs="Arial" w:eastAsia="Arial" w:hAnsi="Arial"/>
          <w:sz w:val="18"/>
          <w:szCs w:val="18"/>
          <w:color w:val="auto"/>
        </w:rPr>
      </w:pPr>
    </w:p>
    <w:p>
      <w:pPr>
        <w:ind w:left="1020" w:right="280" w:hanging="195"/>
        <w:spacing w:after="0" w:line="27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our industry is intense, and our inability to compete effectively may adversely affect our business, financial condition, and results of operations.</w:t>
      </w:r>
    </w:p>
    <w:p>
      <w:pPr>
        <w:spacing w:after="0" w:line="59" w:lineRule="exact"/>
        <w:rPr>
          <w:rFonts w:ascii="Arial" w:cs="Arial" w:eastAsia="Arial" w:hAnsi="Arial"/>
          <w:sz w:val="18"/>
          <w:szCs w:val="18"/>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stock price may be volatile, and the value of our Class A common stock may decline.</w:t>
      </w:r>
    </w:p>
    <w:p>
      <w:pPr>
        <w:spacing w:after="0" w:line="117" w:lineRule="exact"/>
        <w:rPr>
          <w:rFonts w:ascii="Arial" w:cs="Arial" w:eastAsia="Arial" w:hAnsi="Arial"/>
          <w:sz w:val="18"/>
          <w:szCs w:val="18"/>
          <w:color w:val="auto"/>
        </w:rPr>
      </w:pPr>
    </w:p>
    <w:p>
      <w:pPr>
        <w:ind w:left="1020" w:right="140" w:hanging="195"/>
        <w:spacing w:after="0" w:line="27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public market for our Class A common stock currently exists, and an active public trading market may not develop or be sustained following the closing of this offering.</w:t>
      </w:r>
    </w:p>
    <w:p>
      <w:pPr>
        <w:spacing w:after="0" w:line="15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If we are unable to adequately address these and other risks we face, our business may be harmed.</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104" w:lineRule="exact"/>
        <w:rPr>
          <w:sz w:val="20"/>
          <w:szCs w:val="20"/>
          <w:color w:val="auto"/>
        </w:rPr>
      </w:pPr>
    </w:p>
    <w:p>
      <w:pPr>
        <w:ind w:left="300" w:firstLine="532"/>
        <w:spacing w:after="0" w:line="242" w:lineRule="auto"/>
        <w:rPr>
          <w:sz w:val="20"/>
          <w:szCs w:val="20"/>
          <w:color w:val="auto"/>
        </w:rPr>
      </w:pPr>
      <w:r>
        <w:rPr>
          <w:rFonts w:ascii="Arial" w:cs="Arial" w:eastAsia="Arial" w:hAnsi="Arial"/>
          <w:sz w:val="18"/>
          <w:szCs w:val="18"/>
          <w:color w:val="auto"/>
        </w:rPr>
        <w:t>Following the closing of this offering, we intend to announce material information to the public through filings with the Securities and Exchange Commission, or the SEC, the investor relations page on our website, press releases, public conference calls, public webcasts, our blog posts on our website, and our X (formerly Twitter) (@getEthosLife) and LinkedIn (www.linkedin.com/company/ethoslife) accounts. Information contained on, or accessible through, our website and accounts is not a part of this prospectus, and the inclusion of our website and account addresses in this prospectus is only as inactive textual references.</w:t>
      </w:r>
    </w:p>
    <w:p>
      <w:pPr>
        <w:spacing w:after="0" w:line="179" w:lineRule="exact"/>
        <w:rPr>
          <w:sz w:val="20"/>
          <w:szCs w:val="20"/>
          <w:color w:val="auto"/>
        </w:rPr>
      </w:pPr>
    </w:p>
    <w:p>
      <w:pPr>
        <w:ind w:left="300" w:right="20" w:firstLine="532"/>
        <w:spacing w:after="0" w:line="247" w:lineRule="auto"/>
        <w:rPr>
          <w:sz w:val="20"/>
          <w:szCs w:val="20"/>
          <w:color w:val="auto"/>
        </w:rPr>
      </w:pPr>
      <w:r>
        <w:rPr>
          <w:rFonts w:ascii="Arial" w:cs="Arial" w:eastAsia="Arial" w:hAnsi="Arial"/>
          <w:sz w:val="18"/>
          <w:szCs w:val="18"/>
          <w:color w:val="auto"/>
        </w:rPr>
        <w:t>The information disclosed through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04" w:lineRule="exact"/>
        <w:rPr>
          <w:sz w:val="20"/>
          <w:szCs w:val="20"/>
          <w:color w:val="auto"/>
        </w:rPr>
      </w:pPr>
    </w:p>
    <w:p>
      <w:pPr>
        <w:ind w:left="300" w:right="40" w:firstLine="532"/>
        <w:spacing w:after="0" w:line="244" w:lineRule="auto"/>
        <w:rPr>
          <w:sz w:val="20"/>
          <w:szCs w:val="20"/>
          <w:color w:val="auto"/>
        </w:rPr>
      </w:pPr>
      <w:r>
        <w:rPr>
          <w:rFonts w:ascii="Arial" w:cs="Arial" w:eastAsia="Arial" w:hAnsi="Arial"/>
          <w:sz w:val="18"/>
          <w:szCs w:val="18"/>
          <w:color w:val="auto"/>
        </w:rPr>
        <w:t>We were initially incorporated under the laws of the State of Delaware in July 2016 under the name Ethos Insurance Corporation. We changed our name to Ethos Technologies Inc. in August 2016. Our principal executive offices are located at 90 New Montgomery Street, Suite 1500, San Francisco, CA 94105. Our telephone number is (415) 915-0665. Our website address is www.ethos.com. Information contained on, or accessible through, our website is not a part of this prospectus, and the inclusion of our website address in this prospectus is only as an inactive textual reference.</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104" w:lineRule="exact"/>
        <w:rPr>
          <w:sz w:val="20"/>
          <w:szCs w:val="20"/>
          <w:color w:val="auto"/>
        </w:rPr>
      </w:pPr>
    </w:p>
    <w:p>
      <w:pPr>
        <w:ind w:left="300" w:right="140" w:firstLine="532"/>
        <w:spacing w:after="0" w:line="247" w:lineRule="auto"/>
        <w:rPr>
          <w:sz w:val="20"/>
          <w:szCs w:val="20"/>
          <w:color w:val="auto"/>
        </w:rPr>
      </w:pPr>
      <w:r>
        <w:rPr>
          <w:rFonts w:ascii="Arial" w:cs="Arial" w:eastAsia="Arial" w:hAnsi="Arial"/>
          <w:sz w:val="18"/>
          <w:szCs w:val="18"/>
          <w:color w:val="auto"/>
        </w:rPr>
        <w:t>The Ethos design logos, “Ethos,” and our other registered or common law trademarks, trade names, or service marks appearing in this prospectus are the property of Ethos Technologies Inc. or its affiliates. Other trademarks, trade names, and service marks used in this prospectus are the property of their respective owners. Our use or display of third parties’ trademarks, trade names, or service marks in this prospectus is not intended to, and does not imply, a relationship with or endorsement or</w:t>
      </w:r>
    </w:p>
    <w:p>
      <w:pPr>
        <w:spacing w:after="0" w:line="29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320" w:top="455" w:right="6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215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5215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20" w:lineRule="auto"/>
        <w:rPr>
          <w:sz w:val="20"/>
          <w:szCs w:val="20"/>
          <w:color w:val="auto"/>
        </w:rPr>
      </w:pPr>
      <w:r>
        <w:rPr>
          <w:rFonts w:ascii="Arial" w:cs="Arial" w:eastAsia="Arial" w:hAnsi="Arial"/>
          <w:sz w:val="18"/>
          <w:szCs w:val="18"/>
          <w:color w:val="auto"/>
        </w:rPr>
        <w:t xml:space="preserve">sponsorship by us. Solely for convenience, trademarks, trade names, and service marks referred to in this prospectus may appear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or </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symbols, but such references are not intended to indicate, in any way, that we will not assert, to the fullest extent permitted under applicable law, our rights or the rights of the applicable licensor to such trademarks, trade names, and service marks.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04" w:lineRule="exact"/>
        <w:rPr>
          <w:sz w:val="20"/>
          <w:szCs w:val="20"/>
          <w:color w:val="auto"/>
        </w:rPr>
      </w:pPr>
    </w:p>
    <w:p>
      <w:pPr>
        <w:jc w:val="both"/>
        <w:ind w:left="300" w:right="80" w:firstLine="532"/>
        <w:spacing w:after="0" w:line="275" w:lineRule="auto"/>
        <w:rPr>
          <w:sz w:val="20"/>
          <w:szCs w:val="20"/>
          <w:color w:val="auto"/>
        </w:rPr>
      </w:pPr>
      <w:r>
        <w:rPr>
          <w:rFonts w:ascii="Arial" w:cs="Arial" w:eastAsia="Arial" w:hAnsi="Arial"/>
          <w:sz w:val="17"/>
          <w:szCs w:val="17"/>
          <w:color w:val="auto"/>
        </w:rPr>
        <w:t>As a company with less than $1.235 billion in revenue during our last fiscal year, we qualify as an “emerging growth company” as defined in the Jumpstart Our Business Startups Act, or JOBS Act, enacted in April 2012. An emerging growth company may take advantage of reduced reporting requirements that are otherwise applicable generally to public companies. These provisions include:</w:t>
      </w:r>
    </w:p>
    <w:p>
      <w:pPr>
        <w:spacing w:after="0" w:line="57" w:lineRule="exact"/>
        <w:rPr>
          <w:sz w:val="20"/>
          <w:szCs w:val="20"/>
          <w:color w:val="auto"/>
        </w:rPr>
      </w:pPr>
    </w:p>
    <w:p>
      <w:pPr>
        <w:ind w:left="1020" w:right="80" w:hanging="195"/>
        <w:spacing w:after="0" w:line="27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being required to comply with the audit requirements of Section 404 of the Sarbanes-Oxley Act of 2002, as amended, or the Sarbanes-Oxley Act;</w:t>
      </w:r>
    </w:p>
    <w:p>
      <w:pPr>
        <w:spacing w:after="0" w:line="59"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obligations with respect to financial data, including presenting only two years of audited financial statements;</w:t>
      </w:r>
    </w:p>
    <w:p>
      <w:pPr>
        <w:spacing w:after="0" w:line="117" w:lineRule="exact"/>
        <w:rPr>
          <w:rFonts w:ascii="Arial" w:cs="Arial" w:eastAsia="Arial" w:hAnsi="Arial"/>
          <w:sz w:val="18"/>
          <w:szCs w:val="18"/>
          <w:color w:val="auto"/>
        </w:rPr>
      </w:pPr>
    </w:p>
    <w:p>
      <w:pPr>
        <w:ind w:left="1020" w:right="100" w:hanging="195"/>
        <w:spacing w:after="0" w:line="27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and</w:t>
      </w:r>
    </w:p>
    <w:p>
      <w:pPr>
        <w:spacing w:after="0" w:line="59" w:lineRule="exact"/>
        <w:rPr>
          <w:rFonts w:ascii="Arial" w:cs="Arial" w:eastAsia="Arial" w:hAnsi="Arial"/>
          <w:sz w:val="18"/>
          <w:szCs w:val="18"/>
          <w:color w:val="auto"/>
        </w:rPr>
      </w:pPr>
    </w:p>
    <w:p>
      <w:pPr>
        <w:ind w:left="1020" w:right="640" w:hanging="195"/>
        <w:spacing w:after="0" w:line="27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any golden parachute payments not previously approved.</w:t>
      </w:r>
    </w:p>
    <w:p>
      <w:pPr>
        <w:spacing w:after="0" w:line="154" w:lineRule="exact"/>
        <w:rPr>
          <w:sz w:val="20"/>
          <w:szCs w:val="20"/>
          <w:color w:val="auto"/>
        </w:rPr>
      </w:pPr>
    </w:p>
    <w:p>
      <w:pPr>
        <w:ind w:left="300" w:right="120" w:firstLine="532"/>
        <w:spacing w:after="0" w:line="244"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date of the first sale of our Class A common stock in this offering. However, we will cease to be an emerging growth company prior to the end of such five-year period if (i) we become a “large accelerated filer,” with at least $700 million of common equity securities held by non-affiliates; (ii) our annual gross revenue exceeds $1.235 billion; or (iii) we issue more than $1.0 billion of non-convertible debt in any three-year period, whichever occurs first.</w:t>
      </w:r>
    </w:p>
    <w:p>
      <w:pPr>
        <w:spacing w:after="0" w:line="176" w:lineRule="exact"/>
        <w:rPr>
          <w:sz w:val="20"/>
          <w:szCs w:val="20"/>
          <w:color w:val="auto"/>
        </w:rPr>
      </w:pPr>
    </w:p>
    <w:p>
      <w:pPr>
        <w:ind w:left="300" w:right="200" w:firstLine="532"/>
        <w:spacing w:after="0" w:line="247" w:lineRule="auto"/>
        <w:rPr>
          <w:sz w:val="20"/>
          <w:szCs w:val="20"/>
          <w:color w:val="auto"/>
        </w:rPr>
      </w:pPr>
      <w:r>
        <w:rPr>
          <w:rFonts w:ascii="Arial" w:cs="Arial" w:eastAsia="Arial" w:hAnsi="Arial"/>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74" w:lineRule="exact"/>
        <w:rPr>
          <w:sz w:val="20"/>
          <w:szCs w:val="20"/>
          <w:color w:val="auto"/>
        </w:rPr>
      </w:pPr>
    </w:p>
    <w:p>
      <w:pPr>
        <w:ind w:left="300" w:firstLine="532"/>
        <w:spacing w:after="0"/>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this extended transition period to enable us to comply with certain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320" w:top="455" w:right="6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044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54044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0940"/>
          </w:cols>
          <w:pgMar w:left="320" w:top="455" w:right="639" w:bottom="1440" w:gutter="0" w:footer="0" w:header="0"/>
        </w:sectPr>
      </w:pP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Class A common stock offered by us</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Class A common stock offered by the selling stockholders</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Class A common stock to be outstanding after this offering</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Class B common stock to be outstanding after this offering</w:t>
      </w:r>
    </w:p>
    <w:p>
      <w:pPr>
        <w:spacing w:after="0" w:line="266" w:lineRule="exact"/>
        <w:rPr>
          <w:sz w:val="20"/>
          <w:szCs w:val="20"/>
          <w:color w:val="auto"/>
        </w:rPr>
      </w:pPr>
    </w:p>
    <w:p>
      <w:pPr>
        <w:ind w:left="300"/>
        <w:spacing w:after="0" w:line="271"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shares.</w:t>
      </w:r>
    </w:p>
    <w:p>
      <w:pPr>
        <w:spacing w:after="0" w:line="2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shares.</w:t>
      </w:r>
    </w:p>
    <w:p>
      <w:pPr>
        <w:spacing w:after="0" w:line="2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shares.</w:t>
      </w:r>
    </w:p>
    <w:p>
      <w:pPr>
        <w:spacing w:after="0" w:line="2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shares.</w:t>
      </w:r>
    </w:p>
    <w:p>
      <w:pPr>
        <w:spacing w:after="0" w:line="2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shares.</w:t>
      </w:r>
    </w:p>
    <w:p>
      <w:pPr>
        <w:spacing w:after="0" w:line="63" w:lineRule="exact"/>
        <w:rPr>
          <w:sz w:val="20"/>
          <w:szCs w:val="20"/>
          <w:color w:val="auto"/>
        </w:rPr>
      </w:pPr>
    </w:p>
    <w:p>
      <w:pPr>
        <w:ind w:left="100" w:right="100"/>
        <w:spacing w:after="0" w:line="245" w:lineRule="auto"/>
        <w:rPr>
          <w:sz w:val="20"/>
          <w:szCs w:val="20"/>
          <w:color w:val="auto"/>
        </w:rPr>
      </w:pPr>
      <w:r>
        <w:rPr>
          <w:rFonts w:ascii="Arial" w:cs="Arial" w:eastAsia="Arial" w:hAnsi="Arial"/>
          <w:sz w:val="18"/>
          <w:szCs w:val="18"/>
          <w:color w:val="auto"/>
        </w:rPr>
        <w:t xml:space="preserve">We estimate that our net proceeds from the sale of our Class A common stock in this offering will be approximately $       </w:t>
      </w:r>
    </w:p>
    <w:p>
      <w:pPr>
        <w:ind w:left="100" w:right="80"/>
        <w:spacing w:after="0" w:line="239" w:lineRule="auto"/>
        <w:rPr>
          <w:sz w:val="20"/>
          <w:szCs w:val="20"/>
          <w:color w:val="auto"/>
        </w:rPr>
      </w:pPr>
      <w:r>
        <w:rPr>
          <w:rFonts w:ascii="Arial" w:cs="Arial" w:eastAsia="Arial" w:hAnsi="Arial"/>
          <w:sz w:val="18"/>
          <w:szCs w:val="18"/>
          <w:color w:val="auto"/>
        </w:rPr>
        <w:t>million, assuming an initial public offering price of $        per share, the midpoint of the price range set forth on the cover page of this prospectus, and after deducting underwriting discounts and commissions and estimated offering expenses payable by us.</w:t>
      </w:r>
    </w:p>
    <w:p>
      <w:pPr>
        <w:spacing w:after="0" w:line="31" w:lineRule="exact"/>
        <w:rPr>
          <w:sz w:val="20"/>
          <w:szCs w:val="20"/>
          <w:color w:val="auto"/>
        </w:rPr>
      </w:pPr>
    </w:p>
    <w:p>
      <w:pPr>
        <w:ind w:left="100" w:right="60"/>
        <w:spacing w:after="0" w:line="251" w:lineRule="auto"/>
        <w:rPr>
          <w:sz w:val="20"/>
          <w:szCs w:val="20"/>
          <w:color w:val="auto"/>
        </w:rPr>
      </w:pPr>
      <w:r>
        <w:rPr>
          <w:rFonts w:ascii="Arial" w:cs="Arial" w:eastAsia="Arial" w:hAnsi="Arial"/>
          <w:sz w:val="17"/>
          <w:szCs w:val="17"/>
          <w:color w:val="auto"/>
        </w:rPr>
        <w:t>We intend to use a portion of the net proceeds we receive from this offering to pay all of our anticipated tax withholding and remittance obligations related to the RSU Net Settlement (as defined below). In connection with the RSU Net Settlement, assuming (i) the fair market value of our Class A common stock at the time of settlement will be equal to the assumed initial public offering price per share of $       , the midpoint of the price range set forth on the cover page of this prospectus, and</w:t>
      </w:r>
    </w:p>
    <w:p>
      <w:pPr>
        <w:spacing w:after="0" w:line="3" w:lineRule="exact"/>
        <w:rPr>
          <w:sz w:val="20"/>
          <w:szCs w:val="20"/>
          <w:color w:val="auto"/>
        </w:rPr>
      </w:pPr>
    </w:p>
    <w:p>
      <w:pPr>
        <w:ind w:left="100"/>
        <w:spacing w:after="0" w:line="236" w:lineRule="auto"/>
        <w:tabs>
          <w:tab w:leader="none" w:pos="35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assumed       % tax withholding rate, we estimate that these tax withholding and remittance obligations on the RSU Net Settlement will be $       million in the aggregate. We intend to use the remaining net proceeds we receive from this offering for general corporate purposes, including working capital, operating expenses, and capital expenditures. We may also use a portion of the remaining net proceeds for acquisitions of, or strategic investments in, complementary businesses, products, services, or technologies, although we do not currently have any agreements or commitments for any material acquisitions or investments. See the section titled “Use of Proceeds” for additional information.</w:t>
      </w:r>
    </w:p>
    <w:p>
      <w:pPr>
        <w:spacing w:after="0" w:line="200" w:lineRule="exact"/>
        <w:rPr>
          <w:sz w:val="20"/>
          <w:szCs w:val="20"/>
          <w:color w:val="auto"/>
        </w:rPr>
      </w:pPr>
    </w:p>
    <w:p>
      <w:pPr>
        <w:sectPr>
          <w:pgSz w:w="11900" w:h="16838" w:orient="portrait"/>
          <w:cols w:equalWidth="0" w:num="2">
            <w:col w:w="5240" w:space="500"/>
            <w:col w:w="5200"/>
          </w:cols>
          <w:pgMar w:left="320" w:top="455" w:right="639" w:bottom="1440" w:gutter="0" w:footer="0" w:header="0"/>
          <w:type w:val="continuous"/>
        </w:sectPr>
      </w:pPr>
    </w:p>
    <w:p>
      <w:pPr>
        <w:spacing w:after="0" w:line="107"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940"/>
          </w:cols>
          <w:pgMar w:left="320" w:top="455" w:right="6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2076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520763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7340" w:type="dxa"/>
            <w:vAlign w:val="bottom"/>
            <w:gridSpan w:val="4"/>
          </w:tcPr>
          <w:p>
            <w:pPr>
              <w:ind w:left="2280"/>
              <w:spacing w:after="0"/>
              <w:rPr>
                <w:sz w:val="20"/>
                <w:szCs w:val="20"/>
                <w:color w:val="auto"/>
              </w:rPr>
            </w:pPr>
            <w:r>
              <w:rPr>
                <w:rFonts w:ascii="Arial" w:cs="Arial" w:eastAsia="Arial" w:hAnsi="Arial"/>
                <w:sz w:val="18"/>
                <w:szCs w:val="18"/>
                <w:color w:val="auto"/>
              </w:rPr>
              <w:t>We will not receive any proceeds from sales of shares of Class</w:t>
            </w:r>
          </w:p>
        </w:tc>
      </w:tr>
      <w:tr>
        <w:trPr>
          <w:trHeight w:val="239"/>
        </w:trPr>
        <w:tc>
          <w:tcPr>
            <w:tcW w:w="3260" w:type="dxa"/>
            <w:vAlign w:val="bottom"/>
          </w:tcPr>
          <w:p>
            <w:pPr>
              <w:spacing w:after="0"/>
              <w:rPr>
                <w:sz w:val="20"/>
                <w:szCs w:val="20"/>
                <w:color w:val="auto"/>
              </w:rPr>
            </w:pPr>
          </w:p>
        </w:tc>
        <w:tc>
          <w:tcPr>
            <w:tcW w:w="7340" w:type="dxa"/>
            <w:vAlign w:val="bottom"/>
            <w:gridSpan w:val="4"/>
          </w:tcPr>
          <w:p>
            <w:pPr>
              <w:ind w:left="2280"/>
              <w:spacing w:after="0"/>
              <w:rPr>
                <w:sz w:val="20"/>
                <w:szCs w:val="20"/>
                <w:color w:val="auto"/>
              </w:rPr>
            </w:pPr>
            <w:r>
              <w:rPr>
                <w:rFonts w:ascii="Arial" w:cs="Arial" w:eastAsia="Arial" w:hAnsi="Arial"/>
                <w:sz w:val="18"/>
                <w:szCs w:val="18"/>
                <w:color w:val="auto"/>
              </w:rPr>
              <w:t>A common stock by the selling stockholders.</w:t>
            </w:r>
          </w:p>
        </w:tc>
      </w:tr>
      <w:tr>
        <w:trPr>
          <w:trHeight w:val="234"/>
        </w:trPr>
        <w:tc>
          <w:tcPr>
            <w:tcW w:w="3260" w:type="dxa"/>
            <w:vAlign w:val="bottom"/>
          </w:tcPr>
          <w:p>
            <w:pPr>
              <w:spacing w:after="0"/>
              <w:rPr>
                <w:sz w:val="20"/>
                <w:szCs w:val="20"/>
                <w:color w:val="auto"/>
              </w:rPr>
            </w:pPr>
            <w:r>
              <w:rPr>
                <w:rFonts w:ascii="Arial" w:cs="Arial" w:eastAsia="Arial" w:hAnsi="Arial"/>
                <w:sz w:val="18"/>
                <w:szCs w:val="18"/>
                <w:color w:val="auto"/>
              </w:rPr>
              <w:t>Voting rights</w:t>
            </w:r>
          </w:p>
        </w:tc>
        <w:tc>
          <w:tcPr>
            <w:tcW w:w="7340" w:type="dxa"/>
            <w:vAlign w:val="bottom"/>
            <w:gridSpan w:val="4"/>
          </w:tcPr>
          <w:p>
            <w:pPr>
              <w:ind w:left="2280"/>
              <w:spacing w:after="0"/>
              <w:rPr>
                <w:sz w:val="20"/>
                <w:szCs w:val="20"/>
                <w:color w:val="auto"/>
              </w:rPr>
            </w:pPr>
            <w:r>
              <w:rPr>
                <w:rFonts w:ascii="Arial" w:cs="Arial" w:eastAsia="Arial" w:hAnsi="Arial"/>
                <w:sz w:val="18"/>
                <w:szCs w:val="18"/>
                <w:color w:val="auto"/>
              </w:rPr>
              <w:t>We have two classes of common stock: Class A common stock</w:t>
            </w:r>
          </w:p>
        </w:tc>
      </w:tr>
      <w:tr>
        <w:trPr>
          <w:trHeight w:val="203"/>
        </w:trPr>
        <w:tc>
          <w:tcPr>
            <w:tcW w:w="3260" w:type="dxa"/>
            <w:vAlign w:val="bottom"/>
          </w:tcPr>
          <w:p>
            <w:pPr>
              <w:spacing w:after="0"/>
              <w:rPr>
                <w:sz w:val="17"/>
                <w:szCs w:val="17"/>
                <w:color w:val="auto"/>
              </w:rPr>
            </w:pPr>
          </w:p>
        </w:tc>
        <w:tc>
          <w:tcPr>
            <w:tcW w:w="7340" w:type="dxa"/>
            <w:vAlign w:val="bottom"/>
            <w:gridSpan w:val="4"/>
          </w:tcPr>
          <w:p>
            <w:pPr>
              <w:ind w:left="2280"/>
              <w:spacing w:after="0" w:line="202" w:lineRule="exact"/>
              <w:rPr>
                <w:sz w:val="20"/>
                <w:szCs w:val="20"/>
                <w:color w:val="auto"/>
              </w:rPr>
            </w:pPr>
            <w:r>
              <w:rPr>
                <w:rFonts w:ascii="Arial" w:cs="Arial" w:eastAsia="Arial" w:hAnsi="Arial"/>
                <w:sz w:val="18"/>
                <w:szCs w:val="18"/>
                <w:color w:val="auto"/>
              </w:rPr>
              <w:t>and Class B common stock. Class A common stock is entitled</w:t>
            </w:r>
          </w:p>
        </w:tc>
      </w:tr>
      <w:tr>
        <w:trPr>
          <w:trHeight w:val="203"/>
        </w:trPr>
        <w:tc>
          <w:tcPr>
            <w:tcW w:w="3260" w:type="dxa"/>
            <w:vAlign w:val="bottom"/>
          </w:tcPr>
          <w:p>
            <w:pPr>
              <w:spacing w:after="0"/>
              <w:rPr>
                <w:sz w:val="17"/>
                <w:szCs w:val="17"/>
                <w:color w:val="auto"/>
              </w:rPr>
            </w:pPr>
          </w:p>
        </w:tc>
        <w:tc>
          <w:tcPr>
            <w:tcW w:w="7340" w:type="dxa"/>
            <w:vAlign w:val="bottom"/>
            <w:gridSpan w:val="4"/>
          </w:tcPr>
          <w:p>
            <w:pPr>
              <w:ind w:left="2280"/>
              <w:spacing w:after="0" w:line="202" w:lineRule="exact"/>
              <w:rPr>
                <w:sz w:val="20"/>
                <w:szCs w:val="20"/>
                <w:color w:val="auto"/>
              </w:rPr>
            </w:pPr>
            <w:r>
              <w:rPr>
                <w:rFonts w:ascii="Arial" w:cs="Arial" w:eastAsia="Arial" w:hAnsi="Arial"/>
                <w:sz w:val="18"/>
                <w:szCs w:val="18"/>
                <w:color w:val="auto"/>
              </w:rPr>
              <w:t>to one vote per share and Class B common stock is entitled to</w:t>
            </w:r>
          </w:p>
        </w:tc>
      </w:tr>
      <w:tr>
        <w:trPr>
          <w:trHeight w:val="203"/>
        </w:trPr>
        <w:tc>
          <w:tcPr>
            <w:tcW w:w="3260" w:type="dxa"/>
            <w:vAlign w:val="bottom"/>
          </w:tcPr>
          <w:p>
            <w:pPr>
              <w:spacing w:after="0"/>
              <w:rPr>
                <w:sz w:val="17"/>
                <w:szCs w:val="17"/>
                <w:color w:val="auto"/>
              </w:rPr>
            </w:pPr>
          </w:p>
        </w:tc>
        <w:tc>
          <w:tcPr>
            <w:tcW w:w="7340" w:type="dxa"/>
            <w:vAlign w:val="bottom"/>
            <w:gridSpan w:val="4"/>
          </w:tcPr>
          <w:p>
            <w:pPr>
              <w:ind w:left="2280"/>
              <w:spacing w:after="0" w:line="202" w:lineRule="exact"/>
              <w:rPr>
                <w:sz w:val="20"/>
                <w:szCs w:val="20"/>
                <w:color w:val="auto"/>
              </w:rPr>
            </w:pPr>
            <w:r>
              <w:rPr>
                <w:rFonts w:ascii="Arial" w:cs="Arial" w:eastAsia="Arial" w:hAnsi="Arial"/>
                <w:sz w:val="18"/>
                <w:szCs w:val="18"/>
                <w:color w:val="auto"/>
                <w:w w:val="99"/>
              </w:rPr>
              <w:t>20 votes per share and is convertible at any time into one share</w:t>
            </w:r>
          </w:p>
        </w:tc>
      </w:tr>
      <w:tr>
        <w:trPr>
          <w:trHeight w:val="239"/>
        </w:trPr>
        <w:tc>
          <w:tcPr>
            <w:tcW w:w="3260" w:type="dxa"/>
            <w:vAlign w:val="bottom"/>
          </w:tcPr>
          <w:p>
            <w:pPr>
              <w:spacing w:after="0"/>
              <w:rPr>
                <w:sz w:val="20"/>
                <w:szCs w:val="20"/>
                <w:color w:val="auto"/>
              </w:rPr>
            </w:pPr>
          </w:p>
        </w:tc>
        <w:tc>
          <w:tcPr>
            <w:tcW w:w="7340" w:type="dxa"/>
            <w:vAlign w:val="bottom"/>
            <w:gridSpan w:val="4"/>
          </w:tcPr>
          <w:p>
            <w:pPr>
              <w:ind w:left="2280"/>
              <w:spacing w:after="0"/>
              <w:rPr>
                <w:sz w:val="20"/>
                <w:szCs w:val="20"/>
                <w:color w:val="auto"/>
              </w:rPr>
            </w:pPr>
            <w:r>
              <w:rPr>
                <w:rFonts w:ascii="Arial" w:cs="Arial" w:eastAsia="Arial" w:hAnsi="Arial"/>
                <w:sz w:val="18"/>
                <w:szCs w:val="18"/>
                <w:color w:val="auto"/>
              </w:rPr>
              <w:t>of Class A common stock.</w:t>
            </w:r>
          </w:p>
        </w:tc>
      </w:tr>
      <w:tr>
        <w:trPr>
          <w:trHeight w:val="234"/>
        </w:trPr>
        <w:tc>
          <w:tcPr>
            <w:tcW w:w="3260" w:type="dxa"/>
            <w:vAlign w:val="bottom"/>
          </w:tcPr>
          <w:p>
            <w:pPr>
              <w:spacing w:after="0"/>
              <w:rPr>
                <w:sz w:val="20"/>
                <w:szCs w:val="20"/>
                <w:color w:val="auto"/>
              </w:rPr>
            </w:pPr>
          </w:p>
        </w:tc>
        <w:tc>
          <w:tcPr>
            <w:tcW w:w="7340" w:type="dxa"/>
            <w:vAlign w:val="bottom"/>
            <w:gridSpan w:val="4"/>
          </w:tcPr>
          <w:p>
            <w:pPr>
              <w:ind w:left="2280"/>
              <w:spacing w:after="0"/>
              <w:rPr>
                <w:sz w:val="20"/>
                <w:szCs w:val="20"/>
                <w:color w:val="auto"/>
              </w:rPr>
            </w:pPr>
            <w:r>
              <w:rPr>
                <w:rFonts w:ascii="Arial" w:cs="Arial" w:eastAsia="Arial" w:hAnsi="Arial"/>
                <w:sz w:val="18"/>
                <w:szCs w:val="18"/>
                <w:color w:val="auto"/>
              </w:rPr>
              <w:t>Holders of Class A common stock and Class B common stock</w:t>
            </w:r>
          </w:p>
        </w:tc>
      </w:tr>
      <w:tr>
        <w:trPr>
          <w:trHeight w:val="203"/>
        </w:trPr>
        <w:tc>
          <w:tcPr>
            <w:tcW w:w="3260" w:type="dxa"/>
            <w:vAlign w:val="bottom"/>
          </w:tcPr>
          <w:p>
            <w:pPr>
              <w:spacing w:after="0"/>
              <w:rPr>
                <w:sz w:val="17"/>
                <w:szCs w:val="17"/>
                <w:color w:val="auto"/>
              </w:rPr>
            </w:pPr>
          </w:p>
        </w:tc>
        <w:tc>
          <w:tcPr>
            <w:tcW w:w="7340" w:type="dxa"/>
            <w:vAlign w:val="bottom"/>
            <w:gridSpan w:val="4"/>
          </w:tcPr>
          <w:p>
            <w:pPr>
              <w:ind w:left="2280"/>
              <w:spacing w:after="0" w:line="202" w:lineRule="exact"/>
              <w:rPr>
                <w:sz w:val="20"/>
                <w:szCs w:val="20"/>
                <w:color w:val="auto"/>
              </w:rPr>
            </w:pPr>
            <w:r>
              <w:rPr>
                <w:rFonts w:ascii="Arial" w:cs="Arial" w:eastAsia="Arial" w:hAnsi="Arial"/>
                <w:sz w:val="18"/>
                <w:szCs w:val="18"/>
                <w:color w:val="auto"/>
              </w:rPr>
              <w:t>will generally vote together as a single class, unless otherwise</w:t>
            </w:r>
          </w:p>
        </w:tc>
      </w:tr>
      <w:tr>
        <w:trPr>
          <w:trHeight w:val="203"/>
        </w:trPr>
        <w:tc>
          <w:tcPr>
            <w:tcW w:w="3260" w:type="dxa"/>
            <w:vAlign w:val="bottom"/>
          </w:tcPr>
          <w:p>
            <w:pPr>
              <w:spacing w:after="0"/>
              <w:rPr>
                <w:sz w:val="17"/>
                <w:szCs w:val="17"/>
                <w:color w:val="auto"/>
              </w:rPr>
            </w:pPr>
          </w:p>
        </w:tc>
        <w:tc>
          <w:tcPr>
            <w:tcW w:w="7340" w:type="dxa"/>
            <w:vAlign w:val="bottom"/>
            <w:gridSpan w:val="4"/>
          </w:tcPr>
          <w:p>
            <w:pPr>
              <w:ind w:left="2280"/>
              <w:spacing w:after="0" w:line="202" w:lineRule="exact"/>
              <w:rPr>
                <w:sz w:val="20"/>
                <w:szCs w:val="20"/>
                <w:color w:val="auto"/>
              </w:rPr>
            </w:pPr>
            <w:r>
              <w:rPr>
                <w:rFonts w:ascii="Arial" w:cs="Arial" w:eastAsia="Arial" w:hAnsi="Arial"/>
                <w:sz w:val="18"/>
                <w:szCs w:val="18"/>
                <w:color w:val="auto"/>
              </w:rPr>
              <w:t>required by law or our amended and restated certificate of</w:t>
            </w:r>
          </w:p>
        </w:tc>
      </w:tr>
      <w:tr>
        <w:trPr>
          <w:trHeight w:val="203"/>
        </w:trPr>
        <w:tc>
          <w:tcPr>
            <w:tcW w:w="3260" w:type="dxa"/>
            <w:vAlign w:val="bottom"/>
          </w:tcPr>
          <w:p>
            <w:pPr>
              <w:spacing w:after="0"/>
              <w:rPr>
                <w:sz w:val="17"/>
                <w:szCs w:val="17"/>
                <w:color w:val="auto"/>
              </w:rPr>
            </w:pPr>
          </w:p>
        </w:tc>
        <w:tc>
          <w:tcPr>
            <w:tcW w:w="7340" w:type="dxa"/>
            <w:vAlign w:val="bottom"/>
            <w:gridSpan w:val="4"/>
          </w:tcPr>
          <w:p>
            <w:pPr>
              <w:ind w:left="2280"/>
              <w:spacing w:after="0" w:line="202" w:lineRule="exact"/>
              <w:rPr>
                <w:sz w:val="20"/>
                <w:szCs w:val="20"/>
                <w:color w:val="auto"/>
              </w:rPr>
            </w:pPr>
            <w:r>
              <w:rPr>
                <w:rFonts w:ascii="Arial" w:cs="Arial" w:eastAsia="Arial" w:hAnsi="Arial"/>
                <w:sz w:val="18"/>
                <w:szCs w:val="18"/>
                <w:color w:val="auto"/>
              </w:rPr>
              <w:t>incorporation that will be in effect immediately prior to the</w:t>
            </w:r>
          </w:p>
        </w:tc>
      </w:tr>
      <w:tr>
        <w:trPr>
          <w:trHeight w:val="203"/>
        </w:trPr>
        <w:tc>
          <w:tcPr>
            <w:tcW w:w="3260" w:type="dxa"/>
            <w:vAlign w:val="bottom"/>
          </w:tcPr>
          <w:p>
            <w:pPr>
              <w:spacing w:after="0"/>
              <w:rPr>
                <w:sz w:val="17"/>
                <w:szCs w:val="17"/>
                <w:color w:val="auto"/>
              </w:rPr>
            </w:pPr>
          </w:p>
        </w:tc>
        <w:tc>
          <w:tcPr>
            <w:tcW w:w="7340" w:type="dxa"/>
            <w:vAlign w:val="bottom"/>
            <w:gridSpan w:val="4"/>
          </w:tcPr>
          <w:p>
            <w:pPr>
              <w:ind w:left="2280"/>
              <w:spacing w:after="0" w:line="202" w:lineRule="exact"/>
              <w:rPr>
                <w:sz w:val="20"/>
                <w:szCs w:val="20"/>
                <w:color w:val="auto"/>
              </w:rPr>
            </w:pPr>
            <w:r>
              <w:rPr>
                <w:rFonts w:ascii="Arial" w:cs="Arial" w:eastAsia="Arial" w:hAnsi="Arial"/>
                <w:sz w:val="18"/>
                <w:szCs w:val="18"/>
                <w:color w:val="auto"/>
              </w:rPr>
              <w:t>closing of this offering. Once this offering is completed, the</w:t>
            </w:r>
          </w:p>
        </w:tc>
      </w:tr>
      <w:tr>
        <w:trPr>
          <w:trHeight w:val="203"/>
        </w:trPr>
        <w:tc>
          <w:tcPr>
            <w:tcW w:w="3260" w:type="dxa"/>
            <w:vAlign w:val="bottom"/>
          </w:tcPr>
          <w:p>
            <w:pPr>
              <w:spacing w:after="0"/>
              <w:rPr>
                <w:sz w:val="17"/>
                <w:szCs w:val="17"/>
                <w:color w:val="auto"/>
              </w:rPr>
            </w:pPr>
          </w:p>
        </w:tc>
        <w:tc>
          <w:tcPr>
            <w:tcW w:w="7340" w:type="dxa"/>
            <w:vAlign w:val="bottom"/>
            <w:gridSpan w:val="4"/>
          </w:tcPr>
          <w:p>
            <w:pPr>
              <w:ind w:left="2280"/>
              <w:spacing w:after="0" w:line="202" w:lineRule="exact"/>
              <w:rPr>
                <w:sz w:val="20"/>
                <w:szCs w:val="20"/>
                <w:color w:val="auto"/>
              </w:rPr>
            </w:pPr>
            <w:r>
              <w:rPr>
                <w:rFonts w:ascii="Arial" w:cs="Arial" w:eastAsia="Arial" w:hAnsi="Arial"/>
                <w:sz w:val="18"/>
                <w:szCs w:val="18"/>
                <w:color w:val="auto"/>
              </w:rPr>
              <w:t>holders of our outstanding Class B common stock will hold</w:t>
            </w:r>
          </w:p>
        </w:tc>
      </w:tr>
      <w:tr>
        <w:trPr>
          <w:trHeight w:val="203"/>
        </w:trPr>
        <w:tc>
          <w:tcPr>
            <w:tcW w:w="3260" w:type="dxa"/>
            <w:vAlign w:val="bottom"/>
          </w:tcPr>
          <w:p>
            <w:pPr>
              <w:spacing w:after="0"/>
              <w:rPr>
                <w:sz w:val="17"/>
                <w:szCs w:val="17"/>
                <w:color w:val="auto"/>
              </w:rPr>
            </w:pPr>
          </w:p>
        </w:tc>
        <w:tc>
          <w:tcPr>
            <w:tcW w:w="3520" w:type="dxa"/>
            <w:vAlign w:val="bottom"/>
          </w:tcPr>
          <w:p>
            <w:pPr>
              <w:ind w:left="2280"/>
              <w:spacing w:after="0" w:line="202" w:lineRule="exact"/>
              <w:rPr>
                <w:sz w:val="20"/>
                <w:szCs w:val="20"/>
                <w:color w:val="auto"/>
              </w:rPr>
            </w:pPr>
            <w:r>
              <w:rPr>
                <w:rFonts w:ascii="Arial" w:cs="Arial" w:eastAsia="Arial" w:hAnsi="Arial"/>
                <w:sz w:val="18"/>
                <w:szCs w:val="18"/>
                <w:color w:val="auto"/>
                <w:w w:val="93"/>
              </w:rPr>
              <w:t>approximately 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3460" w:type="dxa"/>
            <w:vAlign w:val="bottom"/>
          </w:tcPr>
          <w:p>
            <w:pPr>
              <w:ind w:left="60"/>
              <w:spacing w:after="0" w:line="202" w:lineRule="exact"/>
              <w:rPr>
                <w:sz w:val="20"/>
                <w:szCs w:val="20"/>
                <w:color w:val="auto"/>
              </w:rPr>
            </w:pPr>
            <w:r>
              <w:rPr>
                <w:rFonts w:ascii="Arial" w:cs="Arial" w:eastAsia="Arial" w:hAnsi="Arial"/>
                <w:sz w:val="18"/>
                <w:szCs w:val="18"/>
                <w:color w:val="auto"/>
                <w:w w:val="97"/>
              </w:rPr>
              <w:t>   % of our outstanding shares and control</w:t>
            </w:r>
          </w:p>
        </w:tc>
      </w:tr>
      <w:tr>
        <w:trPr>
          <w:trHeight w:val="203"/>
        </w:trPr>
        <w:tc>
          <w:tcPr>
            <w:tcW w:w="3260" w:type="dxa"/>
            <w:vAlign w:val="bottom"/>
          </w:tcPr>
          <w:p>
            <w:pPr>
              <w:spacing w:after="0"/>
              <w:rPr>
                <w:sz w:val="17"/>
                <w:szCs w:val="17"/>
                <w:color w:val="auto"/>
              </w:rPr>
            </w:pPr>
          </w:p>
        </w:tc>
        <w:tc>
          <w:tcPr>
            <w:tcW w:w="3520" w:type="dxa"/>
            <w:vAlign w:val="bottom"/>
          </w:tcPr>
          <w:p>
            <w:pPr>
              <w:ind w:left="2280"/>
              <w:spacing w:after="0" w:line="202" w:lineRule="exact"/>
              <w:rPr>
                <w:sz w:val="20"/>
                <w:szCs w:val="20"/>
                <w:color w:val="auto"/>
              </w:rPr>
            </w:pPr>
            <w:r>
              <w:rPr>
                <w:rFonts w:ascii="Arial" w:cs="Arial" w:eastAsia="Arial" w:hAnsi="Arial"/>
                <w:sz w:val="18"/>
                <w:szCs w:val="18"/>
                <w:color w:val="auto"/>
                <w:w w:val="93"/>
              </w:rPr>
              <w:t>approximately 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3460" w:type="dxa"/>
            <w:vAlign w:val="bottom"/>
          </w:tcPr>
          <w:p>
            <w:pPr>
              <w:ind w:left="60"/>
              <w:spacing w:after="0" w:line="202" w:lineRule="exact"/>
              <w:rPr>
                <w:sz w:val="20"/>
                <w:szCs w:val="20"/>
                <w:color w:val="auto"/>
              </w:rPr>
            </w:pPr>
            <w:r>
              <w:rPr>
                <w:rFonts w:ascii="Arial" w:cs="Arial" w:eastAsia="Arial" w:hAnsi="Arial"/>
                <w:sz w:val="18"/>
                <w:szCs w:val="18"/>
                <w:color w:val="auto"/>
                <w:w w:val="96"/>
              </w:rPr>
              <w:t>   % of the voting power of our outstanding</w:t>
            </w:r>
          </w:p>
        </w:tc>
      </w:tr>
      <w:tr>
        <w:trPr>
          <w:trHeight w:val="203"/>
        </w:trPr>
        <w:tc>
          <w:tcPr>
            <w:tcW w:w="3260" w:type="dxa"/>
            <w:vAlign w:val="bottom"/>
          </w:tcPr>
          <w:p>
            <w:pPr>
              <w:spacing w:after="0"/>
              <w:rPr>
                <w:sz w:val="17"/>
                <w:szCs w:val="17"/>
                <w:color w:val="auto"/>
              </w:rPr>
            </w:pPr>
          </w:p>
        </w:tc>
        <w:tc>
          <w:tcPr>
            <w:tcW w:w="7340" w:type="dxa"/>
            <w:vAlign w:val="bottom"/>
            <w:gridSpan w:val="4"/>
          </w:tcPr>
          <w:p>
            <w:pPr>
              <w:ind w:left="2280"/>
              <w:spacing w:after="0" w:line="202" w:lineRule="exact"/>
              <w:rPr>
                <w:sz w:val="20"/>
                <w:szCs w:val="20"/>
                <w:color w:val="auto"/>
              </w:rPr>
            </w:pPr>
            <w:r>
              <w:rPr>
                <w:rFonts w:ascii="Arial" w:cs="Arial" w:eastAsia="Arial" w:hAnsi="Arial"/>
                <w:sz w:val="18"/>
                <w:szCs w:val="18"/>
                <w:color w:val="auto"/>
              </w:rPr>
              <w:t>shares. Additionally, (i) Peter Colis, our co-founder, Chief</w:t>
            </w:r>
          </w:p>
        </w:tc>
      </w:tr>
      <w:tr>
        <w:trPr>
          <w:trHeight w:val="203"/>
        </w:trPr>
        <w:tc>
          <w:tcPr>
            <w:tcW w:w="3260" w:type="dxa"/>
            <w:vAlign w:val="bottom"/>
          </w:tcPr>
          <w:p>
            <w:pPr>
              <w:spacing w:after="0"/>
              <w:rPr>
                <w:sz w:val="17"/>
                <w:szCs w:val="17"/>
                <w:color w:val="auto"/>
              </w:rPr>
            </w:pPr>
          </w:p>
        </w:tc>
        <w:tc>
          <w:tcPr>
            <w:tcW w:w="7340" w:type="dxa"/>
            <w:vAlign w:val="bottom"/>
            <w:gridSpan w:val="4"/>
          </w:tcPr>
          <w:p>
            <w:pPr>
              <w:ind w:left="2280"/>
              <w:spacing w:after="0" w:line="202" w:lineRule="exact"/>
              <w:rPr>
                <w:sz w:val="20"/>
                <w:szCs w:val="20"/>
                <w:color w:val="auto"/>
              </w:rPr>
            </w:pPr>
            <w:r>
              <w:rPr>
                <w:rFonts w:ascii="Arial" w:cs="Arial" w:eastAsia="Arial" w:hAnsi="Arial"/>
                <w:sz w:val="18"/>
                <w:szCs w:val="18"/>
                <w:color w:val="auto"/>
              </w:rPr>
              <w:t>Executive Officer, and chairperson and member of our board of</w:t>
            </w:r>
          </w:p>
        </w:tc>
      </w:tr>
      <w:tr>
        <w:trPr>
          <w:trHeight w:val="203"/>
        </w:trPr>
        <w:tc>
          <w:tcPr>
            <w:tcW w:w="3260" w:type="dxa"/>
            <w:vAlign w:val="bottom"/>
          </w:tcPr>
          <w:p>
            <w:pPr>
              <w:spacing w:after="0"/>
              <w:rPr>
                <w:sz w:val="17"/>
                <w:szCs w:val="17"/>
                <w:color w:val="auto"/>
              </w:rPr>
            </w:pPr>
          </w:p>
        </w:tc>
        <w:tc>
          <w:tcPr>
            <w:tcW w:w="7340" w:type="dxa"/>
            <w:vAlign w:val="bottom"/>
            <w:gridSpan w:val="4"/>
          </w:tcPr>
          <w:p>
            <w:pPr>
              <w:ind w:left="2280"/>
              <w:spacing w:after="0" w:line="202" w:lineRule="exact"/>
              <w:rPr>
                <w:sz w:val="20"/>
                <w:szCs w:val="20"/>
                <w:color w:val="auto"/>
              </w:rPr>
            </w:pPr>
            <w:r>
              <w:rPr>
                <w:rFonts w:ascii="Arial" w:cs="Arial" w:eastAsia="Arial" w:hAnsi="Arial"/>
                <w:sz w:val="18"/>
                <w:szCs w:val="18"/>
                <w:color w:val="auto"/>
              </w:rPr>
              <w:t>directors, will hold or control approximately             % of the</w:t>
            </w:r>
          </w:p>
        </w:tc>
      </w:tr>
      <w:tr>
        <w:trPr>
          <w:trHeight w:val="203"/>
        </w:trPr>
        <w:tc>
          <w:tcPr>
            <w:tcW w:w="3260" w:type="dxa"/>
            <w:vAlign w:val="bottom"/>
          </w:tcPr>
          <w:p>
            <w:pPr>
              <w:spacing w:after="0"/>
              <w:rPr>
                <w:sz w:val="17"/>
                <w:szCs w:val="17"/>
                <w:color w:val="auto"/>
              </w:rPr>
            </w:pPr>
          </w:p>
        </w:tc>
        <w:tc>
          <w:tcPr>
            <w:tcW w:w="7340" w:type="dxa"/>
            <w:vAlign w:val="bottom"/>
            <w:gridSpan w:val="4"/>
          </w:tcPr>
          <w:p>
            <w:pPr>
              <w:ind w:left="2280"/>
              <w:spacing w:after="0" w:line="202" w:lineRule="exact"/>
              <w:rPr>
                <w:sz w:val="20"/>
                <w:szCs w:val="20"/>
                <w:color w:val="auto"/>
              </w:rPr>
            </w:pPr>
            <w:r>
              <w:rPr>
                <w:rFonts w:ascii="Arial" w:cs="Arial" w:eastAsia="Arial" w:hAnsi="Arial"/>
                <w:sz w:val="18"/>
                <w:szCs w:val="18"/>
                <w:color w:val="auto"/>
              </w:rPr>
              <w:t>voting power of our outstanding capital stock, (ii) Lingke Wang,</w:t>
            </w:r>
          </w:p>
        </w:tc>
      </w:tr>
      <w:tr>
        <w:trPr>
          <w:trHeight w:val="203"/>
        </w:trPr>
        <w:tc>
          <w:tcPr>
            <w:tcW w:w="3260" w:type="dxa"/>
            <w:vAlign w:val="bottom"/>
          </w:tcPr>
          <w:p>
            <w:pPr>
              <w:spacing w:after="0"/>
              <w:rPr>
                <w:sz w:val="17"/>
                <w:szCs w:val="17"/>
                <w:color w:val="auto"/>
              </w:rPr>
            </w:pPr>
          </w:p>
        </w:tc>
        <w:tc>
          <w:tcPr>
            <w:tcW w:w="7340" w:type="dxa"/>
            <w:vAlign w:val="bottom"/>
            <w:gridSpan w:val="4"/>
          </w:tcPr>
          <w:p>
            <w:pPr>
              <w:ind w:left="2280"/>
              <w:spacing w:after="0" w:line="202" w:lineRule="exact"/>
              <w:rPr>
                <w:sz w:val="20"/>
                <w:szCs w:val="20"/>
                <w:color w:val="auto"/>
              </w:rPr>
            </w:pPr>
            <w:r>
              <w:rPr>
                <w:rFonts w:ascii="Arial" w:cs="Arial" w:eastAsia="Arial" w:hAnsi="Arial"/>
                <w:sz w:val="18"/>
                <w:szCs w:val="18"/>
                <w:color w:val="auto"/>
              </w:rPr>
              <w:t>our co-founder, President, and member of our board of</w:t>
            </w:r>
          </w:p>
        </w:tc>
      </w:tr>
      <w:tr>
        <w:trPr>
          <w:trHeight w:val="203"/>
        </w:trPr>
        <w:tc>
          <w:tcPr>
            <w:tcW w:w="3260" w:type="dxa"/>
            <w:vAlign w:val="bottom"/>
          </w:tcPr>
          <w:p>
            <w:pPr>
              <w:spacing w:after="0"/>
              <w:rPr>
                <w:sz w:val="17"/>
                <w:szCs w:val="17"/>
                <w:color w:val="auto"/>
              </w:rPr>
            </w:pPr>
          </w:p>
        </w:tc>
        <w:tc>
          <w:tcPr>
            <w:tcW w:w="7340" w:type="dxa"/>
            <w:vAlign w:val="bottom"/>
            <w:gridSpan w:val="4"/>
          </w:tcPr>
          <w:p>
            <w:pPr>
              <w:ind w:left="2280"/>
              <w:spacing w:after="0" w:line="202" w:lineRule="exact"/>
              <w:rPr>
                <w:sz w:val="20"/>
                <w:szCs w:val="20"/>
                <w:color w:val="auto"/>
              </w:rPr>
            </w:pPr>
            <w:r>
              <w:rPr>
                <w:rFonts w:ascii="Arial" w:cs="Arial" w:eastAsia="Arial" w:hAnsi="Arial"/>
                <w:sz w:val="18"/>
                <w:szCs w:val="18"/>
                <w:color w:val="auto"/>
              </w:rPr>
              <w:t>directors, will hold or control approximately             % of the</w:t>
            </w:r>
          </w:p>
        </w:tc>
      </w:tr>
      <w:tr>
        <w:trPr>
          <w:trHeight w:val="203"/>
        </w:trPr>
        <w:tc>
          <w:tcPr>
            <w:tcW w:w="3260" w:type="dxa"/>
            <w:vAlign w:val="bottom"/>
          </w:tcPr>
          <w:p>
            <w:pPr>
              <w:spacing w:after="0"/>
              <w:rPr>
                <w:sz w:val="17"/>
                <w:szCs w:val="17"/>
                <w:color w:val="auto"/>
              </w:rPr>
            </w:pPr>
          </w:p>
        </w:tc>
        <w:tc>
          <w:tcPr>
            <w:tcW w:w="7340" w:type="dxa"/>
            <w:vAlign w:val="bottom"/>
            <w:gridSpan w:val="4"/>
          </w:tcPr>
          <w:p>
            <w:pPr>
              <w:ind w:left="2280"/>
              <w:spacing w:after="0" w:line="202" w:lineRule="exact"/>
              <w:rPr>
                <w:sz w:val="20"/>
                <w:szCs w:val="20"/>
                <w:color w:val="auto"/>
              </w:rPr>
            </w:pPr>
            <w:r>
              <w:rPr>
                <w:rFonts w:ascii="Arial" w:cs="Arial" w:eastAsia="Arial" w:hAnsi="Arial"/>
                <w:sz w:val="18"/>
                <w:szCs w:val="18"/>
                <w:color w:val="auto"/>
              </w:rPr>
              <w:t>voting power of our outstanding capital stock, (iii) entities</w:t>
            </w:r>
          </w:p>
        </w:tc>
      </w:tr>
      <w:tr>
        <w:trPr>
          <w:trHeight w:val="203"/>
        </w:trPr>
        <w:tc>
          <w:tcPr>
            <w:tcW w:w="3260" w:type="dxa"/>
            <w:vAlign w:val="bottom"/>
          </w:tcPr>
          <w:p>
            <w:pPr>
              <w:spacing w:after="0"/>
              <w:rPr>
                <w:sz w:val="17"/>
                <w:szCs w:val="17"/>
                <w:color w:val="auto"/>
              </w:rPr>
            </w:pPr>
          </w:p>
        </w:tc>
        <w:tc>
          <w:tcPr>
            <w:tcW w:w="7340" w:type="dxa"/>
            <w:vAlign w:val="bottom"/>
            <w:gridSpan w:val="4"/>
          </w:tcPr>
          <w:p>
            <w:pPr>
              <w:ind w:left="2280"/>
              <w:spacing w:after="0" w:line="202" w:lineRule="exact"/>
              <w:rPr>
                <w:sz w:val="20"/>
                <w:szCs w:val="20"/>
                <w:color w:val="auto"/>
              </w:rPr>
            </w:pPr>
            <w:r>
              <w:rPr>
                <w:rFonts w:ascii="Arial" w:cs="Arial" w:eastAsia="Arial" w:hAnsi="Arial"/>
                <w:sz w:val="18"/>
                <w:szCs w:val="18"/>
                <w:color w:val="auto"/>
              </w:rPr>
              <w:t>affiliated with Accel will hold approximately             % of the</w:t>
            </w:r>
          </w:p>
        </w:tc>
      </w:tr>
      <w:tr>
        <w:trPr>
          <w:trHeight w:val="203"/>
        </w:trPr>
        <w:tc>
          <w:tcPr>
            <w:tcW w:w="3260" w:type="dxa"/>
            <w:vAlign w:val="bottom"/>
          </w:tcPr>
          <w:p>
            <w:pPr>
              <w:spacing w:after="0"/>
              <w:rPr>
                <w:sz w:val="17"/>
                <w:szCs w:val="17"/>
                <w:color w:val="auto"/>
              </w:rPr>
            </w:pPr>
          </w:p>
        </w:tc>
        <w:tc>
          <w:tcPr>
            <w:tcW w:w="7340" w:type="dxa"/>
            <w:vAlign w:val="bottom"/>
            <w:gridSpan w:val="4"/>
          </w:tcPr>
          <w:p>
            <w:pPr>
              <w:ind w:left="2280"/>
              <w:spacing w:after="0" w:line="202" w:lineRule="exact"/>
              <w:rPr>
                <w:sz w:val="20"/>
                <w:szCs w:val="20"/>
                <w:color w:val="auto"/>
              </w:rPr>
            </w:pPr>
            <w:r>
              <w:rPr>
                <w:rFonts w:ascii="Arial" w:cs="Arial" w:eastAsia="Arial" w:hAnsi="Arial"/>
                <w:sz w:val="18"/>
                <w:szCs w:val="18"/>
                <w:color w:val="auto"/>
              </w:rPr>
              <w:t>voting power of our outstanding capital stock, and (iv) entities</w:t>
            </w:r>
          </w:p>
        </w:tc>
      </w:tr>
      <w:tr>
        <w:trPr>
          <w:trHeight w:val="203"/>
        </w:trPr>
        <w:tc>
          <w:tcPr>
            <w:tcW w:w="3260" w:type="dxa"/>
            <w:vAlign w:val="bottom"/>
          </w:tcPr>
          <w:p>
            <w:pPr>
              <w:spacing w:after="0"/>
              <w:rPr>
                <w:sz w:val="17"/>
                <w:szCs w:val="17"/>
                <w:color w:val="auto"/>
              </w:rPr>
            </w:pPr>
          </w:p>
        </w:tc>
        <w:tc>
          <w:tcPr>
            <w:tcW w:w="7340" w:type="dxa"/>
            <w:vAlign w:val="bottom"/>
            <w:gridSpan w:val="4"/>
          </w:tcPr>
          <w:p>
            <w:pPr>
              <w:ind w:left="2280"/>
              <w:spacing w:after="0" w:line="202" w:lineRule="exact"/>
              <w:rPr>
                <w:sz w:val="20"/>
                <w:szCs w:val="20"/>
                <w:color w:val="auto"/>
              </w:rPr>
            </w:pPr>
            <w:r>
              <w:rPr>
                <w:rFonts w:ascii="Arial" w:cs="Arial" w:eastAsia="Arial" w:hAnsi="Arial"/>
                <w:sz w:val="18"/>
                <w:szCs w:val="18"/>
                <w:color w:val="auto"/>
              </w:rPr>
              <w:t xml:space="preserve">affiliated with Sequoia Capital will hold approximately           </w:t>
            </w:r>
          </w:p>
        </w:tc>
      </w:tr>
      <w:tr>
        <w:trPr>
          <w:trHeight w:val="239"/>
        </w:trPr>
        <w:tc>
          <w:tcPr>
            <w:tcW w:w="3260" w:type="dxa"/>
            <w:vAlign w:val="bottom"/>
          </w:tcPr>
          <w:p>
            <w:pPr>
              <w:spacing w:after="0"/>
              <w:rPr>
                <w:sz w:val="20"/>
                <w:szCs w:val="20"/>
                <w:color w:val="auto"/>
              </w:rPr>
            </w:pPr>
          </w:p>
        </w:tc>
        <w:tc>
          <w:tcPr>
            <w:tcW w:w="7340" w:type="dxa"/>
            <w:vAlign w:val="bottom"/>
            <w:gridSpan w:val="4"/>
          </w:tcPr>
          <w:p>
            <w:pPr>
              <w:ind w:left="2280"/>
              <w:spacing w:after="0"/>
              <w:rPr>
                <w:sz w:val="20"/>
                <w:szCs w:val="20"/>
                <w:color w:val="auto"/>
              </w:rPr>
            </w:pPr>
            <w:r>
              <w:rPr>
                <w:rFonts w:ascii="Arial" w:cs="Arial" w:eastAsia="Arial" w:hAnsi="Arial"/>
                <w:sz w:val="18"/>
                <w:szCs w:val="18"/>
                <w:color w:val="auto"/>
              </w:rPr>
              <w:t>% of the voting power of our outstanding capital stock.</w:t>
            </w:r>
          </w:p>
        </w:tc>
      </w:tr>
    </w:tbl>
    <w:p>
      <w:pPr>
        <w:spacing w:after="0" w:line="3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If all currently outstanding RSUs (as defined below) held by our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co-founders vested and settled for shares of our Class A</w:t>
      </w:r>
    </w:p>
    <w:p>
      <w:pPr>
        <w:ind w:left="5840"/>
        <w:spacing w:after="0" w:line="234" w:lineRule="auto"/>
        <w:rPr>
          <w:sz w:val="20"/>
          <w:szCs w:val="20"/>
          <w:color w:val="auto"/>
        </w:rPr>
      </w:pPr>
      <w:r>
        <w:rPr>
          <w:rFonts w:ascii="Arial" w:cs="Arial" w:eastAsia="Arial" w:hAnsi="Arial"/>
          <w:sz w:val="18"/>
          <w:szCs w:val="18"/>
          <w:color w:val="auto"/>
        </w:rPr>
        <w:t>common stock and were exchanged for an equal number of</w:t>
      </w:r>
    </w:p>
    <w:p>
      <w:pPr>
        <w:ind w:left="5840"/>
        <w:spacing w:after="0" w:line="235" w:lineRule="auto"/>
        <w:rPr>
          <w:sz w:val="20"/>
          <w:szCs w:val="20"/>
          <w:color w:val="auto"/>
        </w:rPr>
      </w:pPr>
      <w:r>
        <w:rPr>
          <w:rFonts w:ascii="Arial" w:cs="Arial" w:eastAsia="Arial" w:hAnsi="Arial"/>
          <w:sz w:val="18"/>
          <w:szCs w:val="18"/>
          <w:color w:val="auto"/>
        </w:rPr>
        <w:t>shares of Class B common stock pursuant to the Equity</w:t>
      </w:r>
    </w:p>
    <w:p>
      <w:pPr>
        <w:ind w:left="5840"/>
        <w:spacing w:after="0" w:line="235" w:lineRule="auto"/>
        <w:rPr>
          <w:sz w:val="20"/>
          <w:szCs w:val="20"/>
          <w:color w:val="auto"/>
        </w:rPr>
      </w:pPr>
      <w:r>
        <w:rPr>
          <w:rFonts w:ascii="Arial" w:cs="Arial" w:eastAsia="Arial" w:hAnsi="Arial"/>
          <w:sz w:val="18"/>
          <w:szCs w:val="18"/>
          <w:color w:val="auto"/>
        </w:rPr>
        <w:t>Exchange Right described below, then immediately following</w:t>
      </w:r>
    </w:p>
    <w:p>
      <w:pPr>
        <w:ind w:left="5840"/>
        <w:spacing w:after="0" w:line="235" w:lineRule="auto"/>
        <w:rPr>
          <w:sz w:val="20"/>
          <w:szCs w:val="20"/>
          <w:color w:val="auto"/>
        </w:rPr>
      </w:pPr>
      <w:r>
        <w:rPr>
          <w:rFonts w:ascii="Arial" w:cs="Arial" w:eastAsia="Arial" w:hAnsi="Arial"/>
          <w:sz w:val="18"/>
          <w:szCs w:val="18"/>
          <w:color w:val="auto"/>
        </w:rPr>
        <w:t>the completion of this offering, Messrs. Colis and Wang would</w:t>
      </w:r>
    </w:p>
    <w:p>
      <w:pPr>
        <w:ind w:left="5840"/>
        <w:spacing w:after="0" w:line="235" w:lineRule="auto"/>
        <w:rPr>
          <w:sz w:val="20"/>
          <w:szCs w:val="20"/>
          <w:color w:val="auto"/>
        </w:rPr>
      </w:pPr>
      <w:r>
        <w:rPr>
          <w:rFonts w:ascii="Arial" w:cs="Arial" w:eastAsia="Arial" w:hAnsi="Arial"/>
          <w:sz w:val="18"/>
          <w:szCs w:val="18"/>
          <w:color w:val="auto"/>
        </w:rPr>
        <w:t>hold approximately             % and             %, respectively, of</w:t>
      </w:r>
    </w:p>
    <w:p>
      <w:pPr>
        <w:ind w:left="5840"/>
        <w:spacing w:after="0"/>
        <w:rPr>
          <w:sz w:val="20"/>
          <w:szCs w:val="20"/>
          <w:color w:val="auto"/>
        </w:rPr>
      </w:pPr>
      <w:r>
        <w:rPr>
          <w:rFonts w:ascii="Arial" w:cs="Arial" w:eastAsia="Arial" w:hAnsi="Arial"/>
          <w:sz w:val="18"/>
          <w:szCs w:val="18"/>
          <w:color w:val="auto"/>
        </w:rPr>
        <w:t>the voting power of our outstanding capital stock.</w:t>
      </w:r>
    </w:p>
    <w:p>
      <w:pPr>
        <w:spacing w:after="0" w:line="4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The holders of our outstanding Class B common stock will have</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the ability to control the outcome of matters submitted to our</w:t>
      </w:r>
    </w:p>
    <w:p>
      <w:pPr>
        <w:ind w:left="5840"/>
        <w:spacing w:after="0"/>
        <w:rPr>
          <w:sz w:val="20"/>
          <w:szCs w:val="20"/>
          <w:color w:val="auto"/>
        </w:rPr>
      </w:pPr>
      <w:r>
        <w:rPr>
          <w:rFonts w:ascii="Arial" w:cs="Arial" w:eastAsia="Arial" w:hAnsi="Arial"/>
          <w:sz w:val="18"/>
          <w:szCs w:val="18"/>
          <w:color w:val="auto"/>
        </w:rPr>
        <w:t>stockholders for</w:t>
      </w:r>
    </w:p>
    <w:p>
      <w:pPr>
        <w:spacing w:after="0" w:line="31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320" w:top="455" w:right="6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077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58077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approval, including the election of our directors and the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approval of any change in control transaction. See the sections</w:t>
      </w:r>
    </w:p>
    <w:p>
      <w:pPr>
        <w:ind w:left="5840"/>
        <w:spacing w:after="0" w:line="234" w:lineRule="auto"/>
        <w:rPr>
          <w:sz w:val="20"/>
          <w:szCs w:val="20"/>
          <w:color w:val="auto"/>
        </w:rPr>
      </w:pPr>
      <w:r>
        <w:rPr>
          <w:rFonts w:ascii="Arial" w:cs="Arial" w:eastAsia="Arial" w:hAnsi="Arial"/>
          <w:sz w:val="18"/>
          <w:szCs w:val="18"/>
          <w:color w:val="auto"/>
        </w:rPr>
        <w:t>titled “Principal and Selling Stockholders” and “Description of</w:t>
      </w:r>
    </w:p>
    <w:p>
      <w:pPr>
        <w:spacing w:after="0" w:line="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Capital Stock” for additional information.</w:t>
      </w:r>
    </w:p>
    <w:p>
      <w:pPr>
        <w:sectPr>
          <w:pgSz w:w="11900" w:h="16838" w:orient="portrait"/>
          <w:cols w:equalWidth="0" w:num="1">
            <w:col w:w="10920"/>
          </w:cols>
          <w:pgMar w:left="320" w:top="455" w:right="659" w:bottom="1440" w:gutter="0" w:footer="0" w:header="0"/>
        </w:sectPr>
      </w:pPr>
    </w:p>
    <w:p>
      <w:pPr>
        <w:spacing w:after="0" w:line="4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See the section titled “Risk Factors” and the other information included elsewhere in this prospectus for a discussion of factors you should carefully consider before deciding to invest in our Class A common stock.</w:t>
      </w:r>
    </w:p>
    <w:p>
      <w:pPr>
        <w:spacing w:after="0" w:line="25" w:lineRule="exact"/>
        <w:rPr>
          <w:sz w:val="20"/>
          <w:szCs w:val="20"/>
          <w:color w:val="auto"/>
        </w:rPr>
      </w:pPr>
    </w:p>
    <w:p>
      <w:pPr>
        <w:sectPr>
          <w:pgSz w:w="11900" w:h="16838" w:orient="portrait"/>
          <w:cols w:equalWidth="0" w:num="2">
            <w:col w:w="5120" w:space="720"/>
            <w:col w:w="5080"/>
          </w:cols>
          <w:pgMar w:left="320" w:top="455" w:right="659" w:bottom="1440" w:gutter="0" w:footer="0" w:header="0"/>
          <w:type w:val="continuous"/>
        </w:sectPr>
      </w:pPr>
    </w:p>
    <w:p>
      <w:pPr>
        <w:ind w:left="300"/>
        <w:spacing w:after="0"/>
        <w:rPr>
          <w:sz w:val="20"/>
          <w:szCs w:val="20"/>
          <w:color w:val="auto"/>
        </w:rPr>
      </w:pPr>
      <w:r>
        <w:rPr>
          <w:rFonts w:ascii="Arial" w:cs="Arial" w:eastAsia="Arial" w:hAnsi="Arial"/>
          <w:sz w:val="18"/>
          <w:szCs w:val="18"/>
          <w:color w:val="auto"/>
        </w:rPr>
        <w:t>Proposed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“LIFE.”</w:t>
      </w:r>
    </w:p>
    <w:p>
      <w:pPr>
        <w:spacing w:after="0" w:line="211" w:lineRule="exact"/>
        <w:rPr>
          <w:sz w:val="20"/>
          <w:szCs w:val="20"/>
          <w:color w:val="auto"/>
        </w:rPr>
      </w:pPr>
    </w:p>
    <w:p>
      <w:pPr>
        <w:sectPr>
          <w:pgSz w:w="11900" w:h="16838" w:orient="portrait"/>
          <w:cols w:equalWidth="0" w:num="2">
            <w:col w:w="5120" w:space="720"/>
            <w:col w:w="5080"/>
          </w:cols>
          <w:pgMar w:left="320" w:top="455" w:right="659" w:bottom="1440" w:gutter="0" w:footer="0" w:header="0"/>
          <w:type w:val="continuous"/>
        </w:sectPr>
      </w:pPr>
    </w:p>
    <w:p>
      <w:pPr>
        <w:spacing w:after="0" w:line="12" w:lineRule="exact"/>
        <w:rPr>
          <w:sz w:val="20"/>
          <w:szCs w:val="20"/>
          <w:color w:val="auto"/>
        </w:rPr>
      </w:pPr>
    </w:p>
    <w:p>
      <w:pPr>
        <w:ind w:left="300" w:right="40" w:firstLine="532"/>
        <w:spacing w:after="0" w:line="244" w:lineRule="auto"/>
        <w:rPr>
          <w:sz w:val="20"/>
          <w:szCs w:val="20"/>
          <w:color w:val="auto"/>
        </w:rPr>
      </w:pPr>
      <w:r>
        <w:rPr>
          <w:rFonts w:ascii="Arial" w:cs="Arial" w:eastAsia="Arial" w:hAnsi="Arial"/>
          <w:sz w:val="18"/>
          <w:szCs w:val="18"/>
          <w:color w:val="auto"/>
        </w:rPr>
        <w:t>The number of shares of our Class A common stock and Class B common stock that will be outstanding immediately after the closing of this offering is based on         shares of our Class A common stock and         shares of our Class B common stock outstanding as of September 30, 2025 after giving effect to (i) the reclassification of our outstanding common stock as Class A common stock, (ii) the Preferred Conversion, (iii) the Class B Stock Exchange, (iv) the RSU Net Settlement and the Warrant Exercise (each as defined below), and excludes:</w:t>
      </w:r>
    </w:p>
    <w:p>
      <w:pPr>
        <w:spacing w:after="0" w:line="82" w:lineRule="exact"/>
        <w:rPr>
          <w:sz w:val="20"/>
          <w:szCs w:val="20"/>
          <w:color w:val="auto"/>
        </w:rPr>
      </w:pPr>
    </w:p>
    <w:p>
      <w:pPr>
        <w:ind w:left="1020" w:right="40" w:hanging="195"/>
        <w:spacing w:after="0" w:line="25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1,196,398 shares of Class A common stock issuable upon the exercise of stock options outstanding as of September 30, 2025 under our Amended and Restated 2016 Equity Incentive Plan, or 2016 Plan, with a weighted-average exercise price of $3.23 per share;</w:t>
      </w:r>
    </w:p>
    <w:p>
      <w:pPr>
        <w:spacing w:after="0" w:line="74" w:lineRule="exact"/>
        <w:rPr>
          <w:sz w:val="20"/>
          <w:szCs w:val="20"/>
          <w:color w:val="auto"/>
        </w:rPr>
      </w:pPr>
    </w:p>
    <w:p>
      <w:pPr>
        <w:ind w:left="1020" w:hanging="199"/>
        <w:spacing w:after="0" w:line="244" w:lineRule="auto"/>
        <w:tabs>
          <w:tab w:leader="none" w:pos="1000" w:val="left"/>
        </w:tabs>
        <w:rPr>
          <w:sz w:val="20"/>
          <w:szCs w:val="20"/>
          <w:color w:val="auto"/>
        </w:rPr>
      </w:pPr>
      <w:r>
        <w:rPr>
          <w:rFonts w:ascii="Arial" w:cs="Arial" w:eastAsia="Arial" w:hAnsi="Arial"/>
          <w:sz w:val="18"/>
          <w:szCs w:val="18"/>
          <w:color w:val="auto"/>
        </w:rPr>
        <w:t>•</w:t>
        <w:tab/>
        <w:t>        shares of Class A common stock issuable upon the vesting and settlement of restricted stock units, or RSUs, outstanding as of the date of this prospectus subject to service-based and liquidity event-based conditions, for which (i) the service-based condition was not satisfied as of such date and (ii) the liquidity event-based condition will be satisfied upon the effectiveness of the registration statement of which this prospectus forms a part, of which         shares will be exchangeable for an equal number of shares of Class B common stock pursuant to the Equity Exchange Right;</w:t>
      </w:r>
    </w:p>
    <w:p>
      <w:pPr>
        <w:spacing w:after="0" w:line="82" w:lineRule="exact"/>
        <w:rPr>
          <w:sz w:val="20"/>
          <w:szCs w:val="20"/>
          <w:color w:val="auto"/>
        </w:rPr>
      </w:pPr>
    </w:p>
    <w:p>
      <w:pPr>
        <w:ind w:left="1020" w:right="320" w:hanging="195"/>
        <w:spacing w:after="0" w:line="25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1,235,991 shares of Class A common stock reserved for future issuance under our 2016 Plan as of September 30, 2025, which shares will cease to be available for issuance upon the effectiveness of the registration statement of which this prospectus forms a part;</w:t>
      </w:r>
    </w:p>
    <w:p>
      <w:pPr>
        <w:spacing w:after="0" w:line="74" w:lineRule="exact"/>
        <w:rPr>
          <w:rFonts w:ascii="Arial" w:cs="Arial" w:eastAsia="Arial" w:hAnsi="Arial"/>
          <w:sz w:val="18"/>
          <w:szCs w:val="18"/>
          <w:color w:val="auto"/>
        </w:rPr>
      </w:pPr>
    </w:p>
    <w:p>
      <w:pPr>
        <w:ind w:left="1020" w:right="160" w:hanging="195"/>
        <w:spacing w:after="0" w:line="25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548,489 shares of our Class A common stock issuable upon the exercise of outstanding warrants to purchase Class A common stock as of September 30, 2025 and not exercised prior to the effectiveness of the registration statement of which this prospectus forms a part, with a weighted-average exercise price of $12.92 per share;</w:t>
      </w:r>
    </w:p>
    <w:p>
      <w:pPr>
        <w:spacing w:after="0" w:line="74" w:lineRule="exact"/>
        <w:rPr>
          <w:sz w:val="20"/>
          <w:szCs w:val="20"/>
          <w:color w:val="auto"/>
        </w:rPr>
      </w:pPr>
    </w:p>
    <w:p>
      <w:pPr>
        <w:ind w:left="1020" w:right="120" w:hanging="199"/>
        <w:spacing w:after="0" w:line="244" w:lineRule="auto"/>
        <w:tabs>
          <w:tab w:leader="none" w:pos="1000" w:val="left"/>
        </w:tabs>
        <w:rPr>
          <w:sz w:val="20"/>
          <w:szCs w:val="20"/>
          <w:color w:val="auto"/>
        </w:rPr>
      </w:pPr>
      <w:r>
        <w:rPr>
          <w:rFonts w:ascii="Arial" w:cs="Arial" w:eastAsia="Arial" w:hAnsi="Arial"/>
          <w:sz w:val="18"/>
          <w:szCs w:val="18"/>
          <w:color w:val="auto"/>
        </w:rPr>
        <w:t>•</w:t>
        <w:tab/>
        <w:t>        shares of Class A common stock reserved for issuance under our 2026 Equity Incentive Plan, or 2026 Plan, plus any future increases in the number of shares of Class A common stock reserved for issuance thereunder, as more fully described in the section titled “Executive Compensation—Employee Benefit and Stock Plans—2026 Equity Incentive Plan,” which will become available for issuance upon the effectiveness of the registration statement of which this prospectus is a part; and</w:t>
      </w:r>
    </w:p>
    <w:p>
      <w:pPr>
        <w:spacing w:after="0" w:line="82" w:lineRule="exact"/>
        <w:rPr>
          <w:sz w:val="20"/>
          <w:szCs w:val="20"/>
          <w:color w:val="auto"/>
        </w:rPr>
      </w:pPr>
    </w:p>
    <w:p>
      <w:pPr>
        <w:ind w:left="1020" w:right="260" w:hanging="195"/>
        <w:spacing w:after="0" w:line="244"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shares of Class A common stock reserved for issuance under our 2026 Employee Stock Purchase Plan, or 2026 ESPP, plus any future increases in the number of shares of Class A common stock reserved for issuance thereunder, as more fully described in the section titled “Executive Compensation—Employee Benefit and Stock Plans—2026 Employee Stock Purchase Plans,” which will become available for issuance upon the effectiveness of the registration statement of which this prospectus is a part.</w:t>
      </w:r>
    </w:p>
    <w:p>
      <w:pPr>
        <w:spacing w:after="0" w:line="2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320" w:top="455" w:right="6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99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5499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firstLine="532"/>
        <w:spacing w:after="0" w:line="271" w:lineRule="auto"/>
        <w:rPr>
          <w:sz w:val="20"/>
          <w:szCs w:val="20"/>
          <w:color w:val="auto"/>
        </w:rPr>
      </w:pPr>
      <w:r>
        <w:rPr>
          <w:rFonts w:ascii="Arial" w:cs="Arial" w:eastAsia="Arial" w:hAnsi="Arial"/>
          <w:sz w:val="18"/>
          <w:szCs w:val="18"/>
          <w:color w:val="auto"/>
        </w:rPr>
        <w:t>Our 2026 Plan and 2026 ESPP provide for annual automatic increases in the number of shares reserved thereunder. See the section titled “Executive Compensation—Employee Benefit and Stock Plans” for additional information.</w:t>
      </w:r>
    </w:p>
    <w:p>
      <w:pPr>
        <w:spacing w:after="0" w:line="15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117" w:lineRule="exact"/>
        <w:rPr>
          <w:sz w:val="20"/>
          <w:szCs w:val="20"/>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1-for-7 reverse stock split of our capital stock that became effective on September 25, 2025;</w:t>
      </w:r>
    </w:p>
    <w:p>
      <w:pPr>
        <w:spacing w:after="0" w:line="117" w:lineRule="exact"/>
        <w:rPr>
          <w:rFonts w:ascii="Arial" w:cs="Arial" w:eastAsia="Arial" w:hAnsi="Arial"/>
          <w:sz w:val="18"/>
          <w:szCs w:val="18"/>
          <w:color w:val="auto"/>
        </w:rPr>
      </w:pPr>
    </w:p>
    <w:p>
      <w:pPr>
        <w:ind w:left="1020" w:right="180" w:hanging="195"/>
        <w:spacing w:after="0" w:line="27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reclassification of our common stock into Class A common stock and the authorization of our Class A common stock in connection with this offering;</w:t>
      </w:r>
    </w:p>
    <w:p>
      <w:pPr>
        <w:spacing w:after="0" w:line="59"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automatic conversion of 37,227,989 shares of our redeemable convertible preferred stock outstanding as of</w:t>
      </w:r>
    </w:p>
    <w:p>
      <w:pPr>
        <w:spacing w:after="0" w:line="14" w:lineRule="exact"/>
        <w:rPr>
          <w:sz w:val="20"/>
          <w:szCs w:val="20"/>
          <w:color w:val="auto"/>
        </w:rPr>
      </w:pPr>
    </w:p>
    <w:p>
      <w:pPr>
        <w:ind w:left="1020" w:right="20"/>
        <w:spacing w:after="0" w:line="242" w:lineRule="auto"/>
        <w:rPr>
          <w:sz w:val="20"/>
          <w:szCs w:val="20"/>
          <w:color w:val="auto"/>
        </w:rPr>
      </w:pPr>
      <w:r>
        <w:rPr>
          <w:rFonts w:ascii="Arial" w:cs="Arial" w:eastAsia="Arial" w:hAnsi="Arial"/>
          <w:sz w:val="18"/>
          <w:szCs w:val="18"/>
          <w:color w:val="auto"/>
        </w:rPr>
        <w:t>September 30, 2025 into         shares of Class A common stock upon the closing of this offering (based on the assumed initial public offering price of $        per share, the midpoint of the price range set forth on the cover page of this prospectus), which we refer to as the Preferred Conversion;</w:t>
      </w:r>
    </w:p>
    <w:p>
      <w:pPr>
        <w:spacing w:after="0" w:line="85" w:lineRule="exact"/>
        <w:rPr>
          <w:sz w:val="20"/>
          <w:szCs w:val="20"/>
          <w:color w:val="auto"/>
        </w:rPr>
      </w:pPr>
    </w:p>
    <w:p>
      <w:pPr>
        <w:ind w:left="1020" w:hanging="199"/>
        <w:spacing w:after="0" w:line="244" w:lineRule="auto"/>
        <w:tabs>
          <w:tab w:leader="none" w:pos="1000" w:val="left"/>
        </w:tabs>
        <w:rPr>
          <w:sz w:val="20"/>
          <w:szCs w:val="20"/>
          <w:color w:val="auto"/>
        </w:rPr>
      </w:pPr>
      <w:r>
        <w:rPr>
          <w:rFonts w:ascii="Arial" w:cs="Arial" w:eastAsia="Arial" w:hAnsi="Arial"/>
          <w:sz w:val="18"/>
          <w:szCs w:val="18"/>
          <w:color w:val="auto"/>
        </w:rPr>
        <w:t>•</w:t>
        <w:tab/>
        <w:t>the automatic exchange of an aggregate of         shares of Class A common stock (including         shares of Class A common stock issued upon the automatic conversion of shares of our redeemable convertible preferred stock pursuant to the preceding bullet) (based on the assumed initial public offering price of $        per share, the midpoint of the price range set forth on the cover page of this prospectus) for an equivalent number of shares of our Class B common stock pursuant to the Class B Stock Exchange upon the closing of this offering;</w:t>
      </w:r>
    </w:p>
    <w:p>
      <w:pPr>
        <w:spacing w:after="0" w:line="82" w:lineRule="exact"/>
        <w:rPr>
          <w:sz w:val="20"/>
          <w:szCs w:val="20"/>
          <w:color w:val="auto"/>
        </w:rPr>
      </w:pPr>
    </w:p>
    <w:p>
      <w:pPr>
        <w:ind w:left="1020" w:right="400" w:hanging="195"/>
        <w:spacing w:after="0" w:line="27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in Delaware and the adoption of our amended and restated bylaws, each of which will occur upon the closing of this offering;</w:t>
      </w:r>
    </w:p>
    <w:p>
      <w:pPr>
        <w:spacing w:after="0" w:line="59" w:lineRule="exact"/>
        <w:rPr>
          <w:rFonts w:ascii="Arial" w:cs="Arial" w:eastAsia="Arial" w:hAnsi="Arial"/>
          <w:sz w:val="18"/>
          <w:szCs w:val="18"/>
          <w:color w:val="auto"/>
        </w:rPr>
      </w:pPr>
    </w:p>
    <w:p>
      <w:pPr>
        <w:ind w:left="1020" w:right="100" w:hanging="195"/>
        <w:spacing w:after="0" w:line="245"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net issuance of        shares of Class A common stock in connection with the vesting and settlement of certain RSUs outstanding as of the date of this prospectus subject to service-based and/or liquidity event-based conditions, for which</w:t>
      </w:r>
    </w:p>
    <w:p>
      <w:pPr>
        <w:ind w:left="1020" w:right="80"/>
        <w:spacing w:after="0" w:line="248" w:lineRule="auto"/>
        <w:rPr>
          <w:rFonts w:ascii="Arial" w:cs="Arial" w:eastAsia="Arial" w:hAnsi="Arial"/>
          <w:sz w:val="18"/>
          <w:szCs w:val="18"/>
          <w:color w:val="auto"/>
        </w:rPr>
      </w:pPr>
      <w:r>
        <w:rPr>
          <w:rFonts w:ascii="Arial" w:cs="Arial" w:eastAsia="Arial" w:hAnsi="Arial"/>
          <w:sz w:val="17"/>
          <w:szCs w:val="17"/>
          <w:color w:val="auto"/>
        </w:rPr>
        <w:t>(i) the service-based condition was fully or partially satisfied as of such date and (ii) the liquidity event-based condition, if applicable, will be satisfied upon the effectiveness of the registration statement of which this prospectus forms a part (which</w:t>
      </w:r>
    </w:p>
    <w:p>
      <w:pPr>
        <w:spacing w:after="0" w:line="1" w:lineRule="exact"/>
        <w:rPr>
          <w:sz w:val="20"/>
          <w:szCs w:val="20"/>
          <w:color w:val="auto"/>
        </w:rPr>
      </w:pPr>
    </w:p>
    <w:p>
      <w:pPr>
        <w:ind w:left="1020" w:right="160"/>
        <w:spacing w:after="0" w:line="234" w:lineRule="auto"/>
        <w:rPr>
          <w:sz w:val="20"/>
          <w:szCs w:val="20"/>
          <w:color w:val="auto"/>
        </w:rPr>
      </w:pPr>
      <w:r>
        <w:rPr>
          <w:rFonts w:ascii="Arial" w:cs="Arial" w:eastAsia="Arial" w:hAnsi="Arial"/>
          <w:sz w:val="18"/>
          <w:szCs w:val="18"/>
          <w:color w:val="auto"/>
        </w:rPr>
        <w:t>we refer to as the IPO Vesting RSUs), after giving effect to the withholding of        shares of our Class A common stock to satisfy the associated estimated tax withholding and remittance obligations (based on the assumed initial public offering</w:t>
      </w:r>
    </w:p>
    <w:p>
      <w:pPr>
        <w:spacing w:after="0" w:line="1" w:lineRule="exact"/>
        <w:rPr>
          <w:sz w:val="20"/>
          <w:szCs w:val="20"/>
          <w:color w:val="auto"/>
        </w:rPr>
      </w:pPr>
    </w:p>
    <w:p>
      <w:pPr>
        <w:ind w:left="1020" w:right="180"/>
        <w:spacing w:after="0" w:line="242" w:lineRule="auto"/>
        <w:rPr>
          <w:sz w:val="20"/>
          <w:szCs w:val="20"/>
          <w:color w:val="auto"/>
        </w:rPr>
      </w:pPr>
      <w:r>
        <w:rPr>
          <w:rFonts w:ascii="Arial" w:cs="Arial" w:eastAsia="Arial" w:hAnsi="Arial"/>
          <w:sz w:val="18"/>
          <w:szCs w:val="18"/>
          <w:color w:val="auto"/>
        </w:rPr>
        <w:t>price of $        per share, the midpoint of the price range set forth on the cover page of this prospectus, and an assumed        % tax withholding rate), of which     net shares will be exchangeable for an equal number of shares of Class B common stock pursuant to the Equity Exchange Right, which we refer to as the RSU Net Settlement;</w:t>
      </w:r>
    </w:p>
    <w:p>
      <w:pPr>
        <w:spacing w:after="0" w:line="85" w:lineRule="exact"/>
        <w:rPr>
          <w:sz w:val="20"/>
          <w:szCs w:val="20"/>
          <w:color w:val="auto"/>
        </w:rPr>
      </w:pPr>
    </w:p>
    <w:p>
      <w:pPr>
        <w:ind w:left="1020" w:right="780" w:hanging="195"/>
        <w:spacing w:after="0" w:line="27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issuance of 32,090 shares of Class A common stock in connection with the exercise of warrants subsequent to September 30, 2025 at an exercise price of $0.07 per share, or the Warrant Exercise; and</w:t>
      </w:r>
    </w:p>
    <w:p>
      <w:pPr>
        <w:spacing w:after="0" w:line="59" w:lineRule="exact"/>
        <w:rPr>
          <w:rFonts w:ascii="Arial" w:cs="Arial" w:eastAsia="Arial" w:hAnsi="Arial"/>
          <w:sz w:val="18"/>
          <w:szCs w:val="18"/>
          <w:color w:val="auto"/>
        </w:rPr>
      </w:pPr>
    </w:p>
    <w:p>
      <w:pPr>
        <w:ind w:left="1020" w:hanging="19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exercise or forfeitures of outstanding stock options and, except as described above, no settlement of outstanding RSUs.</w:t>
      </w:r>
    </w:p>
    <w:p>
      <w:pPr>
        <w:spacing w:after="0" w:line="212" w:lineRule="exact"/>
        <w:rPr>
          <w:sz w:val="20"/>
          <w:szCs w:val="20"/>
          <w:color w:val="auto"/>
        </w:rPr>
      </w:pPr>
    </w:p>
    <w:p>
      <w:pPr>
        <w:ind w:left="300" w:right="140" w:firstLine="532"/>
        <w:spacing w:after="0" w:line="244" w:lineRule="auto"/>
        <w:rPr>
          <w:sz w:val="20"/>
          <w:szCs w:val="20"/>
          <w:color w:val="auto"/>
        </w:rPr>
      </w:pPr>
      <w:r>
        <w:rPr>
          <w:rFonts w:ascii="Arial" w:cs="Arial" w:eastAsia="Arial" w:hAnsi="Arial"/>
          <w:sz w:val="18"/>
          <w:szCs w:val="18"/>
          <w:color w:val="auto"/>
        </w:rPr>
        <w:t>The assumed        % tax withholding rate used in this prospectus is an assumed blended withholding rate for the IPO Vesting RSUs that are subject to withholding in the RSU Net Settlement. A portion of the IPO Vesting RSUs that will settle as part of the RSU Net Settlement are not subject to tax withholding obligations. The estimates in this prospectus relating to the RSU Net Settlement and related share withholding may differ from actual results due to, among other things, the actual initial public offering price and other terms of this offering determined at pricing, actual forfeitures through the</w:t>
      </w:r>
    </w:p>
    <w:p>
      <w:pPr>
        <w:spacing w:after="0" w:line="2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320" w:top="455" w:right="6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3101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23101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71" w:lineRule="auto"/>
        <w:rPr>
          <w:sz w:val="20"/>
          <w:szCs w:val="20"/>
          <w:color w:val="auto"/>
        </w:rPr>
      </w:pPr>
      <w:r>
        <w:rPr>
          <w:rFonts w:ascii="Arial" w:cs="Arial" w:eastAsia="Arial" w:hAnsi="Arial"/>
          <w:sz w:val="18"/>
          <w:szCs w:val="18"/>
          <w:color w:val="auto"/>
        </w:rPr>
        <w:t>date of this prospectus, and actual tax withholding rates. In addition, information in this prospectus relating to RSUs outstanding as of the date of this prospectus reflect estimated forfeitures through        , 2026.</w:t>
      </w:r>
    </w:p>
    <w:p>
      <w:pPr>
        <w:spacing w:after="0" w:line="154" w:lineRule="exact"/>
        <w:rPr>
          <w:sz w:val="20"/>
          <w:szCs w:val="20"/>
          <w:color w:val="auto"/>
        </w:rPr>
      </w:pPr>
    </w:p>
    <w:p>
      <w:pPr>
        <w:ind w:left="300" w:right="20" w:firstLine="532"/>
        <w:spacing w:after="0" w:line="247" w:lineRule="auto"/>
        <w:rPr>
          <w:sz w:val="20"/>
          <w:szCs w:val="20"/>
          <w:color w:val="auto"/>
        </w:rPr>
      </w:pPr>
      <w:r>
        <w:rPr>
          <w:rFonts w:ascii="Arial" w:cs="Arial" w:eastAsia="Arial" w:hAnsi="Arial"/>
          <w:sz w:val="18"/>
          <w:szCs w:val="18"/>
          <w:color w:val="auto"/>
        </w:rPr>
        <w:t>Upon the closing of this offering, shares of our Class A common stock beneficially owned by (i) our co-founders and their respective affiliated entities, (ii) Accel and affiliated entities, and (iii) Sequoia Capital and affiliated entities, will be exchanged for an equivalent number of shares of our Class B common stock pursuant to the terms of certain equity exchange agreements, or the Class B Stock Exchange.</w:t>
      </w:r>
    </w:p>
    <w:p>
      <w:pPr>
        <w:spacing w:after="0" w:line="174" w:lineRule="exact"/>
        <w:rPr>
          <w:sz w:val="20"/>
          <w:szCs w:val="20"/>
          <w:color w:val="auto"/>
        </w:rPr>
      </w:pPr>
    </w:p>
    <w:p>
      <w:pPr>
        <w:ind w:left="300" w:firstLine="532"/>
        <w:spacing w:after="0"/>
        <w:rPr>
          <w:sz w:val="20"/>
          <w:szCs w:val="20"/>
          <w:color w:val="auto"/>
        </w:rPr>
      </w:pPr>
      <w:r>
        <w:rPr>
          <w:rFonts w:ascii="Arial" w:cs="Arial" w:eastAsia="Arial" w:hAnsi="Arial"/>
          <w:sz w:val="18"/>
          <w:szCs w:val="18"/>
          <w:color w:val="auto"/>
        </w:rPr>
        <w:t>Additionally, pursuant to certain equity exchange agreements entered into between us and each co-founder, each co-founder has a right (but not an obligation) to require us to exchange, for shares of Class B common stock, any shares of Class A common stock received by him upon settlement of equity awards for shares of Class A common stock, or the Equity Exchange Right. The Equity Exchange Right applies to equity awards granted to our co-founders prior to the filing and effectiveness of our amended and restated certificate of incorporation, to be effective upon the closing of this offering. As of September 30, 2025, there were 3,708,268 shares of our Class A common stock issuable upon the settlement of RSUs held by our co-founders and that may be exchanged upon exercise or settlement, as applicable, for an equivalent number of shares of our Class B common stock following this offering pursuant to the Equity Exchange Right.</w:t>
      </w:r>
    </w:p>
    <w:p>
      <w:pPr>
        <w:spacing w:after="0" w:line="3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5" w:right="6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55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8970" cy="25584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12" w:lineRule="exact"/>
        <w:rPr>
          <w:sz w:val="20"/>
          <w:szCs w:val="20"/>
          <w:color w:val="auto"/>
        </w:rPr>
      </w:pPr>
    </w:p>
    <w:p>
      <w:pPr>
        <w:ind w:left="300" w:firstLine="532"/>
        <w:spacing w:after="0" w:line="237" w:lineRule="auto"/>
        <w:rPr>
          <w:sz w:val="20"/>
          <w:szCs w:val="20"/>
          <w:color w:val="auto"/>
        </w:rPr>
      </w:pPr>
      <w:r>
        <w:rPr>
          <w:rFonts w:ascii="Arial" w:cs="Arial" w:eastAsia="Arial" w:hAnsi="Arial"/>
          <w:sz w:val="18"/>
          <w:szCs w:val="18"/>
          <w:color w:val="auto"/>
        </w:rPr>
        <w:t>The following tables summarize our consolidated financial and other data. We derived the summary consolidated statements of operations data for the years ended December 31, 2023 and 2024 (except for pro forma net loss per share attributable to common stockholders and weighted-average shares used to compute pro forma net loss per share attributable to common stockholders) from our audited consolidated financial statements included elsewhere in this prospectus. We derived the summary condensed consolidated statements of operations data for the nine months ended September 30, 2024 and 2025 (except for pro forma net loss per share attributable to common stockholders and weighted-average shares used to compute pro forma net loss per share attributable to common stockholders) from our unaudited consolidated financial statements included elsewhere in this prospectus. Our audited consolidated financial statements included elsewhere in this prospectus have been prepared in accordance with U.S. generally accepted accounting principles, or GAAP. Our unaudited condensed consolidated financial statements were prepared on a basis consistent with our audited consolidated financial statements and include, in management’s opinion, all adjustments, consisting only of normal recurring adjustments, that they consider necessary for a fair presentation of the financial information set forth in those statements. Our historical results are not necessarily indicative of the results to be expected for any future period, and our interim results are not necessarily indicative of results to be expected for the full year or any other period. When you read this summary of consolidated financial and other data, it is important that you read it together with the historical consolidated financial statements and the related notes included elsewhere in this prospectus, as well as the sections titled “Risk Factors,” “Capitalization,” and “Management’s Discussion and Analysis of Financial Condition and Results of Operations.”</w:t>
      </w:r>
    </w:p>
    <w:p>
      <w:pPr>
        <w:spacing w:after="0" w:line="30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320" w:top="455" w:right="6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30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8970" cy="57302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5"/>
          </w:tcPr>
          <w:p>
            <w:pPr>
              <w:jc w:val="center"/>
              <w:ind w:right="31"/>
              <w:spacing w:after="0" w:line="147"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60" w:type="dxa"/>
            <w:vAlign w:val="bottom"/>
            <w:gridSpan w:val="12"/>
          </w:tcPr>
          <w:p>
            <w:pPr>
              <w:jc w:val="right"/>
              <w:spacing w:after="0"/>
              <w:rPr>
                <w:sz w:val="20"/>
                <w:szCs w:val="20"/>
                <w:color w:val="auto"/>
              </w:rPr>
            </w:pPr>
            <w:r>
              <w:rPr>
                <w:rFonts w:ascii="Arial" w:cs="Arial" w:eastAsia="Arial" w:hAnsi="Arial"/>
                <w:sz w:val="14"/>
                <w:szCs w:val="14"/>
                <w:b w:val="1"/>
                <w:bCs w:val="1"/>
                <w:color w:val="auto"/>
              </w:rPr>
              <w:t>(in thousands, except per share amounts)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ind w:left="340"/>
              <w:spacing w:after="0" w:line="202" w:lineRule="exact"/>
              <w:rPr>
                <w:sz w:val="20"/>
                <w:szCs w:val="20"/>
                <w:color w:val="auto"/>
              </w:rPr>
            </w:pPr>
            <w:r>
              <w:rPr>
                <w:rFonts w:ascii="Arial" w:cs="Arial" w:eastAsia="Arial" w:hAnsi="Arial"/>
                <w:sz w:val="18"/>
                <w:szCs w:val="18"/>
                <w:color w:val="auto"/>
              </w:rPr>
              <w:t>Commission</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2"/>
              </w:rPr>
              <w:t>  159,754</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2"/>
              </w:rPr>
              <w:t>  254,926</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2"/>
              </w:rPr>
              <w:t>  188,402</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2"/>
              </w:rPr>
              <w:t>  277,531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159,754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254,926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188,402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277,531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6"/>
                <w:szCs w:val="16"/>
                <w:color w:val="auto"/>
              </w:rPr>
              <w:t>Costs and expenses</w:t>
            </w:r>
            <w:r>
              <w:rPr>
                <w:rFonts w:ascii="Arial" w:cs="Arial" w:eastAsia="Arial" w:hAnsi="Arial"/>
                <w:sz w:val="23"/>
                <w:szCs w:val="23"/>
                <w:color w:val="auto"/>
                <w:vertAlign w:val="superscript"/>
              </w:rPr>
              <w:t>(1):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107,531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148,664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108,578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165,205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21,231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22,417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17,674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30,414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Technology (exclusive of amortization)</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22,288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23,133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16,767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24,711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340"/>
              <w:spacing w:after="0" w:line="202" w:lineRule="exact"/>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5,902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6,527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4,969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4,674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5,713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5,438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4,169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4,075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700"/>
              <w:spacing w:after="0"/>
              <w:rPr>
                <w:sz w:val="20"/>
                <w:szCs w:val="20"/>
                <w:color w:val="auto"/>
              </w:rPr>
            </w:pPr>
            <w:r>
              <w:rPr>
                <w:rFonts w:ascii="Arial" w:cs="Arial" w:eastAsia="Arial" w:hAnsi="Arial"/>
                <w:sz w:val="18"/>
                <w:szCs w:val="18"/>
                <w:color w:val="auto"/>
              </w:rPr>
              <w:t>Total costs and expenses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from operations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(2,911)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48,747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36,245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48,452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(723)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(457)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340"/>
              <w:spacing w:after="0" w:line="202" w:lineRule="exact"/>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5,792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5,599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4,277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4,472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before provision for income taxes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53,936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40,226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50,619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(5,104)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1,689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48,832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39,284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46,590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unrealized gain (loss) on marketable securities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Unrealized foreign currency translation loss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other comprehensive income (loss)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5920" w:type="dxa"/>
            <w:vAlign w:val="bottom"/>
            <w:gridSpan w:val="2"/>
          </w:tcPr>
          <w:p>
            <w:pPr>
              <w:spacing w:after="0"/>
              <w:rPr>
                <w:sz w:val="20"/>
                <w:szCs w:val="20"/>
                <w:color w:val="auto"/>
              </w:rPr>
            </w:pPr>
            <w:r>
              <w:rPr>
                <w:rFonts w:ascii="Arial" w:cs="Arial" w:eastAsia="Arial" w:hAnsi="Arial"/>
                <w:sz w:val="18"/>
                <w:szCs w:val="18"/>
                <w:color w:val="auto"/>
              </w:rPr>
              <w:t>Net other comprehensive income</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 data:</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340"/>
              <w:spacing w:after="0" w:line="202" w:lineRule="exact"/>
              <w:rPr>
                <w:sz w:val="20"/>
                <w:szCs w:val="20"/>
                <w:color w:val="auto"/>
              </w:rPr>
            </w:pPr>
            <w:r>
              <w:rPr>
                <w:rFonts w:ascii="Arial" w:cs="Arial" w:eastAsia="Arial" w:hAnsi="Arial"/>
                <w:sz w:val="16"/>
                <w:szCs w:val="16"/>
                <w:color w:val="auto"/>
              </w:rPr>
              <w:t>Basic net income per share</w:t>
            </w:r>
            <w:r>
              <w:rPr>
                <w:rFonts w:ascii="Arial" w:cs="Arial" w:eastAsia="Arial" w:hAnsi="Arial"/>
                <w:sz w:val="23"/>
                <w:szCs w:val="23"/>
                <w:color w:val="auto"/>
                <w:vertAlign w:val="superscript"/>
              </w:rPr>
              <w:t>(2)</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0.11</w:t>
            </w:r>
          </w:p>
        </w:tc>
        <w:tc>
          <w:tcPr>
            <w:tcW w:w="1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3.05</w:t>
            </w:r>
          </w:p>
        </w:tc>
        <w:tc>
          <w:tcPr>
            <w:tcW w:w="20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c>
          <w:tcPr>
            <w:tcW w:w="1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340"/>
              <w:spacing w:after="0" w:line="202" w:lineRule="exact"/>
              <w:rPr>
                <w:sz w:val="20"/>
                <w:szCs w:val="20"/>
                <w:color w:val="auto"/>
              </w:rPr>
            </w:pPr>
            <w:r>
              <w:rPr>
                <w:rFonts w:ascii="Arial" w:cs="Arial" w:eastAsia="Arial" w:hAnsi="Arial"/>
                <w:sz w:val="16"/>
                <w:szCs w:val="16"/>
                <w:color w:val="auto"/>
              </w:rPr>
              <w:t>Diluted net income per share</w:t>
            </w:r>
            <w:r>
              <w:rPr>
                <w:rFonts w:ascii="Arial" w:cs="Arial" w:eastAsia="Arial" w:hAnsi="Arial"/>
                <w:sz w:val="23"/>
                <w:szCs w:val="23"/>
                <w:color w:val="auto"/>
                <w:vertAlign w:val="superscript"/>
              </w:rPr>
              <w:t>(2)</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0.85</w:t>
            </w:r>
          </w:p>
        </w:tc>
        <w:tc>
          <w:tcPr>
            <w:tcW w:w="2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0.69</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00" w:type="dxa"/>
            <w:vAlign w:val="bottom"/>
          </w:tcPr>
          <w:p>
            <w:pPr>
              <w:ind w:left="340"/>
              <w:spacing w:after="0" w:line="191" w:lineRule="exact"/>
              <w:rPr>
                <w:sz w:val="20"/>
                <w:szCs w:val="20"/>
                <w:color w:val="auto"/>
              </w:rPr>
            </w:pPr>
            <w:r>
              <w:rPr>
                <w:rFonts w:ascii="Arial" w:cs="Arial" w:eastAsia="Arial" w:hAnsi="Arial"/>
                <w:sz w:val="18"/>
                <w:szCs w:val="18"/>
                <w:color w:val="auto"/>
              </w:rPr>
              <w:t>Weighted-average shares used in computing basic net income per</w:t>
            </w: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00" w:type="dxa"/>
            <w:vAlign w:val="bottom"/>
          </w:tcPr>
          <w:p>
            <w:pPr>
              <w:ind w:left="520"/>
              <w:spacing w:after="0" w:line="221" w:lineRule="exact"/>
              <w:rPr>
                <w:sz w:val="20"/>
                <w:szCs w:val="20"/>
                <w:color w:val="auto"/>
              </w:rPr>
            </w:pPr>
            <w:r>
              <w:rPr>
                <w:rFonts w:ascii="Arial" w:cs="Arial" w:eastAsia="Arial" w:hAnsi="Arial"/>
                <w:sz w:val="17"/>
                <w:szCs w:val="17"/>
                <w:color w:val="auto"/>
              </w:rPr>
              <w:t>share</w:t>
            </w:r>
            <w:r>
              <w:rPr>
                <w:rFonts w:ascii="Arial" w:cs="Arial" w:eastAsia="Arial" w:hAnsi="Arial"/>
                <w:sz w:val="25"/>
                <w:szCs w:val="25"/>
                <w:color w:val="auto"/>
                <w:vertAlign w:val="superscript"/>
              </w:rPr>
              <w:t>(2)</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00" w:type="dxa"/>
            <w:vAlign w:val="bottom"/>
            <w:shd w:val="clear" w:color="auto" w:fill="CCEEFF"/>
          </w:tcPr>
          <w:p>
            <w:pPr>
              <w:ind w:left="340"/>
              <w:spacing w:after="0" w:line="183" w:lineRule="exact"/>
              <w:rPr>
                <w:sz w:val="20"/>
                <w:szCs w:val="20"/>
                <w:color w:val="auto"/>
              </w:rPr>
            </w:pPr>
            <w:r>
              <w:rPr>
                <w:rFonts w:ascii="Arial" w:cs="Arial" w:eastAsia="Arial" w:hAnsi="Arial"/>
                <w:sz w:val="18"/>
                <w:szCs w:val="18"/>
                <w:color w:val="auto"/>
              </w:rPr>
              <w:t>Weighted-average shares used in computing diluted net income per</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00" w:type="dxa"/>
            <w:vAlign w:val="bottom"/>
            <w:shd w:val="clear" w:color="auto" w:fill="CCEEFF"/>
          </w:tcPr>
          <w:p>
            <w:pPr>
              <w:ind w:left="520"/>
              <w:spacing w:after="0" w:line="221" w:lineRule="exact"/>
              <w:rPr>
                <w:sz w:val="20"/>
                <w:szCs w:val="20"/>
                <w:color w:val="auto"/>
              </w:rPr>
            </w:pPr>
            <w:r>
              <w:rPr>
                <w:rFonts w:ascii="Arial" w:cs="Arial" w:eastAsia="Arial" w:hAnsi="Arial"/>
                <w:sz w:val="17"/>
                <w:szCs w:val="17"/>
                <w:color w:val="auto"/>
              </w:rPr>
              <w:t>share</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54,723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57,600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57,305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00" w:type="dxa"/>
            <w:vAlign w:val="bottom"/>
          </w:tcPr>
          <w:p>
            <w:pPr>
              <w:ind w:left="340"/>
              <w:spacing w:after="0" w:line="236" w:lineRule="exact"/>
              <w:rPr>
                <w:sz w:val="20"/>
                <w:szCs w:val="20"/>
                <w:color w:val="auto"/>
              </w:rPr>
            </w:pPr>
            <w:r>
              <w:rPr>
                <w:rFonts w:ascii="Arial" w:cs="Arial" w:eastAsia="Arial" w:hAnsi="Arial"/>
                <w:sz w:val="18"/>
                <w:szCs w:val="18"/>
                <w:color w:val="auto"/>
              </w:rPr>
              <w:t>Pro forma net loss per share, basic and diluted (unaudited)</w:t>
            </w:r>
            <w:r>
              <w:rPr>
                <w:rFonts w:ascii="Arial" w:cs="Arial" w:eastAsia="Arial" w:hAnsi="Arial"/>
                <w:sz w:val="26"/>
                <w:szCs w:val="26"/>
                <w:color w:val="auto"/>
                <w:vertAlign w:val="superscript"/>
              </w:rPr>
              <w:t>(3)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spacing w:after="0" w:line="234" w:lineRule="auto"/>
        <w:rPr>
          <w:sz w:val="20"/>
          <w:szCs w:val="20"/>
          <w:color w:val="auto"/>
        </w:rPr>
      </w:pPr>
      <w:r>
        <w:rPr>
          <w:rFonts w:ascii="Arial" w:cs="Arial" w:eastAsia="Arial" w:hAnsi="Arial"/>
          <w:sz w:val="18"/>
          <w:szCs w:val="18"/>
          <w:color w:val="auto"/>
        </w:rPr>
        <w:t>Weighted-average shares used in computing pro forma net loss per</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share, basic and diluted (unaudited)</w:t>
      </w:r>
      <w:r>
        <w:rPr>
          <w:rFonts w:ascii="Arial" w:cs="Arial" w:eastAsia="Arial" w:hAnsi="Arial"/>
          <w:sz w:val="26"/>
          <w:szCs w:val="26"/>
          <w:color w:val="auto"/>
          <w:vertAlign w:val="superscript"/>
        </w:rPr>
        <w:t>(3)</w:t>
      </w:r>
    </w:p>
    <w:p>
      <w:pPr>
        <w:spacing w:after="0" w:line="25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320" w:top="455" w:right="6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250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8970" cy="525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20" w:hanging="52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include stock-based compensation expense as follows:</w:t>
      </w:r>
    </w:p>
    <w:p>
      <w:pPr>
        <w:spacing w:after="0" w:line="200" w:lineRule="exact"/>
        <w:rPr>
          <w:sz w:val="20"/>
          <w:szCs w:val="20"/>
          <w:color w:val="auto"/>
        </w:rPr>
      </w:pPr>
    </w:p>
    <w:p>
      <w:pPr>
        <w:spacing w:after="0" w:line="291"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7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8"/>
              <w:spacing w:after="0" w:line="155" w:lineRule="exact"/>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w w:val="96"/>
              </w:rPr>
              <w:t>2024</w:t>
            </w:r>
          </w:p>
        </w:tc>
        <w:tc>
          <w:tcPr>
            <w:tcW w:w="3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2024</w:t>
            </w:r>
          </w:p>
        </w:tc>
        <w:tc>
          <w:tcPr>
            <w:tcW w:w="3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3"/>
                <w:szCs w:val="13"/>
                <w:color w:val="auto"/>
              </w:rPr>
            </w:pPr>
          </w:p>
        </w:tc>
      </w:tr>
      <w:tr>
        <w:trPr>
          <w:trHeight w:val="146"/>
        </w:trPr>
        <w:tc>
          <w:tcPr>
            <w:tcW w:w="7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jc w:val="center"/>
              <w:ind w:right="14"/>
              <w:spacing w:after="0" w:line="147"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r>
      <w:tr>
        <w:trPr>
          <w:trHeight w:val="171"/>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marketing</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507</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687</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390</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2,043</w:t>
            </w:r>
          </w:p>
        </w:tc>
        <w:tc>
          <w:tcPr>
            <w:tcW w:w="60" w:type="dxa"/>
            <w:vAlign w:val="bottom"/>
            <w:shd w:val="clear" w:color="auto" w:fill="CCEEFF"/>
          </w:tcPr>
          <w:p>
            <w:pPr>
              <w:spacing w:after="0"/>
              <w:rPr>
                <w:sz w:val="17"/>
                <w:szCs w:val="17"/>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2,003</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1,654</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1,266</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5,905</w:t>
            </w:r>
          </w:p>
        </w:tc>
        <w:tc>
          <w:tcPr>
            <w:tcW w:w="60" w:type="dxa"/>
            <w:vAlign w:val="bottom"/>
          </w:tcPr>
          <w:p>
            <w:pPr>
              <w:spacing w:after="0"/>
              <w:rPr>
                <w:sz w:val="17"/>
                <w:szCs w:val="17"/>
                <w:color w:val="auto"/>
              </w:rPr>
            </w:pP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Technology</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1,097</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825</w:t>
            </w: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613</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2,616</w:t>
            </w:r>
          </w:p>
        </w:tc>
        <w:tc>
          <w:tcPr>
            <w:tcW w:w="60" w:type="dxa"/>
            <w:vAlign w:val="bottom"/>
            <w:shd w:val="clear" w:color="auto" w:fill="CCEEFF"/>
          </w:tcPr>
          <w:p>
            <w:pPr>
              <w:spacing w:after="0"/>
              <w:rPr>
                <w:sz w:val="17"/>
                <w:szCs w:val="17"/>
                <w:color w:val="auto"/>
              </w:rPr>
            </w:pPr>
          </w:p>
        </w:tc>
      </w:tr>
      <w:tr>
        <w:trPr>
          <w:trHeight w:val="209"/>
        </w:trPr>
        <w:tc>
          <w:tcPr>
            <w:tcW w:w="714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3,607</w:t>
            </w:r>
          </w:p>
        </w:tc>
        <w:tc>
          <w:tcPr>
            <w:tcW w:w="3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3,166</w:t>
            </w: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2,269</w:t>
            </w:r>
          </w:p>
        </w:tc>
        <w:tc>
          <w:tcPr>
            <w:tcW w:w="3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10,564</w:t>
            </w:r>
          </w:p>
        </w:tc>
        <w:tc>
          <w:tcPr>
            <w:tcW w:w="60" w:type="dxa"/>
            <w:vAlign w:val="bottom"/>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820" w:right="360" w:hanging="522"/>
        <w:spacing w:after="0" w:line="241"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Notes 2 and 15 to our consolidated financial statements included elsewhere in this prospectus for an explanation of the method used to calculate our basic and diluted net income per share and the weighted-average number of shares used in the computation of the per share amounts.</w:t>
      </w:r>
    </w:p>
    <w:p>
      <w:pPr>
        <w:spacing w:after="0" w:line="1" w:lineRule="exact"/>
        <w:rPr>
          <w:rFonts w:ascii="Arial" w:cs="Arial" w:eastAsia="Arial" w:hAnsi="Arial"/>
          <w:sz w:val="18"/>
          <w:szCs w:val="18"/>
          <w:color w:val="auto"/>
        </w:rPr>
      </w:pPr>
    </w:p>
    <w:p>
      <w:pPr>
        <w:ind w:left="820" w:right="200" w:hanging="522"/>
        <w:spacing w:after="0" w:line="242"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 forma basic and diluted net loss per share for the year ended December 31, 2024 and nine months ended September 30, 2025 have been computed to give effect to the conversion of outstanding shares of redeemable convertible preferred stock and the RSU Net Settlement and related stock-based compensation expense.</w:t>
      </w:r>
    </w:p>
    <w:p>
      <w:pPr>
        <w:spacing w:after="0" w:line="17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The following table sets forth the computation of the pro forma basic and diluted net loss per share: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w:t>
            </w:r>
          </w:p>
        </w:tc>
        <w:tc>
          <w:tcPr>
            <w:tcW w:w="92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r>
      <w:tr>
        <w:trPr>
          <w:trHeight w:val="156"/>
        </w:trPr>
        <w:tc>
          <w:tcPr>
            <w:tcW w:w="18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0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December 31, 2024</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September 30, 2025</w:t>
            </w:r>
          </w:p>
        </w:tc>
        <w:tc>
          <w:tcPr>
            <w:tcW w:w="200" w:type="dxa"/>
            <w:vAlign w:val="bottom"/>
          </w:tcPr>
          <w:p>
            <w:pPr>
              <w:spacing w:after="0"/>
              <w:rPr>
                <w:sz w:val="13"/>
                <w:szCs w:val="13"/>
                <w:color w:val="auto"/>
              </w:rPr>
            </w:pPr>
          </w:p>
        </w:tc>
      </w:tr>
      <w:tr>
        <w:trPr>
          <w:trHeight w:val="146"/>
        </w:trPr>
        <w:tc>
          <w:tcPr>
            <w:tcW w:w="18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259"/>
              <w:spacing w:after="0" w:line="147"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2"/>
                <w:szCs w:val="12"/>
                <w:color w:val="auto"/>
              </w:rPr>
            </w:pPr>
          </w:p>
        </w:tc>
      </w:tr>
      <w:tr>
        <w:trPr>
          <w:trHeight w:val="162"/>
        </w:trPr>
        <w:tc>
          <w:tcPr>
            <w:tcW w:w="1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40" w:type="dxa"/>
            <w:vAlign w:val="bottom"/>
            <w:gridSpan w:val="6"/>
          </w:tcPr>
          <w:p>
            <w:pPr>
              <w:ind w:left="560"/>
              <w:spacing w:after="0"/>
              <w:rPr>
                <w:sz w:val="20"/>
                <w:szCs w:val="20"/>
                <w:color w:val="auto"/>
              </w:rPr>
            </w:pPr>
            <w:r>
              <w:rPr>
                <w:rFonts w:ascii="Arial" w:cs="Arial" w:eastAsia="Arial" w:hAnsi="Arial"/>
                <w:sz w:val="14"/>
                <w:szCs w:val="14"/>
                <w:b w:val="1"/>
                <w:bCs w:val="1"/>
                <w:color w:val="auto"/>
              </w:rPr>
              <w:t>(in thousands, except per share</w:t>
            </w:r>
          </w:p>
        </w:tc>
      </w:tr>
      <w:tr>
        <w:trPr>
          <w:trHeight w:val="171"/>
        </w:trPr>
        <w:tc>
          <w:tcPr>
            <w:tcW w:w="1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amounts)</w:t>
            </w: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3"/>
        </w:trPr>
        <w:tc>
          <w:tcPr>
            <w:tcW w:w="180" w:type="dxa"/>
            <w:vAlign w:val="bottom"/>
          </w:tcPr>
          <w:p>
            <w:pPr>
              <w:spacing w:after="0"/>
              <w:rPr>
                <w:sz w:val="17"/>
                <w:szCs w:val="17"/>
                <w:color w:val="auto"/>
              </w:rPr>
            </w:pPr>
          </w:p>
        </w:tc>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Numerator:</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62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82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48,832</w:t>
            </w:r>
          </w:p>
        </w:tc>
        <w:tc>
          <w:tcPr>
            <w:tcW w:w="112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46,590</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 expense (RSUs)</w:t>
            </w:r>
          </w:p>
        </w:tc>
        <w:tc>
          <w:tcPr>
            <w:tcW w:w="6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6460" w:type="dxa"/>
            <w:vAlign w:val="bottom"/>
            <w:gridSpan w:val="2"/>
          </w:tcPr>
          <w:p>
            <w:pPr>
              <w:ind w:left="180"/>
              <w:spacing w:after="0"/>
              <w:rPr>
                <w:sz w:val="20"/>
                <w:szCs w:val="20"/>
                <w:color w:val="auto"/>
              </w:rPr>
            </w:pPr>
            <w:r>
              <w:rPr>
                <w:rFonts w:ascii="Arial" w:cs="Arial" w:eastAsia="Arial" w:hAnsi="Arial"/>
                <w:sz w:val="18"/>
                <w:szCs w:val="18"/>
                <w:color w:val="auto"/>
              </w:rPr>
              <w:t>Pro forma net loss, basic and diluted</w:t>
            </w:r>
          </w:p>
        </w:tc>
        <w:tc>
          <w:tcPr>
            <w:tcW w:w="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6280" w:type="dxa"/>
            <w:vAlign w:val="bottom"/>
          </w:tcPr>
          <w:p>
            <w:pPr>
              <w:spacing w:after="0" w:line="202" w:lineRule="exact"/>
              <w:rPr>
                <w:sz w:val="20"/>
                <w:szCs w:val="20"/>
                <w:color w:val="auto"/>
              </w:rPr>
            </w:pPr>
            <w:r>
              <w:rPr>
                <w:rFonts w:ascii="Arial" w:cs="Arial" w:eastAsia="Arial" w:hAnsi="Arial"/>
                <w:sz w:val="18"/>
                <w:szCs w:val="18"/>
                <w:color w:val="auto"/>
              </w:rPr>
              <w:t>Weighted-average shares used in computing net income per share</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 for RSU Net Settlement</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10"/>
        </w:trPr>
        <w:tc>
          <w:tcPr>
            <w:tcW w:w="180" w:type="dxa"/>
            <w:vAlign w:val="bottom"/>
          </w:tcPr>
          <w:p>
            <w:pPr>
              <w:spacing w:after="0"/>
              <w:rPr>
                <w:sz w:val="18"/>
                <w:szCs w:val="18"/>
                <w:color w:val="auto"/>
              </w:rPr>
            </w:pPr>
          </w:p>
        </w:tc>
        <w:tc>
          <w:tcPr>
            <w:tcW w:w="6280" w:type="dxa"/>
            <w:vAlign w:val="bottom"/>
          </w:tcPr>
          <w:p>
            <w:pPr>
              <w:spacing w:after="0" w:line="202" w:lineRule="exact"/>
              <w:rPr>
                <w:sz w:val="20"/>
                <w:szCs w:val="20"/>
                <w:color w:val="auto"/>
              </w:rPr>
            </w:pPr>
            <w:r>
              <w:rPr>
                <w:rFonts w:ascii="Arial" w:cs="Arial" w:eastAsia="Arial" w:hAnsi="Arial"/>
                <w:sz w:val="18"/>
                <w:szCs w:val="18"/>
                <w:color w:val="auto"/>
              </w:rPr>
              <w:t>Adjustment for Redeemable Convertible Preferred Stock Conversion</w:t>
            </w:r>
          </w:p>
        </w:tc>
        <w:tc>
          <w:tcPr>
            <w:tcW w:w="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84"/>
        </w:trPr>
        <w:tc>
          <w:tcPr>
            <w:tcW w:w="180" w:type="dxa"/>
            <w:vAlign w:val="bottom"/>
          </w:tcPr>
          <w:p>
            <w:pPr>
              <w:spacing w:after="0"/>
              <w:rPr>
                <w:sz w:val="15"/>
                <w:szCs w:val="15"/>
                <w:color w:val="auto"/>
              </w:rPr>
            </w:pPr>
          </w:p>
        </w:tc>
        <w:tc>
          <w:tcPr>
            <w:tcW w:w="62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Weighted-average shares used in computing pro forma net income per</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tcBorders>
              <w:right w:val="single" w:sz="8" w:color="CCEEFF"/>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r>
      <w:tr>
        <w:trPr>
          <w:trHeight w:val="221"/>
        </w:trPr>
        <w:tc>
          <w:tcPr>
            <w:tcW w:w="180" w:type="dxa"/>
            <w:vAlign w:val="bottom"/>
          </w:tcPr>
          <w:p>
            <w:pPr>
              <w:spacing w:after="0"/>
              <w:rPr>
                <w:sz w:val="19"/>
                <w:szCs w:val="19"/>
                <w:color w:val="auto"/>
              </w:rPr>
            </w:pPr>
          </w:p>
        </w:tc>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basic and diluted</w:t>
            </w:r>
          </w:p>
        </w:tc>
        <w:tc>
          <w:tcPr>
            <w:tcW w:w="6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CCEEFF"/>
            </w:tcBorders>
            <w:shd w:val="clear" w:color="auto" w:fill="CCEEFF"/>
          </w:tcPr>
          <w:p>
            <w:pPr>
              <w:spacing w:after="0"/>
              <w:rPr>
                <w:sz w:val="19"/>
                <w:szCs w:val="19"/>
                <w:color w:val="auto"/>
              </w:rPr>
            </w:pPr>
          </w:p>
        </w:tc>
        <w:tc>
          <w:tcPr>
            <w:tcW w:w="200" w:type="dxa"/>
            <w:vAlign w:val="bottom"/>
          </w:tcPr>
          <w:p>
            <w:pPr>
              <w:spacing w:after="0"/>
              <w:rPr>
                <w:sz w:val="19"/>
                <w:szCs w:val="19"/>
                <w:color w:val="auto"/>
              </w:rPr>
            </w:pPr>
          </w:p>
        </w:tc>
      </w:tr>
      <w:tr>
        <w:trPr>
          <w:trHeight w:val="232"/>
        </w:trPr>
        <w:tc>
          <w:tcPr>
            <w:tcW w:w="6460" w:type="dxa"/>
            <w:vAlign w:val="bottom"/>
            <w:gridSpan w:val="2"/>
          </w:tcPr>
          <w:p>
            <w:pPr>
              <w:ind w:left="180"/>
              <w:spacing w:after="0"/>
              <w:rPr>
                <w:sz w:val="20"/>
                <w:szCs w:val="20"/>
                <w:color w:val="auto"/>
              </w:rPr>
            </w:pPr>
            <w:r>
              <w:rPr>
                <w:rFonts w:ascii="Arial" w:cs="Arial" w:eastAsia="Arial" w:hAnsi="Arial"/>
                <w:sz w:val="18"/>
                <w:szCs w:val="18"/>
                <w:color w:val="auto"/>
              </w:rPr>
              <w:t>Pro forma net loss per share, basic and diluted</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149"/>
        </w:trPr>
        <w:tc>
          <w:tcPr>
            <w:tcW w:w="180" w:type="dxa"/>
            <w:vAlign w:val="bottom"/>
            <w:tcBorders>
              <w:bottom w:val="single" w:sz="8" w:color="auto"/>
            </w:tcBorders>
          </w:tcPr>
          <w:p>
            <w:pPr>
              <w:spacing w:after="0"/>
              <w:rPr>
                <w:sz w:val="12"/>
                <w:szCs w:val="12"/>
                <w:color w:val="auto"/>
              </w:rPr>
            </w:pPr>
          </w:p>
        </w:tc>
        <w:tc>
          <w:tcPr>
            <w:tcW w:w="6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r>
      <w:tr>
        <w:trPr>
          <w:trHeight w:val="365"/>
        </w:trPr>
        <w:tc>
          <w:tcPr>
            <w:tcW w:w="6460" w:type="dxa"/>
            <w:vAlign w:val="bottom"/>
            <w:gridSpan w:val="2"/>
          </w:tcPr>
          <w:p>
            <w:pPr>
              <w:jc w:val="right"/>
              <w:ind w:right="770"/>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705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Balance Sheet Data</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5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As of September 30, 2025</w:t>
            </w:r>
          </w:p>
        </w:tc>
      </w:tr>
      <w:tr>
        <w:trPr>
          <w:trHeight w:val="142"/>
        </w:trPr>
        <w:tc>
          <w:tcPr>
            <w:tcW w:w="57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ind w:left="140"/>
              <w:spacing w:after="0" w:line="143" w:lineRule="exact"/>
              <w:rPr>
                <w:sz w:val="20"/>
                <w:szCs w:val="20"/>
                <w:color w:val="auto"/>
              </w:rPr>
            </w:pPr>
            <w:r>
              <w:rPr>
                <w:rFonts w:ascii="Arial" w:cs="Arial" w:eastAsia="Arial" w:hAnsi="Arial"/>
                <w:sz w:val="14"/>
                <w:szCs w:val="14"/>
                <w:b w:val="1"/>
                <w:bCs w:val="1"/>
                <w:color w:val="auto"/>
              </w:rPr>
              <w:t>Pro Forma As</w:t>
            </w:r>
          </w:p>
        </w:tc>
        <w:tc>
          <w:tcPr>
            <w:tcW w:w="60" w:type="dxa"/>
            <w:vAlign w:val="bottom"/>
          </w:tcPr>
          <w:p>
            <w:pPr>
              <w:spacing w:after="0"/>
              <w:rPr>
                <w:sz w:val="12"/>
                <w:szCs w:val="12"/>
                <w:color w:val="auto"/>
              </w:rPr>
            </w:pPr>
          </w:p>
        </w:tc>
      </w:tr>
      <w:tr>
        <w:trPr>
          <w:trHeight w:val="175"/>
        </w:trPr>
        <w:tc>
          <w:tcPr>
            <w:tcW w:w="5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60" w:type="dxa"/>
            <w:vAlign w:val="bottom"/>
          </w:tcPr>
          <w:p>
            <w:pPr>
              <w:jc w:val="right"/>
              <w:ind w:right="368"/>
              <w:spacing w:after="0"/>
              <w:rPr>
                <w:sz w:val="20"/>
                <w:szCs w:val="20"/>
                <w:color w:val="auto"/>
              </w:rPr>
            </w:pPr>
            <w:r>
              <w:rPr>
                <w:rFonts w:ascii="Arial" w:cs="Arial" w:eastAsia="Arial" w:hAnsi="Arial"/>
                <w:sz w:val="14"/>
                <w:szCs w:val="14"/>
                <w:b w:val="1"/>
                <w:bCs w:val="1"/>
                <w:color w:val="auto"/>
              </w:rPr>
              <w:t>Actual</w:t>
            </w:r>
          </w:p>
        </w:tc>
        <w:tc>
          <w:tcPr>
            <w:tcW w:w="1300" w:type="dxa"/>
            <w:vAlign w:val="bottom"/>
          </w:tcPr>
          <w:p>
            <w:pPr>
              <w:ind w:left="200"/>
              <w:spacing w:after="0" w:line="175" w:lineRule="exact"/>
              <w:rPr>
                <w:sz w:val="20"/>
                <w:szCs w:val="20"/>
                <w:color w:val="auto"/>
              </w:rPr>
            </w:pPr>
            <w:r>
              <w:rPr>
                <w:rFonts w:ascii="Arial" w:cs="Arial" w:eastAsia="Arial" w:hAnsi="Arial"/>
                <w:sz w:val="14"/>
                <w:szCs w:val="14"/>
                <w:b w:val="1"/>
                <w:bCs w:val="1"/>
                <w:color w:val="auto"/>
              </w:rPr>
              <w:t>Pro Forma</w:t>
            </w:r>
            <w:r>
              <w:rPr>
                <w:rFonts w:ascii="Arial" w:cs="Arial" w:eastAsia="Arial" w:hAnsi="Arial"/>
                <w:sz w:val="20"/>
                <w:szCs w:val="20"/>
                <w:b w:val="1"/>
                <w:bCs w:val="1"/>
                <w:color w:val="auto"/>
                <w:vertAlign w:val="superscript"/>
              </w:rPr>
              <w:t>(1)</w:t>
            </w:r>
          </w:p>
        </w:tc>
        <w:tc>
          <w:tcPr>
            <w:tcW w:w="1140" w:type="dxa"/>
            <w:vAlign w:val="bottom"/>
            <w:gridSpan w:val="2"/>
          </w:tcPr>
          <w:p>
            <w:pPr>
              <w:ind w:left="180"/>
              <w:spacing w:after="0" w:line="175"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20"/>
                <w:szCs w:val="20"/>
                <w:b w:val="1"/>
                <w:bCs w:val="1"/>
                <w:color w:val="auto"/>
                <w:vertAlign w:val="superscript"/>
              </w:rPr>
              <w:t>(2)(3)</w:t>
            </w:r>
          </w:p>
        </w:tc>
      </w:tr>
      <w:tr>
        <w:trPr>
          <w:trHeight w:val="146"/>
        </w:trPr>
        <w:tc>
          <w:tcPr>
            <w:tcW w:w="57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(unaudited)</w:t>
            </w:r>
          </w:p>
        </w:tc>
        <w:tc>
          <w:tcPr>
            <w:tcW w:w="10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5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1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Cash and cash equivalents, and short-term investments</w:t>
            </w:r>
          </w:p>
        </w:tc>
        <w:tc>
          <w:tcPr>
            <w:tcW w:w="242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$ 129,739</w:t>
            </w:r>
          </w:p>
        </w:tc>
        <w:tc>
          <w:tcPr>
            <w:tcW w:w="130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           </w:t>
            </w:r>
          </w:p>
        </w:tc>
        <w:tc>
          <w:tcPr>
            <w:tcW w:w="11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 xml:space="preserve">$           </w:t>
            </w: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Working capital</w:t>
            </w:r>
            <w:r>
              <w:rPr>
                <w:rFonts w:ascii="Arial" w:cs="Arial" w:eastAsia="Arial" w:hAnsi="Arial"/>
                <w:sz w:val="23"/>
                <w:szCs w:val="23"/>
                <w:color w:val="auto"/>
                <w:vertAlign w:val="superscript"/>
              </w:rPr>
              <w:t>(4)</w:t>
            </w:r>
          </w:p>
        </w:tc>
        <w:tc>
          <w:tcPr>
            <w:tcW w:w="24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126,807</w:t>
            </w:r>
          </w:p>
        </w:tc>
        <w:tc>
          <w:tcPr>
            <w:tcW w:w="1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242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488,302</w:t>
            </w: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24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403,997</w:t>
            </w:r>
          </w:p>
        </w:tc>
        <w:tc>
          <w:tcPr>
            <w:tcW w:w="1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242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78,653</w:t>
            </w: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242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(127,075)</w:t>
            </w:r>
          </w:p>
        </w:tc>
        <w:tc>
          <w:tcPr>
            <w:tcW w:w="1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9"/>
        </w:trPr>
        <w:tc>
          <w:tcPr>
            <w:tcW w:w="57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2420" w:type="dxa"/>
            <w:vAlign w:val="bottom"/>
            <w:gridSpan w:val="2"/>
          </w:tcPr>
          <w:p>
            <w:pPr>
              <w:jc w:val="right"/>
              <w:ind w:right="108"/>
              <w:spacing w:after="0"/>
              <w:rPr>
                <w:sz w:val="20"/>
                <w:szCs w:val="20"/>
                <w:color w:val="auto"/>
              </w:rPr>
            </w:pPr>
            <w:r>
              <w:rPr>
                <w:rFonts w:ascii="Arial" w:cs="Arial" w:eastAsia="Arial" w:hAnsi="Arial"/>
                <w:sz w:val="18"/>
                <w:szCs w:val="18"/>
                <w:color w:val="auto"/>
              </w:rPr>
              <w:t>(48,918)</w:t>
            </w: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34" w:lineRule="exact"/>
        <w:rPr>
          <w:sz w:val="20"/>
          <w:szCs w:val="20"/>
          <w:color w:val="auto"/>
        </w:rPr>
      </w:pPr>
    </w:p>
    <w:p>
      <w:pPr>
        <w:ind w:left="820" w:hanging="522"/>
        <w:spacing w:after="0" w:line="238"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 forma consolidated balance sheet data gives effect to (i) the reclassification of our outstanding common stock as Class A common stock, (ii) the Preferred Conversion, (iii) the Class B Stock Exchange, (iv) stock-based compensation expense of $        million related to RSUs subject to the RSU Net Settlement, reflected as an increase to additional paid-in capital and accumulated deficit, as further described in Notes 2 and 13 of our consolidated financial statements included elsewhere in this prospectus, (v) the net issuance of        shares of Class A common stock in connection with the RSU Net Settlement,</w:t>
      </w:r>
    </w:p>
    <w:p>
      <w:pPr>
        <w:spacing w:after="0" w:line="4" w:lineRule="exact"/>
        <w:rPr>
          <w:sz w:val="20"/>
          <w:szCs w:val="20"/>
          <w:color w:val="auto"/>
        </w:rPr>
      </w:pPr>
    </w:p>
    <w:p>
      <w:pPr>
        <w:ind w:left="820" w:right="80"/>
        <w:spacing w:after="0" w:line="234" w:lineRule="auto"/>
        <w:rPr>
          <w:sz w:val="20"/>
          <w:szCs w:val="20"/>
          <w:color w:val="auto"/>
        </w:rPr>
      </w:pPr>
      <w:r>
        <w:rPr>
          <w:rFonts w:ascii="Arial" w:cs="Arial" w:eastAsia="Arial" w:hAnsi="Arial"/>
          <w:sz w:val="18"/>
          <w:szCs w:val="18"/>
          <w:color w:val="auto"/>
        </w:rPr>
        <w:t>after withholding        shares to satisfy estimated tax withholding and remittance obligations of $        million (based on the assumed initial public offering price of $        per share, the midpoint of the price range set forth on the cover page of this prospectus, and an assumed        % tax withholding rate), (vi) the $        million increase in liabilities and corresponding decrease in additional paid-in capital resulting from the share withholding for the tax withholding and remittance obligations related to the RSU Net Settlement, (vii) the Warrant Exercise and (viii) the filing and effectiveness of our amended and restated certificate of incorporation, which will occur upon the closing of this offering.</w:t>
      </w:r>
    </w:p>
    <w:p>
      <w:pPr>
        <w:ind w:left="820" w:hanging="522"/>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 forma as adjusted consolidated balance sheet data gives effect to (i) the items described in footnote (1) above, (ii) our</w:t>
      </w:r>
    </w:p>
    <w:p>
      <w:pPr>
        <w:ind w:left="820" w:right="200"/>
        <w:spacing w:after="0" w:line="234" w:lineRule="auto"/>
        <w:rPr>
          <w:sz w:val="20"/>
          <w:szCs w:val="20"/>
          <w:color w:val="auto"/>
        </w:rPr>
      </w:pPr>
      <w:r>
        <w:rPr>
          <w:rFonts w:ascii="Arial" w:cs="Arial" w:eastAsia="Arial" w:hAnsi="Arial"/>
          <w:sz w:val="18"/>
          <w:szCs w:val="18"/>
          <w:color w:val="auto"/>
        </w:rPr>
        <w:t>receipt of $        million estimated net proceeds from the sale of shares of Class A common stock in this offering at an assumed initial public offering price of $        per share, the midpoint of the price range set forth on the cover page of this prospectus, after deducting underwriting discounts and commissions and estimated offering expenses payable by us; (iii) the use of net proceeds from this offering, together with existing cash and cash equivalents, if necessary, to satisfy the estimated tax withholding and remittance obligations related to the RSU Net Settlement described in footnote (1) above.</w:t>
      </w:r>
    </w:p>
    <w:p>
      <w:pPr>
        <w:spacing w:after="0" w:line="3" w:lineRule="exact"/>
        <w:rPr>
          <w:sz w:val="20"/>
          <w:szCs w:val="20"/>
          <w:color w:val="auto"/>
        </w:rPr>
      </w:pPr>
    </w:p>
    <w:p>
      <w:pPr>
        <w:ind w:left="820" w:right="60" w:hanging="522"/>
        <w:spacing w:after="0" w:line="248" w:lineRule="auto"/>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$1.00 increase (decrease) in the assumed initial public offering price of $        per share, the midpoint of the price range set forth on the cover page of this prospectus, would increase (decrease) each of cash, cash equivalents, and investments, working capital, total assets, and total stockholders’ (deficit) equity by $        million, assuming that the number of shares of Class A common stock offered by us and the selling stockholders, as set forth on the cover page of this prospectus, remains the same, and after deducting underwriting discounts and commissions and estimated offering expenses payable by us. Similarly, each increase (decrease) of 1.0 million shares in the number of shares of Class A common stock offered by us would increase (decrease) each of cash, cash equivalents, and investments, working capital, total assets, and total stockholders’</w:t>
      </w:r>
    </w:p>
    <w:p>
      <w:pPr>
        <w:spacing w:after="0" w:line="4" w:lineRule="exact"/>
        <w:rPr>
          <w:sz w:val="20"/>
          <w:szCs w:val="20"/>
          <w:color w:val="auto"/>
        </w:rPr>
      </w:pPr>
    </w:p>
    <w:p>
      <w:pPr>
        <w:ind w:left="820" w:right="560"/>
        <w:spacing w:after="0" w:line="242" w:lineRule="auto"/>
        <w:rPr>
          <w:sz w:val="20"/>
          <w:szCs w:val="20"/>
          <w:color w:val="auto"/>
        </w:rPr>
      </w:pPr>
      <w:r>
        <w:rPr>
          <w:rFonts w:ascii="Arial" w:cs="Arial" w:eastAsia="Arial" w:hAnsi="Arial"/>
          <w:sz w:val="18"/>
          <w:szCs w:val="18"/>
          <w:color w:val="auto"/>
        </w:rPr>
        <w:t>(deficit) equity by $        million, assuming the assumed initial public offering price of $        per share of Class A common stock remains the same, and after deducting underwriting discounts and commissions and estimated offering expenses payable by us. Each $1.00 increase (decrease) in the assumed initial public offering price per</w:t>
      </w:r>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320" w:top="455" w:right="6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245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8970" cy="61245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20" w:right="140"/>
        <w:spacing w:after="0" w:line="245" w:lineRule="auto"/>
        <w:rPr>
          <w:sz w:val="20"/>
          <w:szCs w:val="20"/>
          <w:color w:val="auto"/>
        </w:rPr>
      </w:pPr>
      <w:r>
        <w:rPr>
          <w:rFonts w:ascii="Arial" w:cs="Arial" w:eastAsia="Arial" w:hAnsi="Arial"/>
          <w:sz w:val="18"/>
          <w:szCs w:val="18"/>
          <w:color w:val="auto"/>
        </w:rPr>
        <w:t xml:space="preserve">share of $        , which is the midpoint of the price range set forth on the cover page of this prospectus, would increase (decrease) the amount of estimated tax withholding and remittance obligations related to the RSU Net Settlement by $       </w:t>
      </w:r>
    </w:p>
    <w:p>
      <w:pPr>
        <w:ind w:left="820" w:right="20"/>
        <w:spacing w:after="0" w:line="234" w:lineRule="auto"/>
        <w:rPr>
          <w:sz w:val="20"/>
          <w:szCs w:val="20"/>
          <w:color w:val="auto"/>
        </w:rPr>
      </w:pPr>
      <w:r>
        <w:rPr>
          <w:rFonts w:ascii="Arial" w:cs="Arial" w:eastAsia="Arial" w:hAnsi="Arial"/>
          <w:sz w:val="18"/>
          <w:szCs w:val="18"/>
          <w:color w:val="auto"/>
        </w:rPr>
        <w:t>million. In addition, each 1.0% increase (decrease) in the assumed tax withholding rates would increase (decrease) the amount of estimated tax withholding and remittance obligations related to the RSU Net Settlement by $        million. Pro forma adjustments in the footnotes above and the related information in the balance sheet data are illustrative only and may differ from actual amounts based on the actual initial public offering price and other terms of this offering determined at pricing, the actual tax withholding rates, as well as the actual amount of RSUs settled in connection with this offering.</w:t>
      </w:r>
    </w:p>
    <w:p>
      <w:pPr>
        <w:spacing w:after="0" w:line="3" w:lineRule="exact"/>
        <w:rPr>
          <w:sz w:val="20"/>
          <w:szCs w:val="20"/>
          <w:color w:val="auto"/>
        </w:rPr>
      </w:pPr>
    </w:p>
    <w:p>
      <w:pPr>
        <w:ind w:left="820" w:hanging="522"/>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less total current liabilities.</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Key Business Metrics and Non-GAAP Financial Measures</w:t>
      </w:r>
    </w:p>
    <w:p>
      <w:pPr>
        <w:spacing w:after="0" w:line="104" w:lineRule="exact"/>
        <w:rPr>
          <w:sz w:val="20"/>
          <w:szCs w:val="20"/>
          <w:color w:val="auto"/>
        </w:rPr>
      </w:pPr>
    </w:p>
    <w:p>
      <w:pPr>
        <w:ind w:left="300" w:right="100" w:firstLine="532"/>
        <w:spacing w:after="0" w:line="244"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business metrics and non-GAAP financial measures, among others, to help us evaluate our business, identify trends affecting our performance, formulate business plans, and make strategic decisions. See the section titled “Management’s Discussion and Analysis of Financial Condition and Results of Operations—Key Business Metrics and Non-GAAP Financial Measures” included elsewhere in this prospectus for our definitions of these metrics.</w:t>
      </w:r>
    </w:p>
    <w:p>
      <w:pPr>
        <w:spacing w:after="0" w:line="213" w:lineRule="exact"/>
        <w:rPr>
          <w:sz w:val="20"/>
          <w:szCs w:val="20"/>
          <w:color w:val="auto"/>
        </w:rPr>
      </w:pPr>
    </w:p>
    <w:tbl>
      <w:tblPr>
        <w:tblLayout w:type="fixed"/>
        <w:tblInd w:w="6260" w:type="dxa"/>
        <w:tblCellMar>
          <w:top w:w="0" w:type="dxa"/>
          <w:left w:w="0" w:type="dxa"/>
          <w:bottom w:w="0" w:type="dxa"/>
          <w:right w:w="0" w:type="dxa"/>
        </w:tblCellMar>
      </w:tblPr>
      <w:tr>
        <w:trPr>
          <w:trHeight w:val="162"/>
        </w:trPr>
        <w:tc>
          <w:tcPr>
            <w:tcW w:w="1440" w:type="dxa"/>
            <w:vAlign w:val="bottom"/>
          </w:tcPr>
          <w:p>
            <w:pPr>
              <w:jc w:val="center"/>
              <w:ind w:left="428"/>
              <w:spacing w:after="0"/>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jc w:val="center"/>
              <w:ind w:right="408"/>
              <w:spacing w:after="0"/>
              <w:rPr>
                <w:sz w:val="20"/>
                <w:szCs w:val="20"/>
                <w:color w:val="auto"/>
              </w:rPr>
            </w:pPr>
            <w:r>
              <w:rPr>
                <w:rFonts w:ascii="Arial" w:cs="Arial" w:eastAsia="Arial" w:hAnsi="Arial"/>
                <w:sz w:val="14"/>
                <w:szCs w:val="14"/>
                <w:b w:val="1"/>
                <w:bCs w:val="1"/>
                <w:color w:val="auto"/>
              </w:rPr>
              <w:t>Nine Months</w:t>
            </w:r>
          </w:p>
        </w:tc>
      </w:tr>
      <w:tr>
        <w:trPr>
          <w:trHeight w:val="171"/>
        </w:trPr>
        <w:tc>
          <w:tcPr>
            <w:tcW w:w="144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center"/>
              <w:ind w:right="48"/>
              <w:spacing w:after="0"/>
              <w:rPr>
                <w:sz w:val="20"/>
                <w:szCs w:val="20"/>
                <w:color w:val="auto"/>
              </w:rPr>
            </w:pPr>
            <w:r>
              <w:rPr>
                <w:rFonts w:ascii="Arial" w:cs="Arial" w:eastAsia="Arial" w:hAnsi="Arial"/>
                <w:sz w:val="14"/>
                <w:szCs w:val="14"/>
                <w:b w:val="1"/>
                <w:bCs w:val="1"/>
                <w:color w:val="auto"/>
              </w:rPr>
              <w:t>Ended September 30,</w:t>
            </w:r>
          </w:p>
        </w:tc>
      </w:tr>
      <w:tr>
        <w:trPr>
          <w:trHeight w:val="156"/>
        </w:trPr>
        <w:tc>
          <w:tcPr>
            <w:tcW w:w="1440" w:type="dxa"/>
            <w:vAlign w:val="bottom"/>
            <w:tcBorders>
              <w:bottom w:val="single" w:sz="8" w:color="auto"/>
            </w:tcBorders>
          </w:tcPr>
          <w:p>
            <w:pPr>
              <w:jc w:val="right"/>
              <w:ind w:right="888"/>
              <w:spacing w:after="0" w:line="155" w:lineRule="exact"/>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2024</w:t>
            </w:r>
          </w:p>
        </w:tc>
        <w:tc>
          <w:tcPr>
            <w:tcW w:w="13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2025</w:t>
            </w:r>
          </w:p>
        </w:tc>
      </w:tr>
      <w:tr>
        <w:trPr>
          <w:trHeight w:val="155"/>
        </w:trPr>
        <w:tc>
          <w:tcPr>
            <w:tcW w:w="1440" w:type="dxa"/>
            <w:vAlign w:val="bottom"/>
          </w:tcPr>
          <w:p>
            <w:pPr>
              <w:spacing w:after="0"/>
              <w:rPr>
                <w:sz w:val="13"/>
                <w:szCs w:val="13"/>
                <w:color w:val="auto"/>
              </w:rPr>
            </w:pPr>
          </w:p>
        </w:tc>
        <w:tc>
          <w:tcPr>
            <w:tcW w:w="1280" w:type="dxa"/>
            <w:vAlign w:val="bottom"/>
            <w:gridSpan w:val="3"/>
          </w:tcPr>
          <w:p>
            <w:pPr>
              <w:ind w:left="300"/>
              <w:spacing w:after="0" w:line="155" w:lineRule="exact"/>
              <w:rPr>
                <w:sz w:val="20"/>
                <w:szCs w:val="20"/>
                <w:color w:val="auto"/>
              </w:rPr>
            </w:pPr>
            <w:r>
              <w:rPr>
                <w:rFonts w:ascii="Arial" w:cs="Arial" w:eastAsia="Arial" w:hAnsi="Arial"/>
                <w:sz w:val="14"/>
                <w:szCs w:val="14"/>
                <w:b w:val="1"/>
                <w:bCs w:val="1"/>
                <w:color w:val="auto"/>
                <w:w w:val="99"/>
              </w:rPr>
              <w:t>(in thousands)</w:t>
            </w: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r>
    </w:tbl>
    <w:p>
      <w:pPr>
        <w:spacing w:after="0" w:line="20" w:lineRule="exact"/>
        <w:rPr>
          <w:sz w:val="20"/>
          <w:szCs w:val="20"/>
          <w:color w:val="auto"/>
        </w:rPr>
      </w:pPr>
    </w:p>
    <w:tbl>
      <w:tblPr>
        <w:tblLayout w:type="fixed"/>
        <w:tblInd w:w="300" w:type="dxa"/>
        <w:tblCellMar>
          <w:top w:w="0" w:type="dxa"/>
          <w:left w:w="0" w:type="dxa"/>
          <w:bottom w:w="0" w:type="dxa"/>
          <w:right w:w="0" w:type="dxa"/>
        </w:tblCellMar>
      </w:tblPr>
      <w:tr>
        <w:trPr>
          <w:trHeight w:val="183"/>
        </w:trPr>
        <w:tc>
          <w:tcPr>
            <w:tcW w:w="20" w:type="dxa"/>
            <w:vAlign w:val="bottom"/>
            <w:vMerge w:val="restart"/>
          </w:tcPr>
          <w:p>
            <w:pPr>
              <w:spacing w:after="0"/>
              <w:rPr>
                <w:sz w:val="15"/>
                <w:szCs w:val="15"/>
                <w:color w:val="auto"/>
              </w:rPr>
            </w:pPr>
          </w:p>
        </w:tc>
        <w:tc>
          <w:tcPr>
            <w:tcW w:w="41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40" w:type="dxa"/>
            <w:vAlign w:val="bottom"/>
          </w:tcPr>
          <w:p>
            <w:pPr>
              <w:spacing w:after="0" w:line="202" w:lineRule="exact"/>
              <w:rPr>
                <w:sz w:val="20"/>
                <w:szCs w:val="20"/>
                <w:color w:val="auto"/>
              </w:rPr>
            </w:pPr>
            <w:r>
              <w:rPr>
                <w:rFonts w:ascii="Arial" w:cs="Arial" w:eastAsia="Arial" w:hAnsi="Arial"/>
                <w:sz w:val="18"/>
                <w:szCs w:val="18"/>
                <w:color w:val="auto"/>
              </w:rPr>
              <w:t>Total Activated Policies</w:t>
            </w:r>
          </w:p>
        </w:tc>
        <w:tc>
          <w:tcPr>
            <w:tcW w:w="27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72</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128</w:t>
            </w:r>
          </w:p>
        </w:tc>
        <w:tc>
          <w:tcPr>
            <w:tcW w:w="420" w:type="dxa"/>
            <w:vAlign w:val="bottom"/>
          </w:tcPr>
          <w:p>
            <w:pPr>
              <w:spacing w:after="0"/>
              <w:rPr>
                <w:sz w:val="17"/>
                <w:szCs w:val="17"/>
                <w:color w:val="auto"/>
              </w:rPr>
            </w:pPr>
          </w:p>
        </w:tc>
        <w:tc>
          <w:tcPr>
            <w:tcW w:w="1600" w:type="dxa"/>
            <w:vAlign w:val="bottom"/>
            <w:gridSpan w:val="2"/>
          </w:tcPr>
          <w:p>
            <w:pPr>
              <w:jc w:val="right"/>
              <w:ind w:right="688"/>
              <w:spacing w:after="0" w:line="202" w:lineRule="exact"/>
              <w:rPr>
                <w:sz w:val="20"/>
                <w:szCs w:val="20"/>
                <w:color w:val="auto"/>
              </w:rPr>
            </w:pPr>
            <w:r>
              <w:rPr>
                <w:rFonts w:ascii="Arial" w:cs="Arial" w:eastAsia="Arial" w:hAnsi="Arial"/>
                <w:sz w:val="18"/>
                <w:szCs w:val="18"/>
                <w:color w:val="auto"/>
              </w:rPr>
              <w:t>89</w:t>
            </w:r>
          </w:p>
        </w:tc>
        <w:tc>
          <w:tcPr>
            <w:tcW w:w="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Revenue Per Unit</w:t>
            </w:r>
          </w:p>
        </w:tc>
        <w:tc>
          <w:tcPr>
            <w:tcW w:w="27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     2.2</w:t>
            </w:r>
          </w:p>
        </w:tc>
        <w:tc>
          <w:tcPr>
            <w:tcW w:w="138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     2.0</w:t>
            </w:r>
          </w:p>
        </w:tc>
        <w:tc>
          <w:tcPr>
            <w:tcW w:w="1600" w:type="dxa"/>
            <w:vAlign w:val="bottom"/>
            <w:gridSpan w:val="2"/>
            <w:shd w:val="clear" w:color="auto" w:fill="CCEEFF"/>
          </w:tcPr>
          <w:p>
            <w:pPr>
              <w:jc w:val="right"/>
              <w:ind w:right="688"/>
              <w:spacing w:after="0" w:line="202" w:lineRule="exact"/>
              <w:rPr>
                <w:sz w:val="20"/>
                <w:szCs w:val="20"/>
                <w:color w:val="auto"/>
              </w:rPr>
            </w:pPr>
            <w:r>
              <w:rPr>
                <w:rFonts w:ascii="Arial" w:cs="Arial" w:eastAsia="Arial" w:hAnsi="Arial"/>
                <w:sz w:val="18"/>
                <w:szCs w:val="18"/>
                <w:color w:val="auto"/>
              </w:rPr>
              <w:t>      2.1</w:t>
            </w:r>
          </w:p>
        </w:tc>
        <w:tc>
          <w:tcPr>
            <w:tcW w:w="60" w:type="dxa"/>
            <w:vAlign w:val="bottom"/>
            <w:shd w:val="clear" w:color="auto" w:fill="CCEEFF"/>
          </w:tcPr>
          <w:p>
            <w:pPr>
              <w:spacing w:after="0"/>
              <w:rPr>
                <w:sz w:val="20"/>
                <w:szCs w:val="20"/>
                <w:color w:val="auto"/>
              </w:rPr>
            </w:pPr>
            <w:r>
              <w:rPr>
                <w:rFonts w:ascii="Arial" w:cs="Arial" w:eastAsia="Arial" w:hAnsi="Arial"/>
                <w:sz w:val="4"/>
                <w:szCs w:val="4"/>
                <w:color w:val="auto"/>
                <w:w w:val="98"/>
              </w:rPr>
              <w:t> </w:t>
            </w:r>
          </w:p>
        </w:tc>
        <w:tc>
          <w:tcPr>
            <w:tcW w:w="6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1.9</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24"/>
                <w:szCs w:val="24"/>
                <w:color w:val="auto"/>
              </w:rPr>
            </w:pPr>
          </w:p>
        </w:tc>
        <w:tc>
          <w:tcPr>
            <w:tcW w:w="1400" w:type="dxa"/>
            <w:vAlign w:val="bottom"/>
            <w:gridSpan w:val="2"/>
          </w:tcPr>
          <w:p>
            <w:pPr>
              <w:jc w:val="center"/>
              <w:ind w:left="388"/>
              <w:spacing w:after="0"/>
              <w:rPr>
                <w:sz w:val="20"/>
                <w:szCs w:val="20"/>
                <w:color w:val="auto"/>
              </w:rPr>
            </w:pPr>
            <w:r>
              <w:rPr>
                <w:rFonts w:ascii="Arial" w:cs="Arial" w:eastAsia="Arial" w:hAnsi="Arial"/>
                <w:sz w:val="14"/>
                <w:szCs w:val="14"/>
                <w:b w:val="1"/>
                <w:bCs w:val="1"/>
                <w:color w:val="auto"/>
              </w:rPr>
              <w:t>Nine Months</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20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4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2024</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Borders>
              <w:top w:val="single" w:sz="8" w:color="auto"/>
            </w:tcBorders>
          </w:tcPr>
          <w:p>
            <w:pPr>
              <w:jc w:val="right"/>
              <w:ind w:right="828"/>
              <w:spacing w:after="0" w:line="155" w:lineRule="exact"/>
              <w:rPr>
                <w:sz w:val="20"/>
                <w:szCs w:val="20"/>
                <w:color w:val="auto"/>
              </w:rPr>
            </w:pPr>
            <w:r>
              <w:rPr>
                <w:rFonts w:ascii="Arial" w:cs="Arial" w:eastAsia="Arial" w:hAnsi="Arial"/>
                <w:sz w:val="14"/>
                <w:szCs w:val="14"/>
                <w:b w:val="1"/>
                <w:bCs w:val="1"/>
                <w:color w:val="auto"/>
              </w:rPr>
              <w:t>2024</w:t>
            </w: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w w:val="96"/>
              </w:rPr>
              <w:t>2025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Borders>
              <w:top w:val="single" w:sz="8" w:color="auto"/>
            </w:tcBorders>
          </w:tcPr>
          <w:p>
            <w:pPr>
              <w:jc w:val="center"/>
              <w:ind w:left="448"/>
              <w:spacing w:after="0" w:line="147" w:lineRule="exact"/>
              <w:rPr>
                <w:sz w:val="20"/>
                <w:szCs w:val="20"/>
                <w:color w:val="auto"/>
              </w:rPr>
            </w:pPr>
            <w:r>
              <w:rPr>
                <w:rFonts w:ascii="Arial" w:cs="Arial" w:eastAsia="Arial" w:hAnsi="Arial"/>
                <w:sz w:val="14"/>
                <w:szCs w:val="14"/>
                <w:b w:val="1"/>
                <w:bCs w:val="1"/>
                <w:color w:val="auto"/>
              </w:rPr>
              <w:t>(unaudited)</w:t>
            </w: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80" w:type="dxa"/>
            <w:vAlign w:val="bottom"/>
            <w:gridSpan w:val="5"/>
          </w:tcPr>
          <w:p>
            <w:pPr>
              <w:jc w:val="right"/>
              <w:ind w:right="528"/>
              <w:spacing w:after="0"/>
              <w:rPr>
                <w:sz w:val="20"/>
                <w:szCs w:val="20"/>
                <w:color w:val="auto"/>
              </w:rPr>
            </w:pPr>
            <w:r>
              <w:rPr>
                <w:rFonts w:ascii="Arial" w:cs="Arial" w:eastAsia="Arial" w:hAnsi="Arial"/>
                <w:sz w:val="14"/>
                <w:szCs w:val="14"/>
                <w:b w:val="1"/>
                <w:bCs w:val="1"/>
                <w:color w:val="auto"/>
              </w:rPr>
              <w:t>(in millions, except percentages)</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154</w:t>
            </w:r>
          </w:p>
        </w:tc>
        <w:tc>
          <w:tcPr>
            <w:tcW w:w="32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248</w:t>
            </w:r>
          </w:p>
        </w:tc>
        <w:tc>
          <w:tcPr>
            <w:tcW w:w="420" w:type="dxa"/>
            <w:vAlign w:val="bottom"/>
          </w:tcPr>
          <w:p>
            <w:pPr>
              <w:spacing w:after="0"/>
              <w:rPr>
                <w:sz w:val="17"/>
                <w:szCs w:val="17"/>
                <w:color w:val="auto"/>
              </w:rPr>
            </w:pPr>
          </w:p>
        </w:tc>
        <w:tc>
          <w:tcPr>
            <w:tcW w:w="1600" w:type="dxa"/>
            <w:vAlign w:val="bottom"/>
            <w:gridSpan w:val="2"/>
          </w:tcPr>
          <w:p>
            <w:pPr>
              <w:jc w:val="right"/>
              <w:ind w:right="688"/>
              <w:spacing w:after="0" w:line="202" w:lineRule="exact"/>
              <w:rPr>
                <w:sz w:val="20"/>
                <w:szCs w:val="20"/>
                <w:color w:val="auto"/>
              </w:rPr>
            </w:pPr>
            <w:r>
              <w:rPr>
                <w:rFonts w:ascii="Arial" w:cs="Arial" w:eastAsia="Arial" w:hAnsi="Arial"/>
                <w:sz w:val="18"/>
                <w:szCs w:val="18"/>
                <w:color w:val="auto"/>
              </w:rPr>
              <w:t>183</w:t>
            </w:r>
          </w:p>
        </w:tc>
        <w:tc>
          <w:tcPr>
            <w:tcW w:w="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273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i w:val="1"/>
                <w:iCs w:val="1"/>
                <w:color w:val="auto"/>
              </w:rPr>
              <w:t>Gross Margin</w:t>
            </w:r>
          </w:p>
        </w:tc>
        <w:tc>
          <w:tcPr>
            <w:tcW w:w="27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i w:val="1"/>
                <w:iCs w:val="1"/>
                <w:color w:val="auto"/>
              </w:rPr>
              <w:t>96%</w:t>
            </w:r>
          </w:p>
        </w:tc>
        <w:tc>
          <w:tcPr>
            <w:tcW w:w="13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97%</w:t>
            </w:r>
          </w:p>
        </w:tc>
        <w:tc>
          <w:tcPr>
            <w:tcW w:w="1600" w:type="dxa"/>
            <w:vAlign w:val="bottom"/>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i w:val="1"/>
                <w:iCs w:val="1"/>
                <w:color w:val="auto"/>
              </w:rPr>
              <w:t>97%</w:t>
            </w: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i w:val="1"/>
                <w:iCs w:val="1"/>
                <w:color w:val="auto"/>
              </w:rPr>
              <w:t>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Pr>
          <w:p>
            <w:pPr>
              <w:spacing w:after="0" w:line="202" w:lineRule="exact"/>
              <w:rPr>
                <w:sz w:val="20"/>
                <w:szCs w:val="20"/>
                <w:color w:val="auto"/>
              </w:rPr>
            </w:pPr>
            <w:r>
              <w:rPr>
                <w:rFonts w:ascii="Arial" w:cs="Arial" w:eastAsia="Arial" w:hAnsi="Arial"/>
                <w:sz w:val="16"/>
                <w:szCs w:val="16"/>
                <w:color w:val="auto"/>
              </w:rPr>
              <w:t>Contribution Profit</w:t>
            </w:r>
            <w:r>
              <w:rPr>
                <w:rFonts w:ascii="Arial" w:cs="Arial" w:eastAsia="Arial" w:hAnsi="Arial"/>
                <w:sz w:val="23"/>
                <w:szCs w:val="23"/>
                <w:color w:val="auto"/>
                <w:vertAlign w:val="superscript"/>
              </w:rPr>
              <w:t>(1)</w:t>
            </w:r>
          </w:p>
        </w:tc>
        <w:tc>
          <w:tcPr>
            <w:tcW w:w="27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51</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w:t>
            </w:r>
          </w:p>
        </w:tc>
        <w:tc>
          <w:tcPr>
            <w:tcW w:w="420" w:type="dxa"/>
            <w:vAlign w:val="bottom"/>
          </w:tcPr>
          <w:p>
            <w:pPr>
              <w:spacing w:after="0"/>
              <w:rPr>
                <w:sz w:val="17"/>
                <w:szCs w:val="17"/>
                <w:color w:val="auto"/>
              </w:rPr>
            </w:pPr>
          </w:p>
        </w:tc>
        <w:tc>
          <w:tcPr>
            <w:tcW w:w="1600" w:type="dxa"/>
            <w:vAlign w:val="bottom"/>
            <w:gridSpan w:val="2"/>
          </w:tcPr>
          <w:p>
            <w:pPr>
              <w:jc w:val="right"/>
              <w:ind w:right="688"/>
              <w:spacing w:after="0" w:line="202" w:lineRule="exact"/>
              <w:rPr>
                <w:sz w:val="20"/>
                <w:szCs w:val="20"/>
                <w:color w:val="auto"/>
              </w:rPr>
            </w:pPr>
            <w:r>
              <w:rPr>
                <w:rFonts w:ascii="Arial" w:cs="Arial" w:eastAsia="Arial" w:hAnsi="Arial"/>
                <w:sz w:val="18"/>
                <w:szCs w:val="18"/>
                <w:color w:val="auto"/>
              </w:rPr>
              <w:t>76</w:t>
            </w:r>
          </w:p>
        </w:tc>
        <w:tc>
          <w:tcPr>
            <w:tcW w:w="6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ind w:left="160"/>
              <w:spacing w:after="0" w:line="202" w:lineRule="exact"/>
              <w:rPr>
                <w:sz w:val="20"/>
                <w:szCs w:val="20"/>
                <w:color w:val="auto"/>
              </w:rPr>
            </w:pPr>
            <w:r>
              <w:rPr>
                <w:rFonts w:ascii="Arial" w:cs="Arial" w:eastAsia="Arial" w:hAnsi="Arial"/>
                <w:sz w:val="16"/>
                <w:szCs w:val="16"/>
                <w:i w:val="1"/>
                <w:iCs w:val="1"/>
                <w:color w:val="auto"/>
              </w:rPr>
              <w:t>Contribution Margin</w:t>
            </w:r>
            <w:r>
              <w:rPr>
                <w:rFonts w:ascii="Arial" w:cs="Arial" w:eastAsia="Arial" w:hAnsi="Arial"/>
                <w:sz w:val="23"/>
                <w:szCs w:val="23"/>
                <w:color w:val="auto"/>
                <w:vertAlign w:val="superscript"/>
              </w:rPr>
              <w:t>(1)</w:t>
            </w:r>
          </w:p>
        </w:tc>
        <w:tc>
          <w:tcPr>
            <w:tcW w:w="27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i w:val="1"/>
                <w:iCs w:val="1"/>
                <w:color w:val="auto"/>
              </w:rPr>
              <w:t>32%</w:t>
            </w:r>
          </w:p>
        </w:tc>
        <w:tc>
          <w:tcPr>
            <w:tcW w:w="13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i w:val="1"/>
                <w:iCs w:val="1"/>
                <w:color w:val="auto"/>
              </w:rPr>
              <w:t>41%</w:t>
            </w:r>
          </w:p>
        </w:tc>
        <w:tc>
          <w:tcPr>
            <w:tcW w:w="1600" w:type="dxa"/>
            <w:vAlign w:val="bottom"/>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i w:val="1"/>
                <w:iCs w:val="1"/>
                <w:color w:val="auto"/>
              </w:rPr>
              <w:t>40%</w:t>
            </w: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i w:val="1"/>
                <w:iCs w:val="1"/>
                <w:color w:val="auto"/>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2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138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49</w:t>
            </w:r>
          </w:p>
        </w:tc>
        <w:tc>
          <w:tcPr>
            <w:tcW w:w="1600" w:type="dxa"/>
            <w:vAlign w:val="bottom"/>
            <w:gridSpan w:val="2"/>
          </w:tcPr>
          <w:p>
            <w:pPr>
              <w:jc w:val="right"/>
              <w:ind w:right="688"/>
              <w:spacing w:after="0" w:line="202" w:lineRule="exact"/>
              <w:rPr>
                <w:sz w:val="20"/>
                <w:szCs w:val="20"/>
                <w:color w:val="auto"/>
              </w:rPr>
            </w:pPr>
            <w:r>
              <w:rPr>
                <w:rFonts w:ascii="Arial" w:cs="Arial" w:eastAsia="Arial" w:hAnsi="Arial"/>
                <w:sz w:val="18"/>
                <w:szCs w:val="18"/>
                <w:color w:val="auto"/>
              </w:rPr>
              <w:t>39</w:t>
            </w:r>
          </w:p>
        </w:tc>
        <w:tc>
          <w:tcPr>
            <w:tcW w:w="6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i w:val="1"/>
                <w:iCs w:val="1"/>
                <w:color w:val="auto"/>
              </w:rPr>
              <w:t>Net Income Margin</w:t>
            </w:r>
          </w:p>
        </w:tc>
        <w:tc>
          <w:tcPr>
            <w:tcW w:w="27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i w:val="1"/>
                <w:iCs w:val="1"/>
                <w:color w:val="auto"/>
              </w:rPr>
              <w:t>1%</w:t>
            </w:r>
          </w:p>
        </w:tc>
        <w:tc>
          <w:tcPr>
            <w:tcW w:w="13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i w:val="1"/>
                <w:iCs w:val="1"/>
                <w:color w:val="auto"/>
              </w:rPr>
              <w:t>19%</w:t>
            </w:r>
          </w:p>
        </w:tc>
        <w:tc>
          <w:tcPr>
            <w:tcW w:w="1600" w:type="dxa"/>
            <w:vAlign w:val="bottom"/>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i w:val="1"/>
                <w:iCs w:val="1"/>
                <w:color w:val="auto"/>
              </w:rPr>
              <w:t>21%</w:t>
            </w: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i w:val="1"/>
                <w:iCs w:val="1"/>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Pr>
          <w:p>
            <w:pPr>
              <w:spacing w:after="0" w:line="202" w:lineRule="exact"/>
              <w:rPr>
                <w:sz w:val="20"/>
                <w:szCs w:val="20"/>
                <w:color w:val="auto"/>
              </w:rPr>
            </w:pPr>
            <w:r>
              <w:rPr>
                <w:rFonts w:ascii="Arial" w:cs="Arial" w:eastAsia="Arial" w:hAnsi="Arial"/>
                <w:sz w:val="16"/>
                <w:szCs w:val="16"/>
                <w:color w:val="auto"/>
              </w:rPr>
              <w:t>Adjusted EBITDA</w:t>
            </w:r>
            <w:r>
              <w:rPr>
                <w:rFonts w:ascii="Arial" w:cs="Arial" w:eastAsia="Arial" w:hAnsi="Arial"/>
                <w:sz w:val="23"/>
                <w:szCs w:val="23"/>
                <w:color w:val="auto"/>
                <w:vertAlign w:val="superscript"/>
              </w:rPr>
              <w:t>(1)</w:t>
            </w:r>
          </w:p>
        </w:tc>
        <w:tc>
          <w:tcPr>
            <w:tcW w:w="2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w:t>
            </w:r>
          </w:p>
        </w:tc>
        <w:tc>
          <w:tcPr>
            <w:tcW w:w="320" w:type="dxa"/>
            <w:vAlign w:val="bottom"/>
          </w:tcPr>
          <w:p>
            <w:pPr>
              <w:spacing w:after="0"/>
              <w:rPr>
                <w:sz w:val="17"/>
                <w:szCs w:val="17"/>
                <w:color w:val="auto"/>
              </w:rPr>
            </w:pPr>
          </w:p>
        </w:tc>
        <w:tc>
          <w:tcPr>
            <w:tcW w:w="138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58</w:t>
            </w:r>
          </w:p>
        </w:tc>
        <w:tc>
          <w:tcPr>
            <w:tcW w:w="1600" w:type="dxa"/>
            <w:vAlign w:val="bottom"/>
            <w:gridSpan w:val="2"/>
          </w:tcPr>
          <w:p>
            <w:pPr>
              <w:jc w:val="right"/>
              <w:ind w:right="688"/>
              <w:spacing w:after="0" w:line="202" w:lineRule="exact"/>
              <w:rPr>
                <w:sz w:val="20"/>
                <w:szCs w:val="20"/>
                <w:color w:val="auto"/>
              </w:rPr>
            </w:pPr>
            <w:r>
              <w:rPr>
                <w:rFonts w:ascii="Arial" w:cs="Arial" w:eastAsia="Arial" w:hAnsi="Arial"/>
                <w:sz w:val="18"/>
                <w:szCs w:val="18"/>
                <w:color w:val="auto"/>
              </w:rPr>
              <w:t>43</w:t>
            </w:r>
          </w:p>
        </w:tc>
        <w:tc>
          <w:tcPr>
            <w:tcW w:w="6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ind w:left="160"/>
              <w:spacing w:after="0" w:line="202" w:lineRule="exact"/>
              <w:rPr>
                <w:sz w:val="20"/>
                <w:szCs w:val="20"/>
                <w:color w:val="auto"/>
              </w:rPr>
            </w:pPr>
            <w:r>
              <w:rPr>
                <w:rFonts w:ascii="Arial" w:cs="Arial" w:eastAsia="Arial" w:hAnsi="Arial"/>
                <w:sz w:val="16"/>
                <w:szCs w:val="16"/>
                <w:i w:val="1"/>
                <w:iCs w:val="1"/>
                <w:color w:val="auto"/>
              </w:rPr>
              <w:t>Adjusted EBITDA Margin</w:t>
            </w:r>
            <w:r>
              <w:rPr>
                <w:rFonts w:ascii="Arial" w:cs="Arial" w:eastAsia="Arial" w:hAnsi="Arial"/>
                <w:sz w:val="23"/>
                <w:szCs w:val="23"/>
                <w:color w:val="auto"/>
                <w:vertAlign w:val="superscript"/>
              </w:rPr>
              <w:t>(1)</w:t>
            </w:r>
          </w:p>
        </w:tc>
        <w:tc>
          <w:tcPr>
            <w:tcW w:w="27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i w:val="1"/>
                <w:iCs w:val="1"/>
                <w:color w:val="auto"/>
              </w:rPr>
              <w:t>4%</w:t>
            </w:r>
          </w:p>
        </w:tc>
        <w:tc>
          <w:tcPr>
            <w:tcW w:w="13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i w:val="1"/>
                <w:iCs w:val="1"/>
                <w:color w:val="auto"/>
              </w:rPr>
              <w:t>23%</w:t>
            </w:r>
          </w:p>
        </w:tc>
        <w:tc>
          <w:tcPr>
            <w:tcW w:w="1600" w:type="dxa"/>
            <w:vAlign w:val="bottom"/>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i w:val="1"/>
                <w:iCs w:val="1"/>
                <w:color w:val="auto"/>
              </w:rPr>
              <w:t>23%</w:t>
            </w: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i w:val="1"/>
                <w:iCs w:val="1"/>
                <w:color w:val="auto"/>
              </w:rPr>
              <w:t>23%</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820" w:right="20" w:hanging="522"/>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Contribution Profit, Contribution Margin, Adjusted EBITDA, and Adjusted EBITDA Margin are not calculated in accordance with generally accepted accounting principles in the United States, or GAAP. For more information regarding our use of Contribution Profit, Contribution Margin, Adjusted EBITDA, and Adjusted EBITDA Margin and a reconciliation of Contribution Profit to Gross Profit, Contribution Margin to Gross Margin, Adjusted EBITDA to Net Income, and Adjusted EBITDA Margin to Net Income Margin, the most directly comparable financial measures calculated in accordance with GAAP, see the section titled “Management’s Discussion and Analysis of Financial Condition and Results of Operations—Key Business Metrics and Non-GAAP Financial Measures.”</w:t>
      </w:r>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320" w:top="455" w:right="6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4" w:lineRule="exact"/>
        <w:rPr>
          <w:sz w:val="20"/>
          <w:szCs w:val="20"/>
          <w:color w:val="auto"/>
        </w:rPr>
      </w:pPr>
    </w:p>
    <w:p>
      <w:pPr>
        <w:ind w:left="120" w:right="180" w:firstLine="551"/>
        <w:spacing w:after="0" w:line="241"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following risks, together with all of the other information contained in this prospectus, including our consolidated financial statements and the related notes included elsewhere in this prospectus, before making a decision to invest in our common stock. Any of the following risks could have an adverse effect on our business, financial condition, operating results, or prospects and could cause the trading price of our common stock to decline, which could cause you to lose part or all of your investment. Our business, financial condition, operating results, or prospects could also be harmed by risks and uncertainties not currently known to us or that we currently do not believe are material.</w:t>
      </w: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Business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a history of losses, and while we have recently achieved profitability, we may not sustain it in the future.</w:t>
      </w:r>
    </w:p>
    <w:p>
      <w:pPr>
        <w:spacing w:after="0" w:line="21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have historically incurred net losses since our inception in 2016 and only recently achieved profitability in the year ended December 31, 2023. There is no guarantee that we will maintain profitability as we continue to invest in our business. We expect to make significant investments to further develop and expand our business. In particular, we expect to continue to expend substantial financial and other resources on marketing and advertising as part of our strategy to increase the number of new policies activated on our platform and expand our agency relationships, carrier relationships, and product offerings. We also expect to expend financial and other resources on research and development to further enhance our technology platform and underwriting capabilities. The timing and magnitude of revenue growth from activating new policies may not align with the period in which we incur operating expenses. This timing difference may result in expenses exceeding revenue in certain periods, impacting margins, profitability, and cash flow. As a public company, we will incur significant legal, accounting, and other expenses that we did not incur as a private company. If we fail to increase revenue on the timeline that we expect or in an amount sufficient to offset these costs, we may not be able to sustain profitability. Moreover, if our revenue declines, we may be unable to reduce costs in a timely manner as many of our costs are fixed, at least in the short term. In addition, if we reduce variable costs to respond to losses, such as costs associated with marketing activities, this may negatively impact the number of policies activated, as well as agent sales through our platform.</w:t>
      </w:r>
    </w:p>
    <w:p>
      <w:pPr>
        <w:spacing w:after="0" w:line="180"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In addition, following the closing of this offering, the stock-based compensation expense related to our RSUs will result in significant increases in our expenses in future periods, which may negatively impact our ability to maintain profitability. In particular, in the quarter in which this offering is completed, we will recognize approximately $        million of stock-based compensation expense associated with the satisfaction of the liquidity event-based condition for certain outstanding RSUs, for which the service-based conditions have been fully or partially satisfied prior to the closing of this offering, which will also negatively impact our cash flow for that quarter.</w:t>
      </w:r>
    </w:p>
    <w:p>
      <w:pPr>
        <w:spacing w:after="0" w:line="176" w:lineRule="exact"/>
        <w:rPr>
          <w:sz w:val="20"/>
          <w:szCs w:val="20"/>
          <w:color w:val="auto"/>
        </w:rPr>
      </w:pPr>
    </w:p>
    <w:p>
      <w:pPr>
        <w:ind w:left="120" w:right="400" w:firstLine="551"/>
        <w:spacing w:after="0" w:line="271" w:lineRule="auto"/>
        <w:rPr>
          <w:sz w:val="20"/>
          <w:szCs w:val="20"/>
          <w:color w:val="auto"/>
        </w:rPr>
      </w:pPr>
      <w:r>
        <w:rPr>
          <w:rFonts w:ascii="Arial" w:cs="Arial" w:eastAsia="Arial" w:hAnsi="Arial"/>
          <w:sz w:val="18"/>
          <w:szCs w:val="18"/>
          <w:color w:val="auto"/>
        </w:rPr>
        <w:t>While we have demonstrated the ability to reach profitability, we may not maintain it in the future, and we may continue to incur significant losses.</w:t>
      </w:r>
    </w:p>
    <w:p>
      <w:pPr>
        <w:spacing w:after="0" w:line="156" w:lineRule="exact"/>
        <w:rPr>
          <w:sz w:val="20"/>
          <w:szCs w:val="20"/>
          <w:color w:val="auto"/>
        </w:rPr>
      </w:pPr>
    </w:p>
    <w:p>
      <w:pPr>
        <w:ind w:left="120" w:right="300" w:firstLine="551"/>
        <w:spacing w:after="0" w:line="278" w:lineRule="auto"/>
        <w:rPr>
          <w:sz w:val="20"/>
          <w:szCs w:val="20"/>
          <w:color w:val="auto"/>
        </w:rPr>
      </w:pPr>
      <w:r>
        <w:rPr>
          <w:rFonts w:ascii="Arial" w:cs="Arial" w:eastAsia="Arial" w:hAnsi="Arial"/>
          <w:sz w:val="18"/>
          <w:szCs w:val="18"/>
          <w:b w:val="1"/>
          <w:bCs w:val="1"/>
          <w:i w:val="1"/>
          <w:iCs w:val="1"/>
          <w:color w:val="auto"/>
        </w:rPr>
        <w:t>We have a limited history operating our business at its current scale, scope, and complexity, which makes it difficult to plan for future operations and growth initiatives and predict future results.</w:t>
      </w:r>
    </w:p>
    <w:p>
      <w:pPr>
        <w:spacing w:after="0" w:line="139" w:lineRule="exact"/>
        <w:rPr>
          <w:sz w:val="20"/>
          <w:szCs w:val="20"/>
          <w:color w:val="auto"/>
        </w:rPr>
      </w:pPr>
    </w:p>
    <w:p>
      <w:pPr>
        <w:ind w:left="120" w:right="100" w:firstLine="551"/>
        <w:spacing w:after="0" w:line="271" w:lineRule="auto"/>
        <w:rPr>
          <w:sz w:val="20"/>
          <w:szCs w:val="20"/>
          <w:color w:val="auto"/>
        </w:rPr>
      </w:pPr>
      <w:r>
        <w:rPr>
          <w:rFonts w:ascii="Arial" w:cs="Arial" w:eastAsia="Arial" w:hAnsi="Arial"/>
          <w:sz w:val="18"/>
          <w:szCs w:val="18"/>
          <w:color w:val="auto"/>
        </w:rPr>
        <w:t>We have limited experience operating our business at its current scale, scope, and complexity, particularly given the recent growth in our carrier and agency relationships. Our limited history and</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experience operating our current business may negatively impact our ability to accurately predict our future results and plan strategic investments and initiatives to further expand our business and offerings, including to support agencies and carriers with whom we work, certain of which may require changes to our liquidity strategy and cash flow management, as well as to maintain or improve efficiency in our operations and costs. For example, changes in observed persistency from unexpected termination trends have in the past resulted in and could in the future result in similar changes to persistency estimates, leading to in-period adjustments to our revenue as such changes are applied to previously activated policies and impact on revenue recognized for newly activated policies. Several factors have resulted in, and may in the future result in, such fluctuations in our persistency estimates, including when we begin working with new carriers or introduce new products, as we have limited historical data on policy terminations and resulting persistency in such cases to help inform our persistency estimates. Further, as we continue to scale our platform and increase the total number of activated policies at any given time, we may experience larger and more frequent in-period adjustments to revenue in respect of previously activated policies as well as greater variation in persistency estimates for newly activated policies, as a larger number of activated policies contribute to and impact observed persistency as well as persistency estimates. We also have limited experience with the post-issue audit and termination practices with new carriers. Policies and practices relating to carrier implementation of the results of our post-issue audits, and ensuing policy terminations by carriers, can differ across carriers or for the same carrier across periods for various factors that are outside of our control and over which we have limited to no visibility. If these carrier actions following our post-issue audits are delayed for any reason, or if carriers do not implement our recommendations as we expect, we have at times experienced and in the future may experience an outsized amount of policy terminations concentrated in certain periods when such carriers address their backlog of policy audits, impacting persistency and persistency estimates for the relevant periods and resulting in fluctuations in revenue growth. These dynamics have negatively impacted and may in the future negatively impact our ability to accurately predict future revenue and cash flows and may in future periods result in unexpected differences between actual results compared to our forecasts.</w:t>
      </w:r>
    </w:p>
    <w:p>
      <w:pPr>
        <w:spacing w:after="0" w:line="195" w:lineRule="exact"/>
        <w:rPr>
          <w:sz w:val="20"/>
          <w:szCs w:val="20"/>
          <w:color w:val="auto"/>
        </w:rPr>
      </w:pPr>
    </w:p>
    <w:p>
      <w:pPr>
        <w:ind w:left="120" w:right="280" w:firstLine="551"/>
        <w:spacing w:after="0" w:line="247" w:lineRule="auto"/>
        <w:rPr>
          <w:sz w:val="20"/>
          <w:szCs w:val="20"/>
          <w:color w:val="auto"/>
        </w:rPr>
      </w:pPr>
      <w:r>
        <w:rPr>
          <w:rFonts w:ascii="Arial" w:cs="Arial" w:eastAsia="Arial" w:hAnsi="Arial"/>
          <w:sz w:val="18"/>
          <w:szCs w:val="18"/>
          <w:color w:val="auto"/>
        </w:rPr>
        <w:t>We also have limited experience with our third-party channel, which is becoming an increasingly significant portion of our total revenue and growth strategy. In particular, as we expand our agency relationships, we have faced and may continue to face increased pressure to offer higher agent compensation or incentives, which could harm our margins and profitability even if agent engagement on our platform is sustained or grows.</w:t>
      </w:r>
    </w:p>
    <w:p>
      <w:pPr>
        <w:spacing w:after="0" w:line="174"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You should consider and evaluate our prospects in light of the risks and uncertainties frequently encountered by growing companies in rapidly evolving markets, in particular, markets that are or could be materially impacted by macroeconomic uncertainty such as the life insurance industry. If our assumptions regarding the risks and uncertainties that we consider in planning and operating our business are incorrect or change, or if we do not address these risks and uncertainties successfully, including due to the lack of historical data from and experience in operating our business at its current scale and scope of offerings, our results of operations could differ materially from our expectations, and our business, financial condition, and results of operations could be adversely affected.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could be harmed if we fail to manage our growth effectively.</w:t>
      </w:r>
    </w:p>
    <w:p>
      <w:pPr>
        <w:spacing w:after="0" w:line="210"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While we have experienced rapid growth in recent periods, we may be unable to manage our growth successfully, and our recent growth rates may not be indicative of our future growth. The scalability and extensibility of our platform and our overall growth depends on the functionality of our technology and network infrastructure and its ability to handle increased traffic and demand for bandwidth, particularly as we expand our product offerings and agency relationships. The growth in consumers, agents, and carriers using our platform and the insurance product sales processed through our platform have increased the amount of data and requests that we process. Any problems with the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0"/>
        <w:spacing w:after="0" w:line="253" w:lineRule="auto"/>
        <w:rPr>
          <w:sz w:val="20"/>
          <w:szCs w:val="20"/>
          <w:color w:val="auto"/>
        </w:rPr>
      </w:pPr>
      <w:r>
        <w:rPr>
          <w:rFonts w:ascii="Arial" w:cs="Arial" w:eastAsia="Arial" w:hAnsi="Arial"/>
          <w:sz w:val="18"/>
          <w:szCs w:val="18"/>
          <w:color w:val="auto"/>
        </w:rPr>
        <w:t>transmission of increased data and requests could result in harm to our brand or reputation. Moreover, as our business grows, we will need to devote additional resources to improving our operational infrastructure and continuing to enhance its scalability in order to maintain the performance of our platform.</w:t>
      </w:r>
    </w:p>
    <w:p>
      <w:pPr>
        <w:spacing w:after="0" w:line="169" w:lineRule="exact"/>
        <w:rPr>
          <w:sz w:val="20"/>
          <w:szCs w:val="20"/>
          <w:color w:val="auto"/>
        </w:rPr>
      </w:pPr>
    </w:p>
    <w:p>
      <w:pPr>
        <w:ind w:left="120" w:right="320" w:firstLine="551"/>
        <w:spacing w:after="0" w:line="253" w:lineRule="auto"/>
        <w:rPr>
          <w:sz w:val="20"/>
          <w:szCs w:val="20"/>
          <w:color w:val="auto"/>
        </w:rPr>
      </w:pPr>
      <w:r>
        <w:rPr>
          <w:rFonts w:ascii="Arial" w:cs="Arial" w:eastAsia="Arial" w:hAnsi="Arial"/>
          <w:sz w:val="18"/>
          <w:szCs w:val="18"/>
          <w:color w:val="auto"/>
        </w:rPr>
        <w:t>If we are unable to scale our support and operational processes effectively, the quality of the experience for consumers, agents, and agencies could suffer. This may negatively impact agent engagement and retention as well as our relationships with carriers and agencies, conversion rates, and consumer satisfaction.</w:t>
      </w:r>
    </w:p>
    <w:p>
      <w:pPr>
        <w:spacing w:after="0" w:line="169"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color w:val="auto"/>
        </w:rPr>
        <w:t>As we expand our business, we may also face integration challenges as well as potential unknown liabilities and reputational concerns in connection with third-party agencies or carriers we work with, including challenges, liabilities, and concerns that may impact and cause fluctuations in our financial results. For example, when working with new carriers or new products with existing carriers, our limited historical experience and data may result in more frequent changes to persistency and resulting persistency estimates, which can result in more frequent adjustments to revenue in future periods. We intend to further expand our overall business but our revenue may not continue to grow. As part of that expansion, we expect to grow our team across various functions, which will increase our costs and the complexity of our operations and place additional demands on our management, systems, and infrastructure. If we are unable to manage operational and integration challenges, or suffer unknown liabilities and reputational damage, our business may be adversely affected.</w:t>
      </w:r>
    </w:p>
    <w:p>
      <w:pPr>
        <w:spacing w:after="0" w:line="168"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As we grow, we will be required to continue to improve our financial controls and procedures, and we may not be able to do so effectively. For example risk of compliance failures may increase if our internal controls and systems do not keep pace with evolving regulatory requirements or increased transaction volumes. In addition, as the volume of personal and sensitive data we process increases, so does the importance of maintaining robust data privacy and security protections. We have been the subject of, and may in the future be exposed to, regulatory investigations and actions, which may result in reputational harm and a loss of trust among our consumers and counterparties.</w:t>
      </w:r>
    </w:p>
    <w:p>
      <w:pPr>
        <w:spacing w:after="0" w:line="181" w:lineRule="exact"/>
        <w:rPr>
          <w:sz w:val="20"/>
          <w:szCs w:val="20"/>
          <w:color w:val="auto"/>
        </w:rPr>
      </w:pPr>
    </w:p>
    <w:p>
      <w:pPr>
        <w:jc w:val="both"/>
        <w:ind w:left="120" w:right="140" w:firstLine="551"/>
        <w:spacing w:after="0" w:line="256" w:lineRule="auto"/>
        <w:rPr>
          <w:sz w:val="20"/>
          <w:szCs w:val="20"/>
          <w:color w:val="auto"/>
        </w:rPr>
      </w:pPr>
      <w:r>
        <w:rPr>
          <w:rFonts w:ascii="Arial" w:cs="Arial" w:eastAsia="Arial" w:hAnsi="Arial"/>
          <w:sz w:val="18"/>
          <w:szCs w:val="18"/>
          <w:b w:val="1"/>
          <w:bCs w:val="1"/>
          <w:i w:val="1"/>
          <w:iCs w:val="1"/>
          <w:color w:val="auto"/>
        </w:rPr>
        <w:t>Revenue we earn on the sale of insurance products is based on premiums set by carriers, and any meaningful change in these premiums, or any decrease in commission rates that we negotiate with our carriers based on such premiums, or actions by carriers seeking repayment of commissions, could adversely impact our revenue.</w:t>
      </w:r>
    </w:p>
    <w:p>
      <w:pPr>
        <w:spacing w:after="0" w:line="159"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We derive revenue from commissions on the sale of insurance products that are paid by the carriers from whom our consumers purchase insurance. We negotiate commission rates with our carriers, which are a percentage of premiums that the carriers charge our consumers. Premiums vary by insurance product provided by carriers, and we do not set the insurance premiums on which our commissions are based. Our consumers’ eligibility for insurance products, as determined through our underwriting processes, impacts the selection of products available to consumers, and as a result, the product mix sold on our platform and for which we receive commissions. Average premiums and underwriting criteria may still change significantly in response to shifts in interest rates, mortality trends, other market or regulatory developments and macroeconomic conditions, as well as carrier pricing strategies. In addition, capacity could be reduced by carriers failing or withdrawing from writing certain coverages that we offer our consumers. Commission rates and premiums can change based on prevailing legislative, economic, and competitive factors that affect carriers. These factors, which are not within our control, include the capacity of carriers to place new business, underwriting and non-underwriting profits of carriers, consumer demand for insurance products, the availability of comparable products from other carriers at a lower cost, and the availability of alternative insurance products to consumers. Because we cannot predict or control these factors, our revenue, margins, and profitability may be volatile. These changes could reduce the volume of policies sold through our platform or our third-party channel and impact our ability to generate revenue.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As carriers continue to refine their distribution strategies, they may seek to further minimize their expenses by reducing the commission rates payable to insurance agents, brokers, or platforms like ours. The reduction of these commission rates, along with fluctuations in life insurance premiums, may significantly affect our revenue growth, margins, and profitability. Because we do not determine the timing or extent of premium pricing changes, it may be difficult to precisely forecast changes in our revenue. As a result, we may have to adjust our budgets for future operational and capital expenditures and other expenditures to account for unexpected changes in revenue, and any changes in premium rates or reduction in commission rates may adversely affect our business, financial condition, and results of operations.</w:t>
      </w:r>
    </w:p>
    <w:p>
      <w:pPr>
        <w:spacing w:after="0" w:line="18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Under certain of our carrier contracts, upon certain policy terminations, we are obligated to repay to our carriers or their affiliates all or a portion of the commissions received. Larger or more frequent than expected policy terminations result in changes to persistency and our persistency estimates, which may lead to adjustments to revenue in future periods. Reductions in revenue in such circumstances could negatively impact our results of operations and financial condition and decrease predictability and comparability across periods. In particular, when implementation of our post-issue audit results are delayed by carriers, the resulting terminations, if any, and related adjustments to our revenue will also be delayed and may not have been accounted for in our estimates of future performance. This dynamic negatively impacts the comparability of our results of operations across periods and may negatively impact investor perception of our financial performance. Additionally, upon the termination of policies sold through agents, we may not be able to fully or promptly recoup agent payments owed to us from the applicable agency or agent. This could negatively impact our cash flows and financial results and could adversely impact our ability to budget for future expenditures, particularly if we are also obligated to repay carriers’ commissions received upon any such policy terminations.</w:t>
      </w:r>
    </w:p>
    <w:p>
      <w:pPr>
        <w:spacing w:after="0" w:line="188" w:lineRule="exact"/>
        <w:rPr>
          <w:sz w:val="20"/>
          <w:szCs w:val="20"/>
          <w:color w:val="auto"/>
        </w:rPr>
      </w:pPr>
    </w:p>
    <w:p>
      <w:pPr>
        <w:ind w:left="120" w:right="560" w:firstLine="551"/>
        <w:spacing w:after="0" w:line="278" w:lineRule="auto"/>
        <w:rPr>
          <w:sz w:val="20"/>
          <w:szCs w:val="20"/>
          <w:color w:val="auto"/>
        </w:rPr>
      </w:pPr>
      <w:r>
        <w:rPr>
          <w:rFonts w:ascii="Arial" w:cs="Arial" w:eastAsia="Arial" w:hAnsi="Arial"/>
          <w:sz w:val="18"/>
          <w:szCs w:val="18"/>
          <w:b w:val="1"/>
          <w:bCs w:val="1"/>
          <w:i w:val="1"/>
          <w:iCs w:val="1"/>
          <w:color w:val="auto"/>
        </w:rPr>
        <w:t>Our business may be harmed if we lose relationships with carriers, fail to maintain good relationships with carriers, become even more dependent upon a limited number of carriers or fail to develop new carrier relationships.</w:t>
      </w:r>
    </w:p>
    <w:p>
      <w:pPr>
        <w:spacing w:after="0" w:line="139" w:lineRule="exact"/>
        <w:rPr>
          <w:sz w:val="20"/>
          <w:szCs w:val="20"/>
          <w:color w:val="auto"/>
        </w:rPr>
      </w:pPr>
    </w:p>
    <w:p>
      <w:pPr>
        <w:ind w:left="120" w:firstLine="551"/>
        <w:spacing w:after="0" w:line="252" w:lineRule="auto"/>
        <w:rPr>
          <w:sz w:val="20"/>
          <w:szCs w:val="20"/>
          <w:color w:val="auto"/>
        </w:rPr>
      </w:pPr>
      <w:r>
        <w:rPr>
          <w:rFonts w:ascii="Arial" w:cs="Arial" w:eastAsia="Arial" w:hAnsi="Arial"/>
          <w:sz w:val="17"/>
          <w:szCs w:val="17"/>
          <w:color w:val="auto"/>
        </w:rPr>
        <w:t>We enter into contractual producer and third-party administration relationships with carriers that are sometimes unique to Ethos but are generally non-exclusive and terminable on notice by either party for any reason. In many cases, carriers also have the ability to amend the terms of our agreements on short notice. Carriers may be unwilling to allow us to sell their existing or new insurance products or may amend our agreements with them, for a variety of reasons, including for competitive or regulatory reasons or because of a reluctance to distribute their products through our platform. In particular, if we experience greater terminations of policies, including due to broader industry, economic, or mortality trends, our carriers may seek to restructure or renegotiate their contractual terms with us, including reductions in commission rates, or may determine to leave our platform altogether, which has occurred in the past and may occur again in the future. Any such restructurings, renegotiations, or departures may also harm our reputation, making it more difficult to secure future carrier relationships on favorable terms or at all. Carriers may also cease offering certain products that comprise a higher volume of our historical activated policies for various reasons, including due to such products’ actual or expected future return on investment for such carriers, which would harm our business, growth, and results of operations. Carriers may decide to rely on their own internal distribution channels, choose to exclude us from their most profitable or popular products, or decide not to distribute insurance products in individual markets in certain geographies or altogether. The termination or amendment of our relationship with a carrier could reduce the variety of insurance products we offer, which could negatively impact our revenue growth and also our relationships with agencies and engagement of their agents on our platform. Our ability to grow our business could also be harmed if we fail to develop new carrier relationships.</w:t>
      </w:r>
    </w:p>
    <w:p>
      <w:pPr>
        <w:spacing w:after="0" w:line="175"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color w:val="auto"/>
        </w:rPr>
        <w:t>In addition, we have a significant amount of receivables from carriers for policies placed through our platform. If those carriers were to experience liquidity problems or other financial difficulties, we</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160"/>
        <w:spacing w:after="0" w:line="255" w:lineRule="auto"/>
        <w:rPr>
          <w:sz w:val="20"/>
          <w:szCs w:val="20"/>
          <w:color w:val="auto"/>
        </w:rPr>
      </w:pPr>
      <w:r>
        <w:rPr>
          <w:rFonts w:ascii="Arial" w:cs="Arial" w:eastAsia="Arial" w:hAnsi="Arial"/>
          <w:sz w:val="17"/>
          <w:szCs w:val="17"/>
          <w:color w:val="auto"/>
        </w:rPr>
        <w:t>could encounter delays or defaults in payments owed to us, which could have a significant adverse impact on our financial condition and results of operations. The potential for an insurer to cease writing insurance offered through our platform could negatively impact overall capacity in the industry, which in turn could reduce placement of certain lines of insurance and reduce revenue and profitability for us.</w:t>
      </w:r>
    </w:p>
    <w:p>
      <w:pPr>
        <w:spacing w:after="0" w:line="2"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Questions about a carrier’s perceived stability or financial strength may contribute to such insurer’s strategic decisions to focus on certain lines of insurance to the detriment of others. The failure of a carrier with which we place insurance could result in errors and omissions, or E&amp;O, claims against us by our consumers, and the failure of our carriers could make the E&amp;O insurance we rely upon cost prohibitive or unavailable, which could have a significant adverse impact on our financial condition and results of operations. In addition, if any carrier merges or if one of our large carriers fails or withdraws from offering certain lines of insurance, the insurance industry’s overall risk-taking capital capacity could be negatively affected, which could reduce our ability to place certain lines of insurance and, as a result, reduce our commissions and fees and profitability. Such failures or insurance withdrawals on the part of our carriers could occur for any number of reasons, including large, unexpected payouts resulting from a pandemic, elevated mortality rates, or other public health events. Any of these events could adversely affect our financial condition and results of operations.</w:t>
      </w:r>
    </w:p>
    <w:p>
      <w:pPr>
        <w:spacing w:after="0" w:line="183" w:lineRule="exact"/>
        <w:rPr>
          <w:sz w:val="20"/>
          <w:szCs w:val="20"/>
          <w:color w:val="auto"/>
        </w:rPr>
      </w:pPr>
    </w:p>
    <w:p>
      <w:pPr>
        <w:ind w:left="120" w:right="120" w:firstLine="551"/>
        <w:spacing w:after="0" w:line="278" w:lineRule="auto"/>
        <w:rPr>
          <w:sz w:val="20"/>
          <w:szCs w:val="20"/>
          <w:color w:val="auto"/>
        </w:rPr>
      </w:pPr>
      <w:r>
        <w:rPr>
          <w:rFonts w:ascii="Arial" w:cs="Arial" w:eastAsia="Arial" w:hAnsi="Arial"/>
          <w:sz w:val="18"/>
          <w:szCs w:val="18"/>
          <w:b w:val="1"/>
          <w:bCs w:val="1"/>
          <w:i w:val="1"/>
          <w:iCs w:val="1"/>
          <w:color w:val="auto"/>
        </w:rPr>
        <w:t>We rely on a limited number of carriers, and if we are unable to maintain these relationships or diversify the carriers with whom we work, our business and results of operations could be harmed.</w:t>
      </w:r>
    </w:p>
    <w:p>
      <w:pPr>
        <w:spacing w:after="0" w:line="13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While we continue to expand our carrier relationships, a significant portion of our policy volume is attributable to a limited number of carriers. For the years ended December 31, 2023 and 2024, our top three carrier relationships, which are Ameritas, Banner Life (formerly Legal &amp; General America), and TruStage, represented approximately 98% and 98%, respectively, of our total revenue. As our business and the insurance industry evolve, it may become necessary for us to offer insurance products from a reduced number of carriers or to derive a greater portion of our revenue from a more concentrated number of carriers as our business and the insurance industry evolve. Should our dependence on a smaller number of carriers increase, whether as a result of the termination of carrier relationships, carrier consolidation or otherwise, we may become more vulnerable to adverse changes in our relationships with our carriers, particularly in states where we offer insurance products from a relatively small number of carriers or where a small number of carriers dominate the market. The termination, amendment or consolidation of our relationship with carriers could harm our business, financial condition, and results of operations.</w:t>
      </w:r>
    </w:p>
    <w:p>
      <w:pPr>
        <w:spacing w:after="0" w:line="182" w:lineRule="exact"/>
        <w:rPr>
          <w:sz w:val="20"/>
          <w:szCs w:val="20"/>
          <w:color w:val="auto"/>
        </w:rPr>
      </w:pPr>
    </w:p>
    <w:p>
      <w:pPr>
        <w:ind w:left="120" w:right="80" w:firstLine="551"/>
        <w:spacing w:after="0" w:line="278" w:lineRule="auto"/>
        <w:rPr>
          <w:sz w:val="20"/>
          <w:szCs w:val="20"/>
          <w:color w:val="auto"/>
        </w:rPr>
      </w:pPr>
      <w:r>
        <w:rPr>
          <w:rFonts w:ascii="Arial" w:cs="Arial" w:eastAsia="Arial" w:hAnsi="Arial"/>
          <w:sz w:val="18"/>
          <w:szCs w:val="18"/>
          <w:b w:val="1"/>
          <w:bCs w:val="1"/>
          <w:i w:val="1"/>
          <w:iCs w:val="1"/>
          <w:color w:val="auto"/>
        </w:rPr>
        <w:t>We rely on a limited number of agency counterparties, and if we are unsuccessful in maintaining relationships with these and new agencies and their ultimate owners, our results of operations will be harmed.</w:t>
      </w:r>
    </w:p>
    <w:p>
      <w:pPr>
        <w:spacing w:after="0" w:line="13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In addition to our DTC channel, we rely on our third-party channel, consisting primarily of contractual relationships with independent agents and agencies, to generate a significant and growing portion of our revenue. Our revenue from sales of policies on our platform through our third-party channel is driven by a limited number of agencies. In each of the years ended December 31, 2023 and 2024, approximately 17% and 25%, respectively, of our revenue was generated through three of our most significant agency relationships. We anticipate that we will continue to derive a significant portion of our revenue from sales of policies on our platform through agents from a limited number of agencies for the foreseeable future, and in some cases, the portion of our revenue attributable to certain agencies may increase in the future. We may not be able to maintain or increase revenue associated with such agencies for a variety of reasons, including if the agencies or affiliated agents no longer perceive our platform to be accretive to or cost-effective for activating new policies, or agents determine that alternative platforms, other methods of selling policies or products not offered by us are preferable. Our contractual arrangements with agencies have no minimum term or engagement</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commitments. As a result, the agencies with whom we work may disengage from or abandon use of our platform or services at any time at their discretion. We have in the past experienced, and may in the future experience, decreases or gaps in agent engagement with our platform, including as directed by agencies, for various reasons, whether related to or unrelated to Ethos or our platform or products.</w:t>
      </w:r>
    </w:p>
    <w:p>
      <w:pPr>
        <w:spacing w:after="0" w:line="169" w:lineRule="exact"/>
        <w:rPr>
          <w:sz w:val="20"/>
          <w:szCs w:val="20"/>
          <w:color w:val="auto"/>
        </w:rPr>
      </w:pPr>
    </w:p>
    <w:p>
      <w:pPr>
        <w:ind w:left="120" w:right="380" w:firstLine="551"/>
        <w:spacing w:after="0" w:line="261" w:lineRule="auto"/>
        <w:rPr>
          <w:sz w:val="20"/>
          <w:szCs w:val="20"/>
          <w:color w:val="auto"/>
        </w:rPr>
      </w:pPr>
      <w:r>
        <w:rPr>
          <w:rFonts w:ascii="Arial" w:cs="Arial" w:eastAsia="Arial" w:hAnsi="Arial"/>
          <w:sz w:val="17"/>
          <w:szCs w:val="17"/>
          <w:color w:val="auto"/>
        </w:rPr>
        <w:t>These agencies facilitate our access to a broader consumer base, including those who prefer purchasing insurance through traditional advisory channels. If we are unable to attract, retain, or maintain productive relationships within this channel, or if agents choose to offer competing products instead of or in addition to ours, our revenue and growth could be adversely affected. Additionally, regulatory changes, shifts in consumer behavior, shifts in demand for particular product offerings, or increased competition from other similar platforms could further impact our ability to sustain these partnerships and maintain our revenue growth.</w:t>
      </w:r>
    </w:p>
    <w:p>
      <w:pPr>
        <w:spacing w:after="0" w:line="16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In recent years, private equity sponsors have acquired numerous independent insurance agencies, including certain of our current agency counterparties. This consolidation may continue or accelerate in the future, resulting in fewer independent agencies and more agencies under common ownership. In addition, while we maintain distinct contractual relationships with agencies, certain agencies are or may in the future be consolidated under common control. As a result, the ultimate control parties may seek to restructure or renegotiate the agencies’ contractual terms with us, including to shift contractual relationships to control parties, to modify the terms of their liabilities or make other changes, which has happened recently and may happen in the future. Failure by us to maintain a positive relationship with the ultimate control parties for these agencies may result in termination of our commercial relationships with these parties and affiliated agencies or the restructuring of the commercial relationships in a manner unfavorable to us. Further, we may experience loss of engagement from agents at such agencies or disengagement by such agencies from our platform. This shift towards consolidation could impact our ability to initiate new or maintain existing agency relationships, as has happened in the past and may occur in the future, and could also heighten the risks relating to agency and affiliated agent engagement with our platform described above.</w:t>
      </w:r>
    </w:p>
    <w:p>
      <w:pPr>
        <w:spacing w:after="0" w:line="186"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We incur marketing and incentive expenses when onboarding a new agency or engaging with agents at an agency with whom we already work. The effectiveness of such marketing and incentive efforts, and as a result, their return on investment, may not materialize or be known for several quarters due to the time it takes for new agents to be fully ramped up on our platform. In addition, our agencies may seek to exert leverage to negotiate for higher compensation, which, if granted, could negatively affect our margins.</w:t>
      </w:r>
    </w:p>
    <w:p>
      <w:pPr>
        <w:spacing w:after="0" w:line="17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Maintaining and growing our agency relationships generally require us to continually improve our platform, which may involve significant technological and design challenges, and agencies have placed and are expected to continue to place considerable pressure on us to improve. Accordingly, we expect to devote a substantial amount of our resources to our agency relationships, which could detract from or delay other strategic initiatives. Moreover, it is possible that agencies with whom we work may develop their own infrastructure that may compete with our services or partner with a competitor’s infrastructure. If we are unable to retain these key relationships or if agencies reduce their activity on our platform, our revenue would be adversely impacted and our business, operating results, financial condition, and future prospects would be materially and adversely affected.</w:t>
      </w:r>
    </w:p>
    <w:p>
      <w:pPr>
        <w:spacing w:after="0" w:line="187" w:lineRule="exact"/>
        <w:rPr>
          <w:sz w:val="20"/>
          <w:szCs w:val="20"/>
          <w:color w:val="auto"/>
        </w:rPr>
      </w:pPr>
    </w:p>
    <w:p>
      <w:pPr>
        <w:ind w:left="120" w:right="580" w:firstLine="551"/>
        <w:spacing w:after="0" w:line="278" w:lineRule="auto"/>
        <w:rPr>
          <w:sz w:val="20"/>
          <w:szCs w:val="20"/>
          <w:color w:val="auto"/>
        </w:rPr>
      </w:pPr>
      <w:r>
        <w:rPr>
          <w:rFonts w:ascii="Arial" w:cs="Arial" w:eastAsia="Arial" w:hAnsi="Arial"/>
          <w:sz w:val="18"/>
          <w:szCs w:val="18"/>
          <w:b w:val="1"/>
          <w:bCs w:val="1"/>
          <w:i w:val="1"/>
          <w:iCs w:val="1"/>
          <w:color w:val="auto"/>
        </w:rPr>
        <w:t>Our success depends on individual agent adoption and engagement, and if agents do not engage with or adopt our platform, our results of operations will be harmed.</w:t>
      </w:r>
    </w:p>
    <w:p>
      <w:pPr>
        <w:spacing w:after="0" w:line="139" w:lineRule="exact"/>
        <w:rPr>
          <w:sz w:val="20"/>
          <w:szCs w:val="20"/>
          <w:color w:val="auto"/>
        </w:rPr>
      </w:pPr>
    </w:p>
    <w:p>
      <w:pPr>
        <w:ind w:left="120" w:right="300" w:firstLine="551"/>
        <w:spacing w:after="0" w:line="275" w:lineRule="auto"/>
        <w:rPr>
          <w:sz w:val="20"/>
          <w:szCs w:val="20"/>
          <w:color w:val="auto"/>
        </w:rPr>
      </w:pPr>
      <w:r>
        <w:rPr>
          <w:rFonts w:ascii="Arial" w:cs="Arial" w:eastAsia="Arial" w:hAnsi="Arial"/>
          <w:sz w:val="17"/>
          <w:szCs w:val="17"/>
          <w:color w:val="auto"/>
        </w:rPr>
        <w:t>Our success depends on individual agent engagement. Agent-level adoption of our platform is not guaranteed and may vary significantly across agencies. If agents are slow to adopt our platform, choose to deprioritize it, or lack sufficient support or training, the anticipated benefits of a given agency or agent relationship may not materialize. Agent acceptance of our platform also depends on its</w:t>
      </w:r>
    </w:p>
    <w:p>
      <w:pPr>
        <w:spacing w:after="0" w:line="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40"/>
        <w:spacing w:after="0" w:line="244" w:lineRule="auto"/>
        <w:rPr>
          <w:sz w:val="20"/>
          <w:szCs w:val="20"/>
          <w:color w:val="auto"/>
        </w:rPr>
      </w:pPr>
      <w:r>
        <w:rPr>
          <w:rFonts w:ascii="Arial" w:cs="Arial" w:eastAsia="Arial" w:hAnsi="Arial"/>
          <w:sz w:val="18"/>
          <w:szCs w:val="18"/>
          <w:color w:val="auto"/>
        </w:rPr>
        <w:t>perceived quality, effectiveness, and useability compared to alternative selling methods. Moreover, agent behavior can be affected by factors beyond our control, such as changes in agency compensation structures, internal agency incentives, or technical issues that disrupt agent workflows or compensation accuracy, which factors may be influenced or directed by agencies as part of their own competitive strategies. These dynamics have in the past, and may in the future, reduce agents’ platform engagement and impact the volume of policies sold.</w:t>
      </w:r>
    </w:p>
    <w:p>
      <w:pPr>
        <w:spacing w:after="0" w:line="176" w:lineRule="exact"/>
        <w:rPr>
          <w:sz w:val="20"/>
          <w:szCs w:val="20"/>
          <w:color w:val="auto"/>
        </w:rPr>
      </w:pPr>
    </w:p>
    <w:p>
      <w:pPr>
        <w:jc w:val="both"/>
        <w:ind w:left="120" w:right="100" w:firstLine="551"/>
        <w:spacing w:after="0" w:line="253" w:lineRule="auto"/>
        <w:rPr>
          <w:sz w:val="20"/>
          <w:szCs w:val="20"/>
          <w:color w:val="auto"/>
        </w:rPr>
      </w:pPr>
      <w:r>
        <w:rPr>
          <w:rFonts w:ascii="Arial" w:cs="Arial" w:eastAsia="Arial" w:hAnsi="Arial"/>
          <w:sz w:val="18"/>
          <w:szCs w:val="18"/>
          <w:color w:val="auto"/>
        </w:rPr>
        <w:t>Some of the agents that activate policies using our platform, or provide additional services on our platform, may have relationships with or influence over our consumers, and therefore we risk the loss of such consumers if agents choose not to engage with our platform or prioritize our products.</w:t>
      </w:r>
    </w:p>
    <w:p>
      <w:pPr>
        <w:spacing w:after="0" w:line="171" w:lineRule="exact"/>
        <w:rPr>
          <w:sz w:val="20"/>
          <w:szCs w:val="20"/>
          <w:color w:val="auto"/>
        </w:rPr>
      </w:pPr>
    </w:p>
    <w:p>
      <w:pPr>
        <w:ind w:left="120" w:right="220" w:firstLine="551"/>
        <w:spacing w:after="0" w:line="278" w:lineRule="auto"/>
        <w:rPr>
          <w:sz w:val="20"/>
          <w:szCs w:val="20"/>
          <w:color w:val="auto"/>
        </w:rPr>
      </w:pPr>
      <w:r>
        <w:rPr>
          <w:rFonts w:ascii="Arial" w:cs="Arial" w:eastAsia="Arial" w:hAnsi="Arial"/>
          <w:sz w:val="18"/>
          <w:szCs w:val="18"/>
          <w:b w:val="1"/>
          <w:bCs w:val="1"/>
          <w:i w:val="1"/>
          <w:iCs w:val="1"/>
          <w:color w:val="auto"/>
        </w:rPr>
        <w:t>Our business depends in part on third-party data, technology, and infrastructure providers and failure to maintain these relationships or changes in their services could adversely affect our operations, revenue, and growth.</w:t>
      </w:r>
    </w:p>
    <w:p>
      <w:pPr>
        <w:spacing w:after="0" w:line="139"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We anticipate that the growth of our business will continue to depend on third-party relationships, including key technology and service providers that support our platform, such as payment processors. We rely on third-party technology and infrastructure providers to support key aspects of our business, including cloud hosting, data processing, application performance, and core platform functionality. Many of these providers operate on a non-exclusive basis and may also support our competitors or offer competing services, which could impact our ability to differentiate or maintain performance. Identifying, negotiating, and documenting relationships with third parties requires significant time and resources as does integrating third-party content and technology into our platform and operations.</w:t>
      </w:r>
    </w:p>
    <w:p>
      <w:pPr>
        <w:spacing w:after="0" w:line="179"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also rely on certain third-party data sources to support policyholder underwriting and decision-making through our platform. These sources include credit-based insurance scores, driving records, prescription data, medical records, and other consumer information provided by unaffiliated vendors, and, in some cases, analysis and interpretation of such data. Third-party vendors of such information include, among others, Milliman, TransUnion and MIB Group. Access to this data is important to the speed, accuracy, and overall functionality of our platform. Before we obtain any such third-party data, consumers provide the necessary authorizations and consents directly through our platform, and we share underwriting data with carriers to the extent permitted by those authorizations. While we believe our platform is designed to obtain all relevant and necessary authorizations and consents before third-party data about consumers is obtained and shared, including with carriers, any challenges to or litigation or investigations regarding these processes could be costly, time-consuming, and distracting to management and may harm our business and results of operations. If we lose access to any of these data sources, including any analytics thereof, experience disruptions in availability, or encounter changes in pricing, usage terms, or regulatory constraints affecting access to or use of such data (or any analytics thereof), our ability to support underwriting could be impaired. In addition, if these vendors degrade service quality or if these data sources fail to meet evolving technical or compliance standards, or fail to meet standards of accuracy and acceptable ranges of mortality predictiveness of our present and future carrier partners, it could result in delays or friction in the application process for consumers and agents, and limit the ability of carriers to efficiently evaluate risk. Because our underwriting model does not involve traditional medical exams or laboratory testing, we rely on these alternative data sources to evaluate risk. While we believe these data sources are sufficient to support accurate and efficient underwriting, they may not provide the same depth or type of medical information as traditional processes. As a result, our ability to support certain products, including those that require more comprehensive medical evaluation, may be limited, and some carriers may be unwilling to underwrite policies using our approach. While we have not experienced limitations on the number of carriers that our platform’s decision-making can handle, we may encounter difficulties or challenges with our decision-making processes and capabilities, including due to factors impacting our third-party vendors that may be outside of our control, that impede our ability to satisfy</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our carriers’ underwriting standards and conditions and harm our reputation, business, and results of operations. Further, any of these developments could reduce the effectiveness of our platform, diminish adoption or satisfaction among carriers, agents, and applicants, and adversely affect our business and operating results. In addition, third-party service providers may not perform as expected under our agreements, and we or our carriers may in the future have disagreements or disputes with such providers, while our competitors may be effective in providing incentives to carriers to favor their products or services on competitors’ platforms or to prevent or reduce sales made through our platform. If we lose access to products from a particular carrier, or experience a significant disruption in the supply of products from a current carrier, especially a carrier offering a unique or popular insurance product, our business and operating results could be harmed.</w:t>
      </w:r>
    </w:p>
    <w:p>
      <w:pPr>
        <w:spacing w:after="0" w:line="180"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In addition, changes in the availability, cost, permitted use, or quality of certain third-party underwriting data could disrupt our business operations and harm our business, growth, and results of operations. For example, if any laws or regulations were to prohibit the use of financial underwriting scores based on concerns of discriminatory impact, we could lose the ability to support rapid underwriting, which would negatively impact our consumer experience, conversion rates, revenue, and operating margins. Similarly, if providers of prescription and medical claims intelligence were to discontinue or limit their data offerings, and we were required to rely on raw data inputs, we would need to rapidly adapt our underwriting processes, which we are not currently equipped to do. Any of these developments could impair the functionality and competitiveness of our platform and negatively affect our business, financial condition, and results of operations.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is subject to risks related to disputes, legal proceedings, and governmental inquiries.</w:t>
      </w:r>
    </w:p>
    <w:p>
      <w:pPr>
        <w:spacing w:after="0" w:line="210"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We are subject to litigation, regulatory investigations, and claims arising in the normal course of our business operations. The risks associated with these matters often are difficult to assess or quantify and the existence and magnitude of potential claims often remain unknown for substantial periods of time. While we have insurance coverage for some of these potential claims, others may be subject to certain exclusions under our policy and/or not be otherwise covered by insurance, insurers may dispute coverage, or any ultimate liabilities may exceed our coverage limits.</w:t>
      </w:r>
    </w:p>
    <w:p>
      <w:pPr>
        <w:spacing w:after="0" w:line="176" w:lineRule="exact"/>
        <w:rPr>
          <w:sz w:val="20"/>
          <w:szCs w:val="20"/>
          <w:color w:val="auto"/>
        </w:rPr>
      </w:pPr>
    </w:p>
    <w:p>
      <w:pPr>
        <w:ind w:left="120" w:right="180" w:firstLine="551"/>
        <w:spacing w:after="0" w:line="247" w:lineRule="auto"/>
        <w:rPr>
          <w:sz w:val="20"/>
          <w:szCs w:val="20"/>
          <w:color w:val="auto"/>
        </w:rPr>
      </w:pPr>
      <w:r>
        <w:rPr>
          <w:rFonts w:ascii="Arial" w:cs="Arial" w:eastAsia="Arial" w:hAnsi="Arial"/>
          <w:sz w:val="18"/>
          <w:szCs w:val="18"/>
          <w:color w:val="auto"/>
        </w:rPr>
        <w:t>We may be subject to actions and claims relating to the sale of insurance. Actions and claims may result in the rescission of such sales and consequently, carriers may seek to recoup commissions paid to us, which may lead to legal action against us. The outcome of such actions cannot be predicted, and such claims or actions could have a material adverse effect on our business, financial condition, and results of operations.</w:t>
      </w:r>
    </w:p>
    <w:p>
      <w:pPr>
        <w:spacing w:after="0" w:line="17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are subject to numerous laws and regulations and may be subject to regulatory investigations from time to time. The insurance industry has been subject to a significant level of scrutiny by various regulatory bodies, including state attorneys general and insurance departments, concerning certain practices within the insurance industry. These practices include the marketing and sale of life insurance policies, denials of coverage, the suitability of insurance products and services, the use, handling, and disclosure of consumer information (including personal information), lead generation and data sharing and sales, and the handling of commissions and agent compensation. From time to time, we have received informational requests from governmental authorities and have been and may in the future be subject to investigations and enforcement actions, including lawsuits, injunctions, damages, and criminal and civil penalties related to disclosures of personal information, including certain types of sensitive health information.</w:t>
      </w:r>
    </w:p>
    <w:p>
      <w:pPr>
        <w:spacing w:after="0" w:line="180" w:lineRule="exact"/>
        <w:rPr>
          <w:sz w:val="20"/>
          <w:szCs w:val="20"/>
          <w:color w:val="auto"/>
        </w:rPr>
      </w:pPr>
    </w:p>
    <w:p>
      <w:pPr>
        <w:ind w:left="120" w:right="60" w:firstLine="551"/>
        <w:spacing w:after="0" w:line="271" w:lineRule="auto"/>
        <w:rPr>
          <w:sz w:val="20"/>
          <w:szCs w:val="20"/>
          <w:color w:val="auto"/>
        </w:rPr>
      </w:pPr>
      <w:r>
        <w:rPr>
          <w:rFonts w:ascii="Arial" w:cs="Arial" w:eastAsia="Arial" w:hAnsi="Arial"/>
          <w:sz w:val="18"/>
          <w:szCs w:val="18"/>
          <w:color w:val="auto"/>
        </w:rPr>
        <w:t>These same laws sometimes also provide individuals with private rights of action. Therefore, in addition to regulatory investigations and actions, the insurance industry has been subject to consumer</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lawsuits, including class actions, brought under insurance and state and federal consumer protection laws.</w:t>
      </w:r>
    </w:p>
    <w:p>
      <w:pPr>
        <w:spacing w:after="0" w:line="212" w:lineRule="exact"/>
        <w:rPr>
          <w:sz w:val="20"/>
          <w:szCs w:val="20"/>
          <w:color w:val="auto"/>
        </w:rPr>
      </w:pPr>
    </w:p>
    <w:p>
      <w:pPr>
        <w:ind w:left="120" w:right="160" w:firstLine="551"/>
        <w:spacing w:after="0" w:line="253" w:lineRule="auto"/>
        <w:rPr>
          <w:sz w:val="20"/>
          <w:szCs w:val="20"/>
          <w:color w:val="auto"/>
        </w:rPr>
      </w:pPr>
      <w:r>
        <w:rPr>
          <w:rFonts w:ascii="Arial" w:cs="Arial" w:eastAsia="Arial" w:hAnsi="Arial"/>
          <w:sz w:val="18"/>
          <w:szCs w:val="18"/>
          <w:color w:val="auto"/>
        </w:rPr>
        <w:t>There have been a number of revisions to existing, or proposals to modify or enact new laws and regulations regarding insurance agents, brokers, and distribution platforms. These actions have imposed or could impose additional obligations on us with respect to products sold on our platform.</w:t>
      </w:r>
    </w:p>
    <w:p>
      <w:pPr>
        <w:spacing w:after="0" w:line="169"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We cannot predict the impact that any new laws, rules, or regulations may have on our business and financial results, and we may become subject to governmental inquiries, subpoenas, or lawsuits. Regulators may raise issues during investigations, examinations, or audits that could, if determined adversely, have a material impact on us. The interpretations of regulations by regulators may change and statutes may be enacted with retroactive impact. We could also be materially adversely affected by any new industry-wide regulations or practices that may result from these proceedings.</w:t>
      </w:r>
    </w:p>
    <w:p>
      <w:pPr>
        <w:spacing w:after="0" w:line="176" w:lineRule="exact"/>
        <w:rPr>
          <w:sz w:val="20"/>
          <w:szCs w:val="20"/>
          <w:color w:val="auto"/>
        </w:rPr>
      </w:pPr>
    </w:p>
    <w:p>
      <w:pPr>
        <w:ind w:left="120" w:right="220" w:firstLine="551"/>
        <w:spacing w:after="0" w:line="247" w:lineRule="auto"/>
        <w:rPr>
          <w:sz w:val="20"/>
          <w:szCs w:val="20"/>
          <w:color w:val="auto"/>
        </w:rPr>
      </w:pPr>
      <w:r>
        <w:rPr>
          <w:rFonts w:ascii="Arial" w:cs="Arial" w:eastAsia="Arial" w:hAnsi="Arial"/>
          <w:sz w:val="18"/>
          <w:szCs w:val="18"/>
          <w:color w:val="auto"/>
        </w:rPr>
        <w:t>Our involvement in investigations and lawsuits have caused and may in the future cause us to incur additional legal and other costs, including fines and damages, some of which may be material in amount. Regardless of final costs, these matters could have a material adverse effect on us by exposing us to negative publicity, reputational damage, harm to consumer relationships, or diversion of personnel and management resources.</w:t>
      </w:r>
    </w:p>
    <w:p>
      <w:pPr>
        <w:spacing w:after="0" w:line="17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Our business strategy depends in part on expanding our third-party channel, which includes independent agencies and the agents who sell insurance products through our platform. Our third-party channel also increases our exposure to regulatory and compliance risks that we do not directly control. These agencies and agents operate independently and are responsible for their own sales practices, data privacy and security, personnel and compensation policies, and marketing activities. As the volume of activity through agencies and agents increases, so does the potential for noncompliance with applicable laws by such parties, including state insurance regulations, consumer protection laws, data privacy laws, and anti-fraud statutes, and for disputes with other parties, including agents, former agents, other agencies, and carriers, that could involve us or subject us to liability. For example, agents with which we have relationships have in the past, and may in the future, terminate policies issued by carriers we have relationships with and replace them with policies issued by carriers we do not contract with, which is a practice that we prohibit in our contractual arrangements with agencies. Our ability to monitor and influence their conduct is limited, and if any agency or agent fails to comply with applicable laws or engages in conduct that exposes them to liability, we could face reputational harm as well as other negative consequences, including regulatory scrutiny, government investigations, legal liability, or monetary penalties, and could incur significant costs, even if we were not directly involved in the conduct at issue. Any of these outcomes could adversely affect our business, financial condition, and results of operations.</w:t>
      </w:r>
    </w:p>
    <w:p>
      <w:pPr>
        <w:spacing w:after="0" w:line="182" w:lineRule="exact"/>
        <w:rPr>
          <w:sz w:val="20"/>
          <w:szCs w:val="20"/>
          <w:color w:val="auto"/>
        </w:rPr>
      </w:pPr>
    </w:p>
    <w:p>
      <w:pPr>
        <w:ind w:left="120" w:right="740" w:firstLine="551"/>
        <w:spacing w:after="0" w:line="278" w:lineRule="auto"/>
        <w:rPr>
          <w:sz w:val="20"/>
          <w:szCs w:val="20"/>
          <w:color w:val="auto"/>
        </w:rPr>
      </w:pPr>
      <w:r>
        <w:rPr>
          <w:rFonts w:ascii="Arial" w:cs="Arial" w:eastAsia="Arial" w:hAnsi="Arial"/>
          <w:sz w:val="18"/>
          <w:szCs w:val="18"/>
          <w:b w:val="1"/>
          <w:bCs w:val="1"/>
          <w:i w:val="1"/>
          <w:iCs w:val="1"/>
          <w:color w:val="auto"/>
        </w:rPr>
        <w:t>Competition in our industry is intense, and our inability to compete effectively may adversely affect our business, financial condition, and results of operations.</w:t>
      </w:r>
    </w:p>
    <w:p>
      <w:pPr>
        <w:spacing w:after="0" w:line="139" w:lineRule="exact"/>
        <w:rPr>
          <w:sz w:val="20"/>
          <w:szCs w:val="20"/>
          <w:color w:val="auto"/>
        </w:rPr>
      </w:pPr>
    </w:p>
    <w:p>
      <w:pPr>
        <w:ind w:left="120" w:right="140" w:firstLine="551"/>
        <w:spacing w:after="0" w:line="253" w:lineRule="auto"/>
        <w:rPr>
          <w:sz w:val="20"/>
          <w:szCs w:val="20"/>
          <w:color w:val="auto"/>
        </w:rPr>
      </w:pPr>
      <w:r>
        <w:rPr>
          <w:rFonts w:ascii="Arial" w:cs="Arial" w:eastAsia="Arial" w:hAnsi="Arial"/>
          <w:sz w:val="18"/>
          <w:szCs w:val="18"/>
          <w:color w:val="auto"/>
        </w:rPr>
        <w:t>The business of selling insurance products and services is highly competitive and fragmented, and we expect competition to intensify. We compete for consumers on the basis of reputation, customer service, product offerings, and our ability to innovate and tailor products and services to meet the specific needs of a consumer.</w:t>
      </w:r>
    </w:p>
    <w:p>
      <w:pPr>
        <w:spacing w:after="0" w:line="169"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We actively compete with a number of companies, including agencies, brokerages, traditional carrier distribution channels, as well as companies with online and platform offerings similar to ours. Competition may reduce the fees that we can obtain for services provided, which would have an adverse effect on revenue and margins. Many of our competitors have greater financial and marketing resources than we do and may be able to offer products and services that we do not currently offer and</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may not offer in the future. As insurance carriers and financial services companies expand their digital distribution strategies, we may face increased competition from larger, well-capitalized entities offering a broader range of products directly to consumers. In addition, a number of carriers are engaged in the direct sale of insurance, primarily to individuals, and do not pay commissions to brokers or other market intermediaries. Furthermore, we compete with various other companies that provide risk-related services or alternatives to traditional insurance services, including other competing start-up companies, which are focused on using technology and innovation, including artificial intelligence, machine learning, and similar tools and technologies, or collectively, AI, digital platforms, data analytics, robotics and blockchain, to simplify and improve the customer experience, increase efficiencies, alter business models, and effect other potentially disruptive changes in the industries in which we operate. We also expect new entrants to offer competitive services and carriers may also seek to build their own solutions, including using advanced tools such as AI, and particularly in markets where development costs are lower. If we cannot compete successfully against current and future competitors, our business, results of operations, and financial condition could be negatively impacted.</w:t>
      </w:r>
    </w:p>
    <w:p>
      <w:pPr>
        <w:spacing w:after="0" w:line="186"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In addition, in recent years, private equity sponsors have invested tens of billions of dollars into the insurance sector, transforming existing players and creating new ones to compete with large brokers. These new competitors, alliances among competitors or mergers of competitors could emerge and gain significant market share, and some of our competitors may have or may develop a lower cost structure, adopt more aggressive pricing policies, or provide services that gain greater market acceptance than the services that we offer or develop. Competitors may be able to respond to the need for technological changes and innovate faster, or price their services more aggressively. They may also compete for skilled professionals, finance acquisitions, fund internal growth and compete for market share more effectively than we do. To respond to increased competition and pricing pressure, we may have to lower the cost of our services or decrease the level of service provided to consumers, which could have an adverse effect on our business, financial condition, and results of operations.</w:t>
      </w:r>
    </w:p>
    <w:p>
      <w:pPr>
        <w:spacing w:after="0" w:line="183" w:lineRule="exact"/>
        <w:rPr>
          <w:sz w:val="20"/>
          <w:szCs w:val="20"/>
          <w:color w:val="auto"/>
        </w:rPr>
      </w:pPr>
    </w:p>
    <w:p>
      <w:pPr>
        <w:ind w:left="120" w:right="1040" w:firstLine="551"/>
        <w:spacing w:after="0" w:line="271" w:lineRule="auto"/>
        <w:rPr>
          <w:sz w:val="20"/>
          <w:szCs w:val="20"/>
          <w:color w:val="auto"/>
        </w:rPr>
      </w:pPr>
      <w:r>
        <w:rPr>
          <w:rFonts w:ascii="Arial" w:cs="Arial" w:eastAsia="Arial" w:hAnsi="Arial"/>
          <w:sz w:val="18"/>
          <w:szCs w:val="18"/>
          <w:color w:val="auto"/>
        </w:rPr>
        <w:t>Similarly, any increase in competition due to new legislative or industry developments could adversely affect us. These developments include:</w:t>
      </w:r>
    </w:p>
    <w:p>
      <w:pPr>
        <w:spacing w:after="0" w:line="59" w:lineRule="exact"/>
        <w:rPr>
          <w:sz w:val="20"/>
          <w:szCs w:val="20"/>
          <w:color w:val="auto"/>
        </w:rPr>
      </w:pPr>
    </w:p>
    <w:p>
      <w:pPr>
        <w:ind w:left="880" w:right="580" w:hanging="224"/>
        <w:spacing w:after="0" w:line="271"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capital-raising by carriers, which could result in new capital in the industry, which in turn may lead to changes in insurance premiums and commissions;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carriers selling insurance directly to insureds without the involvement of a broker, agent or other intermediary;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business compensation model as a result of regulatory developments; and</w:t>
      </w:r>
    </w:p>
    <w:p>
      <w:pPr>
        <w:spacing w:after="0" w:line="117" w:lineRule="exact"/>
        <w:rPr>
          <w:rFonts w:ascii="Arial" w:cs="Arial" w:eastAsia="Arial" w:hAnsi="Arial"/>
          <w:sz w:val="18"/>
          <w:szCs w:val="18"/>
          <w:color w:val="auto"/>
        </w:rPr>
      </w:pPr>
    </w:p>
    <w:p>
      <w:pPr>
        <w:ind w:left="880" w:right="160" w:hanging="224"/>
        <w:spacing w:after="0" w:line="253"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competition from new market participants such as banks, accounting firms, consulting firms, and Internet or other technology firms offering risk management or insurance brokerage services, or new distribution channels for insurance such as payroll firms.</w:t>
      </w:r>
    </w:p>
    <w:p>
      <w:pPr>
        <w:spacing w:after="0" w:line="169" w:lineRule="exact"/>
        <w:rPr>
          <w:sz w:val="20"/>
          <w:szCs w:val="20"/>
          <w:color w:val="auto"/>
        </w:rPr>
      </w:pPr>
    </w:p>
    <w:p>
      <w:pPr>
        <w:ind w:left="120" w:right="200" w:firstLine="551"/>
        <w:spacing w:after="0" w:line="271" w:lineRule="auto"/>
        <w:rPr>
          <w:sz w:val="20"/>
          <w:szCs w:val="20"/>
          <w:color w:val="auto"/>
        </w:rPr>
      </w:pPr>
      <w:r>
        <w:rPr>
          <w:rFonts w:ascii="Arial" w:cs="Arial" w:eastAsia="Arial" w:hAnsi="Arial"/>
          <w:sz w:val="18"/>
          <w:szCs w:val="18"/>
          <w:color w:val="auto"/>
        </w:rPr>
        <w:t>New competition as a result of these or other competitive or industry developments could cause the demand for our products and services to decrease, which could in turn adversely affect our business, financial condition, and results of operations.</w:t>
      </w:r>
    </w:p>
    <w:p>
      <w:pPr>
        <w:spacing w:after="0" w:line="156" w:lineRule="exact"/>
        <w:rPr>
          <w:sz w:val="20"/>
          <w:szCs w:val="20"/>
          <w:color w:val="auto"/>
        </w:rPr>
      </w:pPr>
    </w:p>
    <w:p>
      <w:pPr>
        <w:ind w:left="120" w:right="380" w:firstLine="551"/>
        <w:spacing w:after="0" w:line="256" w:lineRule="auto"/>
        <w:rPr>
          <w:sz w:val="20"/>
          <w:szCs w:val="20"/>
          <w:color w:val="auto"/>
        </w:rPr>
      </w:pPr>
      <w:r>
        <w:rPr>
          <w:rFonts w:ascii="Arial" w:cs="Arial" w:eastAsia="Arial" w:hAnsi="Arial"/>
          <w:sz w:val="18"/>
          <w:szCs w:val="18"/>
          <w:b w:val="1"/>
          <w:bCs w:val="1"/>
          <w:i w:val="1"/>
          <w:iCs w:val="1"/>
          <w:color w:val="auto"/>
        </w:rPr>
        <w:t>Cyber attacks, data breaches, security incidents, systems failures, and resulting interruptions in the availability of our websites, mobile applications, platform, or services could adversely affect our business, financial condition, and results of operations.</w:t>
      </w:r>
    </w:p>
    <w:p>
      <w:pPr>
        <w:spacing w:after="0" w:line="159"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It is critical to our success that consumers, agents, and carriers be able to access our platform at all times. Our systems, or those of third parties upon which we rely, may experience service interruptions or degradation or other performance problems because of data breaches or data security incidents (for additional information on this risk, see the section titled “Risk Factors—Risks Related to</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Intellectual Property, Data Privacy, and Security—If our information technology systems or those of third parties with whom we work or our data, are or were compromised, we could experience adverse consequences resulting from such compromise, including regulatory investigations or actions, litigation, fines and penalties, disruptions of our business operations, reputational harm, loss of revenue or profits, loss of consumers or sales, and other adverse consequences”), infrastructure changes, human error, earthquakes, hurricanes, floods, fires, other natural disasters, power losses, disruptions in telecommunications services, fraud, military or political conflicts, terrorist attacks, or other attempts to infiltrate or harm our systems or platform. It has become increasingly difficult and expensive to maintain and improve the performance of our systems and the availability of our platform, especially during peak usage times, as our operations grow and the usage of our platform increases. Some of our systems are not fully redundant, and our disaster recovery planning may not be sufficient for all eventualities.</w:t>
      </w:r>
    </w:p>
    <w:p>
      <w:pPr>
        <w:spacing w:after="0" w:line="183"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may experience system failures and other events or conditions that interrupt the availability or reduce or affect the speed or functionality of our platform. These events could result in significant losses of revenue and could harm our brand and reputation. Affected users could seek monetary recourse from us for their losses and such claims, even if unsuccessful, would likely be time-consuming and costly for us to address. In addition, such breaches have in the past required, and may in the future require notification to governmental agencies, the media, or individuals pursuant to various federal and state privacy and security laws and regulations. Further, we may not be able to identify the cause or causes of these performance problems within an acceptable period of time. A prolonged interruption in the availability or reduction in the availability, speed, or other functionality of our platform could adversely affect our business and reputation and could result in the loss of consumers. Our business interruption insurance may not be sufficient to cover all of our losses that may result from interruptions in our service as a result of system failures, cyber attacks, and similar events.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brand awareness and marketing efforts to help grow our business may not be effective.</w:t>
      </w:r>
    </w:p>
    <w:p>
      <w:pPr>
        <w:spacing w:after="0" w:line="210"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Promoting awareness of our platform and maintaining and enhancing our reputation is important to our ability to grow our business, and attracting consumers, agents, agencies, and carriers can be costly. We believe that much of the growth in the number of consumers, agents, agencies, and carriers that utilize our platform is attributable to our paid marketing initiatives. Our marketing efforts have included referrals, affiliate programs, partnerships, display advertising, television, billboards, radio, video, social media, email, podcasts, search engine optimization, and keyword search campaigns. Our marketing initiatives may become increasingly expensive, and we may not generate a meaningful return on these initiatives. Even if we increase revenue as a result of our paid marketing efforts, it may not offset the additional marketing expenses we incur. If our marketing efforts to help grow our business are not successful or cost-effective, our business, financial condition, and results of operations could be adversely affected.</w:t>
      </w:r>
    </w:p>
    <w:p>
      <w:pPr>
        <w:spacing w:after="0" w:line="180"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The successful promotion of our brand and the market’s awareness of our platform and product offerings will depend on a number of factors, including our marketing efforts, ability to continue to expand our product offerings, and ability to successfully differentiate our platform from competing channels. We expect to invest substantial resources to promote and maintain our brand, but there is no guarantee that our brand development strategies will enhance the recognition of our brand or lead to increased sales. Brand promotion activities may not yield increased revenue, and even if they do, the increased revenue may not offset the expenses we incur in promoting and maintaining our brand and reputation. If our efforts to cost-effectively promote and maintain our brand are not successful, our results of operations and our ability to attract and engage consumers, agencies, and agents may be</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adversely affected. Further, even if our brand recognition and consumer loyalty increase, this may not yield increased revenue for us.</w:t>
      </w:r>
    </w:p>
    <w:p>
      <w:pPr>
        <w:spacing w:after="0" w:line="21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Unfavorable publicity regarding our customer service, privacy, data security, data protection practices, and certain agencies with which we have a relationship could also harm our reputation and diminish confidence in, and the use of, our services. Fear of loss of consumers or lack of consumer adoption due to poor service quality or negative customer or shopper reviews or press may make agencies or agents reluctant to remain with us. The same negative network effects could occur as a result of trust and safety or fraud incidents as well as data breaches and other data security incidents. In addition, negative publicity related to agencies or carriers with whom we work may damage our reputation, even if the publicity is not directly related to us. If we fail to maintain, protect, and enhance our brand successfully or to maintain loyalty among consumers, agencies, and carriers, or if we incur substantial expenses in unsuccessful attempts to maintain, protect, and enhance our brand, we may fail to attract or increase the engagement of consumers, agencies, and carriers, and our business, financial condition, and results of operations may suffer.</w:t>
      </w:r>
    </w:p>
    <w:p>
      <w:pPr>
        <w:spacing w:after="0" w:line="185" w:lineRule="exact"/>
        <w:rPr>
          <w:sz w:val="20"/>
          <w:szCs w:val="20"/>
          <w:color w:val="auto"/>
        </w:rPr>
      </w:pPr>
    </w:p>
    <w:p>
      <w:pPr>
        <w:ind w:left="120" w:right="40" w:firstLine="551"/>
        <w:spacing w:after="0" w:line="278" w:lineRule="auto"/>
        <w:rPr>
          <w:sz w:val="20"/>
          <w:szCs w:val="20"/>
          <w:color w:val="auto"/>
        </w:rPr>
      </w:pPr>
      <w:r>
        <w:rPr>
          <w:rFonts w:ascii="Arial" w:cs="Arial" w:eastAsia="Arial" w:hAnsi="Arial"/>
          <w:sz w:val="18"/>
          <w:szCs w:val="18"/>
          <w:b w:val="1"/>
          <w:bCs w:val="1"/>
          <w:i w:val="1"/>
          <w:iCs w:val="1"/>
          <w:color w:val="auto"/>
        </w:rPr>
        <w:t>We expect a number of factors to cause our results of operations and operating cash flows to fluctuate on a quarterly and annual basis, which may make it difficult to predict our future performance.</w:t>
      </w:r>
    </w:p>
    <w:p>
      <w:pPr>
        <w:spacing w:after="0" w:line="139" w:lineRule="exact"/>
        <w:rPr>
          <w:sz w:val="20"/>
          <w:szCs w:val="20"/>
          <w:color w:val="auto"/>
        </w:rPr>
      </w:pPr>
    </w:p>
    <w:p>
      <w:pPr>
        <w:ind w:left="120" w:right="240" w:firstLine="551"/>
        <w:spacing w:after="0" w:line="247" w:lineRule="auto"/>
        <w:rPr>
          <w:sz w:val="20"/>
          <w:szCs w:val="20"/>
          <w:color w:val="auto"/>
        </w:rPr>
      </w:pPr>
      <w:r>
        <w:rPr>
          <w:rFonts w:ascii="Arial" w:cs="Arial" w:eastAsia="Arial" w:hAnsi="Arial"/>
          <w:sz w:val="18"/>
          <w:szCs w:val="18"/>
          <w:color w:val="auto"/>
        </w:rPr>
        <w:t>Our results of operations could vary significantly from quarter to quarter and year to year because of a variety of factors, many of which are outside of our control. As a result, comparing our results of operations on a period-to-period basis may not be meaningful. In addition to other risk factors discussed in this section, factors that may contribute to the variability of our quarterly and annual results include:</w:t>
      </w:r>
    </w:p>
    <w:p>
      <w:pPr>
        <w:spacing w:after="0" w:line="79" w:lineRule="exact"/>
        <w:rPr>
          <w:sz w:val="20"/>
          <w:szCs w:val="20"/>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accurately predict revenue and appropriately plan our expenses;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levels of terminations that result in larger than expected changes in observed persistency and our persistency estimates;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macroeconomic pressures and challenges, including due to inflation, high interest rates, and tariffs;</w:t>
      </w:r>
    </w:p>
    <w:p>
      <w:pPr>
        <w:spacing w:after="0" w:line="117" w:lineRule="exact"/>
        <w:rPr>
          <w:rFonts w:ascii="Arial" w:cs="Arial" w:eastAsia="Arial" w:hAnsi="Arial"/>
          <w:sz w:val="18"/>
          <w:szCs w:val="18"/>
          <w:color w:val="auto"/>
        </w:rPr>
      </w:pPr>
    </w:p>
    <w:p>
      <w:pPr>
        <w:ind w:left="880" w:right="580" w:hanging="224"/>
        <w:spacing w:after="0" w:line="271"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additions or the loss of new agency and carrier relationships as well as introduction of new products or the loss of existing products on our platform;</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growth or diminution in our third-party channel as well as future shifts in revenue contribution between our two channels;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new policies activated;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the recoupment of agent payments;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entry into agreements to sell a portion of our commissions receivable;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of strategic investments and expenditures;</w:t>
      </w:r>
    </w:p>
    <w:p>
      <w:pPr>
        <w:spacing w:after="0" w:line="117" w:lineRule="exact"/>
        <w:rPr>
          <w:rFonts w:ascii="Arial" w:cs="Arial" w:eastAsia="Arial" w:hAnsi="Arial"/>
          <w:sz w:val="18"/>
          <w:szCs w:val="18"/>
          <w:color w:val="auto"/>
        </w:rPr>
      </w:pPr>
    </w:p>
    <w:p>
      <w:pPr>
        <w:ind w:left="880" w:right="20" w:hanging="224"/>
        <w:spacing w:after="0" w:line="271"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operating expense as we seek to improve efficiencies, comply with changing regulatory requirements, and expand our business, offerings, and technologies;</w:t>
      </w:r>
    </w:p>
    <w:p>
      <w:pPr>
        <w:spacing w:after="0" w:line="59" w:lineRule="exact"/>
        <w:rPr>
          <w:rFonts w:ascii="Arial" w:cs="Arial" w:eastAsia="Arial" w:hAnsi="Arial"/>
          <w:sz w:val="18"/>
          <w:szCs w:val="18"/>
          <w:color w:val="auto"/>
        </w:rPr>
      </w:pPr>
    </w:p>
    <w:p>
      <w:pPr>
        <w:ind w:left="880" w:right="40" w:hanging="224"/>
        <w:spacing w:after="0" w:line="271"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which may affect the way we recognize and report our financial results;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future public health threats on our business;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seasonality of our business.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360" w:firstLine="551"/>
        <w:spacing w:after="0" w:line="253" w:lineRule="auto"/>
        <w:rPr>
          <w:sz w:val="20"/>
          <w:szCs w:val="20"/>
          <w:color w:val="auto"/>
        </w:rPr>
      </w:pPr>
      <w:r>
        <w:rPr>
          <w:rFonts w:ascii="Arial" w:cs="Arial" w:eastAsia="Arial" w:hAnsi="Arial"/>
          <w:sz w:val="18"/>
          <w:szCs w:val="18"/>
          <w:color w:val="auto"/>
        </w:rPr>
        <w:t>The impact of one or more of the foregoing and other factors may cause our results of operations to vary significantly. As such, quarter-to-quarter and year-over-year comparisons of our results of operations may not be meaningful and should not be unduly relied upon as an indication of future performance.</w:t>
      </w:r>
    </w:p>
    <w:p>
      <w:pPr>
        <w:spacing w:after="0" w:line="171" w:lineRule="exact"/>
        <w:rPr>
          <w:sz w:val="20"/>
          <w:szCs w:val="20"/>
          <w:color w:val="auto"/>
        </w:rPr>
      </w:pPr>
    </w:p>
    <w:p>
      <w:pPr>
        <w:ind w:left="120" w:right="620" w:firstLine="551"/>
        <w:spacing w:after="0" w:line="278" w:lineRule="auto"/>
        <w:rPr>
          <w:sz w:val="20"/>
          <w:szCs w:val="20"/>
          <w:color w:val="auto"/>
        </w:rPr>
      </w:pPr>
      <w:r>
        <w:rPr>
          <w:rFonts w:ascii="Arial" w:cs="Arial" w:eastAsia="Arial" w:hAnsi="Arial"/>
          <w:sz w:val="18"/>
          <w:szCs w:val="18"/>
          <w:b w:val="1"/>
          <w:bCs w:val="1"/>
          <w:i w:val="1"/>
          <w:iCs w:val="1"/>
          <w:color w:val="auto"/>
        </w:rPr>
        <w:t>Changes in our accounting estimates and assumptions could negatively affect our financial position and operating results.</w:t>
      </w:r>
    </w:p>
    <w:p>
      <w:pPr>
        <w:spacing w:after="0" w:line="139"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 xml:space="preserve">We prepare our consolidated financial statements in accordance with GAAP. These accounting principles require us to make assumptions, estimates or judgments that affect the reported amounts of assets, liabilities, revenue, and expenses in our consolidated financial statements. We are required to make certain judgments and estimates that affect the disclosed and recorded amounts of revenue and expenses related to accounting under Accounting Standards Codification, or ASC, Topic 606 </w:t>
      </w:r>
      <w:r>
        <w:rPr>
          <w:rFonts w:ascii="Arial" w:cs="Arial" w:eastAsia="Arial" w:hAnsi="Arial"/>
          <w:sz w:val="18"/>
          <w:szCs w:val="18"/>
          <w:i w:val="1"/>
          <w:iCs w:val="1"/>
          <w:color w:val="auto"/>
        </w:rPr>
        <w:t>Reverse Recognition</w:t>
      </w:r>
      <w:r>
        <w:rPr>
          <w:rFonts w:ascii="Arial" w:cs="Arial" w:eastAsia="Arial" w:hAnsi="Arial"/>
          <w:sz w:val="18"/>
          <w:szCs w:val="18"/>
          <w:color w:val="auto"/>
        </w:rPr>
        <w:t>. For example, persistency estimates may be more variable early in the life cycle of a product or carrier relationship due to lack of relevant historical data to analyze. Lack of historical data as well as experience with post-issue audit practices of new carriers on our platform can result in greater fluctuations in future revenue and cash flows. We periodically evaluate our assumptions, estimates and judgment and conduct persistency assessments with outside advisors on a quarterly basis. We base our estimates and judgments on historical experience and other assumptions that we believe are reasonable under the circumstances. Such assumptions, estimates or judgments, however, are both subjective and could change in the future as more information becomes known, which could impact the amounts reported and disclosed in our consolidated financial statements. Additionally, changes in accounting standards could increase costs to the organization and could have an adverse impact on our future financial position and results of operations.</w:t>
      </w:r>
    </w:p>
    <w:p>
      <w:pPr>
        <w:spacing w:after="0" w:line="185" w:lineRule="exact"/>
        <w:rPr>
          <w:sz w:val="20"/>
          <w:szCs w:val="20"/>
          <w:color w:val="auto"/>
        </w:rPr>
      </w:pPr>
    </w:p>
    <w:p>
      <w:pPr>
        <w:ind w:left="120" w:right="360" w:firstLine="551"/>
        <w:spacing w:after="0" w:line="278" w:lineRule="auto"/>
        <w:rPr>
          <w:sz w:val="20"/>
          <w:szCs w:val="20"/>
          <w:color w:val="auto"/>
        </w:rPr>
      </w:pPr>
      <w:r>
        <w:rPr>
          <w:rFonts w:ascii="Arial" w:cs="Arial" w:eastAsia="Arial" w:hAnsi="Arial"/>
          <w:sz w:val="18"/>
          <w:szCs w:val="18"/>
          <w:b w:val="1"/>
          <w:bCs w:val="1"/>
          <w:i w:val="1"/>
          <w:iCs w:val="1"/>
          <w:color w:val="auto"/>
        </w:rPr>
        <w:t>Our ability to recoup payments from agents and the timing of those recouped payments may impact our business and operating results.</w:t>
      </w:r>
    </w:p>
    <w:p>
      <w:pPr>
        <w:spacing w:after="0" w:line="139"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Upon termination of a policy within certain time periods of activation, we are entitled to recoup all or a portion of agent payments. We have historically experienced and may continue to experience delays in receiving recoupment payments from agents beyond contractually prescribed repayment periods. We have limited means to pursue repayments from individual agents, and actions we take to pursue repayments may be perceived negatively by applicable agencies, which may harm our relationships with such agencies. In addition, if we take, or are perceived to take, punitive action against certain highly productive agents who are delayed in paying recoupment amounts, it could negatively impact our business and results of operations. Delays in recoupment of agent repayments may negatively impact our ability to make commission repayments to carriers upon lapses of policies. Any delays in our commission repayments in connection with policy lapses may harm our reputation and relationship with carriers, which would negatively impact our business, financial condition, and results of operations.</w:t>
      </w:r>
    </w:p>
    <w:p>
      <w:pPr>
        <w:spacing w:after="0" w:line="185" w:lineRule="exact"/>
        <w:rPr>
          <w:sz w:val="20"/>
          <w:szCs w:val="20"/>
          <w:color w:val="auto"/>
        </w:rPr>
      </w:pPr>
    </w:p>
    <w:p>
      <w:pPr>
        <w:ind w:left="120" w:right="160" w:firstLine="551"/>
        <w:spacing w:after="0" w:line="278" w:lineRule="auto"/>
        <w:rPr>
          <w:sz w:val="20"/>
          <w:szCs w:val="20"/>
          <w:color w:val="auto"/>
        </w:rPr>
      </w:pPr>
      <w:r>
        <w:rPr>
          <w:rFonts w:ascii="Arial" w:cs="Arial" w:eastAsia="Arial" w:hAnsi="Arial"/>
          <w:sz w:val="18"/>
          <w:szCs w:val="18"/>
          <w:b w:val="1"/>
          <w:bCs w:val="1"/>
          <w:i w:val="1"/>
          <w:iCs w:val="1"/>
          <w:color w:val="auto"/>
        </w:rPr>
        <w:t>Non-compliance with or changes in laws, regulations or licensing requirements applicable to us could restrict our ability to conduct our business and impact our results of operations and financial condition.</w:t>
      </w:r>
    </w:p>
    <w:p>
      <w:pPr>
        <w:spacing w:after="0" w:line="139"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The industry in which we operate is subject to extensive regulation. We are subject to regulation and supervision both federally and in each applicable local jurisdiction. In general, these regulations are designed to protect customers, policyholders and insureds, and to protect the integrity of the financial markets, rather than to protect stockholders or creditors. Our ability to conduct business in these jurisdictions depends on our compliance with the rules and regulations promulgated by federal regulatory bodies and other regulatory authorities, including requirements to maintain surety bonds in a number of states. Failure to comply with regulatory requirements, or changes in regulatory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6" w:lineRule="auto"/>
        <w:rPr>
          <w:sz w:val="20"/>
          <w:szCs w:val="20"/>
          <w:color w:val="auto"/>
        </w:rPr>
      </w:pPr>
      <w:r>
        <w:rPr>
          <w:rFonts w:ascii="Arial" w:cs="Arial" w:eastAsia="Arial" w:hAnsi="Arial"/>
          <w:sz w:val="17"/>
          <w:szCs w:val="17"/>
          <w:color w:val="auto"/>
        </w:rPr>
        <w:t>requirements or interpretations, could result in actions by regulators, potentially leading to fines and penalties, adverse publicity, and damage to our reputation in the marketplace. We may be unable to adapt effectively to any changes in law. Furthermore, in some areas of our businesses, we act on the basis of our own or the industry’s interpretations of applicable laws or regulations, which may conflict from state to state. In the event those interpretations eventually prove different from the interpretations of regulatory authorities, we may be penalized. In extreme cases, revocation of our authority to do business in one or more jurisdictions could result from failure to comply with regulatory requirements. In addition, we could face lawsuits by consumers (including class action lawsuits), insureds, and other parties for alleged violations of certain of these laws and regulations. It is difficult to predict whether changes resulting from new laws and regulations, as well as changes in interpretation of current laws and regulations, will affect the industry or our business and, if so, to what degree.</w:t>
      </w:r>
    </w:p>
    <w:p>
      <w:pPr>
        <w:spacing w:after="0" w:line="168"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Insurance agents and their principals who engage in the solicitation, negotiation or sale of insurance, or provide certain other insurance services, generally are required to be licensed individually. Insurance laws and regulations govern whether licensees may share commissions with unlicensed entities and individuals. We believe that any payments we make to third parties are in compliance with applicable laws. However, should any regulatory agency take a contrary position and prevail, we will be required to change the manner in which we pay fees to such agents or principals or require entities receiving such payments to become registered or licensed.</w:t>
      </w:r>
    </w:p>
    <w:p>
      <w:pPr>
        <w:spacing w:after="0" w:line="176"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State insurance laws grant supervisory agencies, including state insurance departments, broad administrative authority. State insurance regulators and the National Association of Insurance Commissioners continually review existing laws and regulations, some of which affect our business. These supervisory agencies regulate many aspects of the insurance business, including the licensing of insurance brokers and agents and other insurance intermediaries, the handling of third-party funds held in a fiduciary capacity, and trade practices, such as marketing, advertising and compensation arrangements entered into by insurance brokers and agents. These regulators are also increasingly focused on the use of AI in offering and underwriting consumer products. In addition, because we act as both a producer and a third-party administrator to support policy distribution and provide certain administrative services on behalf of carriers, we are required to maintain various state licenses to operate in these roles. Failure to obtain or maintain these licenses, or to comply with associated regulatory requirements, could impair our ability to operate in certain jurisdictions and adversely affect our business. This legal and regulatory oversight could reduce our profitability or limit our growth by increasing the costs of legal and regulatory compliance and by limiting or restricting the products or services we sell, the markets we serve or enter, the methods by which we sell our products and services, and the form of compensation we can accept from our consumers, carriers, and third parties.</w:t>
      </w:r>
    </w:p>
    <w:p>
      <w:pPr>
        <w:spacing w:after="0" w:line="18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are also subject to U.S. federal and state laws governing marketing and consumer outreach. For example, certain outreach activities, such as marketing calls or text messages, may be subject to Telephone Consumer Protection Act, or TCPA, as interpreted and implemented by the Federal Communications Commission, or FCC and U.S. courts, as well as similar state telemarketing laws, which regulate how and when such communications may be made and can impose significant restrictions on the use of telephone calls and text messages to residential and mobile telephone numbers as a means of communication when prior consent of the person being contacted has not been obtained. Violations of the TCPA may be enforced by the FCC or by individuals through litigation, as we have experienced in the past, including through costly class actions, of which numerous suits under federal and state laws have been filed in recent years against companies who conduct telemarketing and/or SMS texting programs, resulting in significant judgements or settlement awards to the plaintiffs. Further, any changes to the TCPA, its interpretation, or enforcement that further restricts the way we or our agents contact and communicate with potential consumers or generate leads could harm our business, financial condition, and result of operations. Additionally, CAN-SPAM establishes specific requirements for commercial email messages and specifies penalties for the transmission of commercial email. Although we have implemented compliance</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procedures and may rely on enterprise partners or vendors to manage these activities, we may still face, and have faced, regulatory scrutiny or claims regarding actual or perceived violations of these laws. Our uses of certain personal or health information for marketing and other purposes may also be restricted by federal and state laws and regulations. In addition, because we facilitate financial transactions in connection with the sale and servicing of insurance policies, and collect personal and financial data from applicants, we are subject to certain anti-money laundering and economic sanctions laws and regulations, including those administered by the U.S. Department of the Treasury’s Office of Foreign Assets Control, or OFAC. Failure to comply with these requirements could result in significant penalties, regulatory investigations, reputational harm, or limitations on our ability to operate.</w:t>
      </w:r>
    </w:p>
    <w:p>
      <w:pPr>
        <w:spacing w:after="0" w:line="18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Additionally, federal, state, and other regulatory authorities have focused on, and continue to devote substantial attention to, the insurance industry as well as to the sale of products or services to seniors. Regulatory review or the issuance of interpretations of existing laws and regulations may result in the enactment of new laws and regulations that could adversely affect our operations or our ability to conduct business profitably. In addition, the growth of our product mix to include more complex or variable products further exposes us to risk and regulatory scrutiny of the sale of such products to seniors. For example, our platform now includes wills and estate planning services, which may subject us to additional legal and regulatory requirements, including those relating to the unauthorized practice of law, state-specific documentation standards, and marketing to seniors. We are unable to predict whether any such laws or regulations will be enacted and to what extent such laws and regulations would affect our business.</w:t>
      </w:r>
    </w:p>
    <w:p>
      <w:pPr>
        <w:spacing w:after="0" w:line="182" w:lineRule="exact"/>
        <w:rPr>
          <w:sz w:val="20"/>
          <w:szCs w:val="20"/>
          <w:color w:val="auto"/>
        </w:rPr>
      </w:pPr>
    </w:p>
    <w:p>
      <w:pPr>
        <w:ind w:left="120" w:right="160" w:firstLine="551"/>
        <w:spacing w:after="0" w:line="278" w:lineRule="auto"/>
        <w:rPr>
          <w:sz w:val="20"/>
          <w:szCs w:val="20"/>
          <w:color w:val="auto"/>
        </w:rPr>
      </w:pPr>
      <w:r>
        <w:rPr>
          <w:rFonts w:ascii="Arial" w:cs="Arial" w:eastAsia="Arial" w:hAnsi="Arial"/>
          <w:sz w:val="18"/>
          <w:szCs w:val="18"/>
          <w:b w:val="1"/>
          <w:bCs w:val="1"/>
          <w:i w:val="1"/>
          <w:iCs w:val="1"/>
          <w:color w:val="auto"/>
        </w:rPr>
        <w:t>Fluctuations or an overall decline in economic activity, or any adverse trends in the life insurance industry, could have a material adverse effect on the financial condition and results of operations of our business</w:t>
      </w:r>
      <w:r>
        <w:rPr>
          <w:rFonts w:ascii="Arial" w:cs="Arial" w:eastAsia="Arial" w:hAnsi="Arial"/>
          <w:sz w:val="18"/>
          <w:szCs w:val="18"/>
          <w:color w:val="auto"/>
        </w:rPr>
        <w:t>.</w:t>
      </w:r>
    </w:p>
    <w:p>
      <w:pPr>
        <w:spacing w:after="0" w:line="139"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Macroeconomic challenges, including adverse conditions resulting from uncertainty concerning tariffs, the volatility and strength of the capital markets, increased rates of inflation, high interest rates, government shutdowns, debt ceilings or funding, and public health emergencies can and have affected the life insurance industry. Life insurance trends have historically been impacted by changes in interest rates, employment levels, and median household income. The current macroeconomic environment, characterized by elevated interest rates and heightened consumer price sensitivity, has impacted and may continue to impact the insurance industry, including by contributing to fluctuations in policy demand and pricing behavior across the industry. Downward fluctuations in the year-over-year insurance premiums charged by insurers to protect against the same risk could adversely affect our commission rates and our revenue growth and margins. Shifts in life insurance trends resulting from macroeconomic uncertainty or changes in mortality rates also harm our ability to accurately predict our business trends as well as our persistency assumptions, which can cause fluctuations in revenue and cash flow in future periods, including from policy cancellations. Insolvencies and consolidations associated with an economic downturn, especially insolvencies in the insurance industry, could adversely affect our business through the reduction in activity of or loss of carriers or agencies as well as a slowdown in the life insurance market. Also, some of our consumers or some agencies may experience liquidity problems or other financial difficulties in the event of a prolonged deterioration in macroeconomic conditions or a recession, which could result in our consumers becoming more price-sensitive to life insurance products and may reduce our ability to or impact the rate at which we recover the portion of agent payments due back to us from terminations. Shifts in consumer demand for product offerings away from those that we or our carriers offer may also negatively impact our revenue growth and margins. For all these reasons, a decline in economic activity could have a material adverse effect on our business, financial condition, and results of operations.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right="220" w:firstLine="551"/>
        <w:spacing w:after="0" w:line="278" w:lineRule="auto"/>
        <w:rPr>
          <w:sz w:val="20"/>
          <w:szCs w:val="20"/>
          <w:color w:val="auto"/>
        </w:rPr>
      </w:pPr>
      <w:r>
        <w:rPr>
          <w:rFonts w:ascii="Arial" w:cs="Arial" w:eastAsia="Arial" w:hAnsi="Arial"/>
          <w:sz w:val="18"/>
          <w:szCs w:val="18"/>
          <w:b w:val="1"/>
          <w:bCs w:val="1"/>
          <w:i w:val="1"/>
          <w:iCs w:val="1"/>
          <w:color w:val="auto"/>
        </w:rPr>
        <w:t>Our inability to successfully recover should we experience a disaster or other business continuity problem could cause material financial loss, loss of human capital, regulatory actions, reputational harm or legal liability.</w:t>
      </w:r>
    </w:p>
    <w:p>
      <w:pPr>
        <w:spacing w:after="0" w:line="139"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Our operations are dependent upon our ability to protect our personnel, offices, and technology infrastructure against damage from business continuity events that could have a significant disruptive effect on our operations. Should we or our critical third-party service providers experience a local or regional disaster or other business continuity problem, such as an earthquake, hurricane, terrorist attack, pandemic, protest or riot, security breach, cyberattack or other similar incident, power loss, telecommunications failure, or other natural or man-made disaster, our continued success will depend, in part, on the availability of personnel, office facilities, and the proper functioning of computer, telecommunication, and other related systems and operations. In events like these, while our operational size, the multiple locations from which we operate, our hybrid work model, and our existing backup systems provide us with some degree of flexibility, we still can experience near-term operational challenges in particular areas of our operations. We could potentially lose key executives, personnel, consumer data or experience material adverse interruptions to our operations or delivery of services to consumers in a disaster recovery scenario. We may experience additional disruption due to system upgrades, outages or an increase in remote work. Our inability to successfully recover, should we experience a disaster or other business continuity problem, could materially interrupt our business operations and cause material financial loss, loss of human capital, regulatory actions, reputational harm, damaged consumer relationships, or legal liability. Our insurance coverage with respect to natural disasters is limited and is subject to deductibles and coverage limits. Such coverage may not be adequate, or may not continue to be available at commercially reasonable rates and terms.</w:t>
      </w:r>
    </w:p>
    <w:p>
      <w:pPr>
        <w:spacing w:after="0" w:line="191" w:lineRule="exact"/>
        <w:rPr>
          <w:sz w:val="20"/>
          <w:szCs w:val="20"/>
          <w:color w:val="auto"/>
        </w:rPr>
      </w:pPr>
    </w:p>
    <w:p>
      <w:pPr>
        <w:ind w:left="120" w:right="20" w:firstLine="551"/>
        <w:spacing w:after="0" w:line="256" w:lineRule="auto"/>
        <w:rPr>
          <w:sz w:val="20"/>
          <w:szCs w:val="20"/>
          <w:color w:val="auto"/>
        </w:rPr>
      </w:pPr>
      <w:r>
        <w:rPr>
          <w:rFonts w:ascii="Arial" w:cs="Arial" w:eastAsia="Arial" w:hAnsi="Arial"/>
          <w:sz w:val="18"/>
          <w:szCs w:val="18"/>
          <w:b w:val="1"/>
          <w:bCs w:val="1"/>
          <w:i w:val="1"/>
          <w:iCs w:val="1"/>
          <w:color w:val="auto"/>
        </w:rPr>
        <w:t>If we are unable to apply technology effectively in driving value for our consumers through technology-based solutions or gain internal efficiencies and effective internal controls through the application of technology and related tools, our operating results, consumer relationships, growth, and compliance programs could be adversely affected.</w:t>
      </w:r>
    </w:p>
    <w:p>
      <w:pPr>
        <w:spacing w:after="0" w:line="159"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future success depends, in part, on our ability to anticipate and respond effectively to the threat of, and the opportunity presented by, digital disruption and other technology changes. These may include new applications or insurance-related services based on AI or machine learning technologies. We may be exposed to competitive risks related to the adoption and application of new technologies by established market participants (for example, through disintermediation) or new entrants such as technology companies, Insurtech start-up companies, and others. We must also develop and implement technology solutions and technical expertise among our employees that anticipate and keep pace with rapid and continuing changes in technology, industry standards, customer preferences and internal control standards. We may not be successful in anticipating or responding to these developments on a timely and cost-effective basis, and our ideas may not be accepted in the marketplace. Additionally, the effort to gain technological expertise and develop new technologies in our business requires us to incur significant expenses. Our technological development projects may also not deliver the benefits we expect once they are completed or may be replaced or become obsolete more quickly than expected, which could result in the accelerated recognition of expenses. If we cannot offer new technologies as quickly as our competitors, or if our competitors develop more cost-effective technologies or product offerings, we could experience a material adverse effect on our operating results, consumer relationships, growth, and compliance programs.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right="120" w:firstLine="551"/>
        <w:spacing w:after="0" w:line="256" w:lineRule="auto"/>
        <w:rPr>
          <w:sz w:val="20"/>
          <w:szCs w:val="20"/>
          <w:color w:val="auto"/>
        </w:rPr>
      </w:pPr>
      <w:r>
        <w:rPr>
          <w:rFonts w:ascii="Arial" w:cs="Arial" w:eastAsia="Arial" w:hAnsi="Arial"/>
          <w:sz w:val="18"/>
          <w:szCs w:val="18"/>
          <w:b w:val="1"/>
          <w:bCs w:val="1"/>
          <w:i w:val="1"/>
          <w:iCs w:val="1"/>
          <w:color w:val="auto"/>
        </w:rPr>
        <w:t>If we do not continue to innovate and further develop our platform, our platform developments do not perform, we do not successfully manage our platform strategy, or we are not able to keep pace with technological developments, we may not remain competitive and our business and results of operations could suffer.</w:t>
      </w:r>
    </w:p>
    <w:p>
      <w:pPr>
        <w:spacing w:after="0" w:line="159"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Our success depends in part on our ability to continue to innovate and further develop our platform. To remain competitive, we must continuously enhance and improve the functionality and features of our platform, including our website and mobile application and the suite of agent and other customer services that we offer through our platform. To compete effectively, we must also provide a convenient, efficient, and reliable customer experience on our platform, and we may be unable to effectively address customer needs or identify emerging customer trends.</w:t>
      </w:r>
    </w:p>
    <w:p>
      <w:pPr>
        <w:spacing w:after="0" w:line="17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In addition, any new features or functionalities for our platform that we develop may not be introduced in a timely or cost-effective manner, may contain errors or defects, or may not achieve broad market acceptance. Agents may delay adoption and use of new features or functionalities and compare them against potentially competitive products in the market. Further, we may make changes to our platform and platform strategy that consumers, agents, or carriers do not find useful, and we may discontinue certain features or functionalities that our consumers or agents have otherwise enjoyed. Failure to effectively manage our platform and platform strategy could lead to consumer, agent or carrier dissatisfaction, which could adversely affect our business and operating results. If existing and new consumers do not perceive the services provided by agents that utilize our platform or the products offered by carriers on our platform to be reliable, competitive, and affordable, or if we fail to offer new and relevant features and functionalities on our platform, we may not be able to attract consumers or to increase the number of policies activated on our platform, any of which could adversely affect our business, financial condition, and results of operations.</w:t>
      </w:r>
    </w:p>
    <w:p>
      <w:pPr>
        <w:spacing w:after="0" w:line="180"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Further, if competitors introduce new features, offerings, or technologies, or if new industry standards and practices or customer trends emerge, our existing technology, services, websites, and mobile application may become less popular or obsolete. In the event that our competitors’ technology is, or is perceived to be, superior to our or our partners’ technology, they may be able to leverage such technology to compete more effectively with us, which could adversely affect our business, financial condition, and results of operations. Our future success could depend in large part on our ability to invest in, develop, and respond to technological advances and emerging industry standards and practices in a cost-effective and timely manner.</w:t>
      </w:r>
    </w:p>
    <w:p>
      <w:pPr>
        <w:spacing w:after="0" w:line="181" w:lineRule="exact"/>
        <w:rPr>
          <w:sz w:val="20"/>
          <w:szCs w:val="20"/>
          <w:color w:val="auto"/>
        </w:rPr>
      </w:pPr>
    </w:p>
    <w:p>
      <w:pPr>
        <w:ind w:left="120" w:right="380" w:firstLine="551"/>
        <w:spacing w:after="0" w:line="278" w:lineRule="auto"/>
        <w:rPr>
          <w:sz w:val="20"/>
          <w:szCs w:val="20"/>
          <w:color w:val="auto"/>
        </w:rPr>
      </w:pPr>
      <w:r>
        <w:rPr>
          <w:rFonts w:ascii="Arial" w:cs="Arial" w:eastAsia="Arial" w:hAnsi="Arial"/>
          <w:sz w:val="18"/>
          <w:szCs w:val="18"/>
          <w:b w:val="1"/>
          <w:bCs w:val="1"/>
          <w:i w:val="1"/>
          <w:iCs w:val="1"/>
          <w:color w:val="auto"/>
        </w:rPr>
        <w:t>Our inability to retain or hire qualified employees, as well as the loss of any of our executive officers, could negatively impact our ability to retain existing business and generate new business.</w:t>
      </w:r>
    </w:p>
    <w:p>
      <w:pPr>
        <w:spacing w:after="0" w:line="139"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success depends on our ability to attract and retain skilled and experienced personnel. There is significant competition from within the insurance industry and from businesses outside the industry for exceptional employees, especially in key positions. Our competitors may be able to offer a work environment with higher compensation or more opportunities than we can. Any new personnel we hire may not be or become as productive as we expect, as we may face challenges adequately or appropriately integrating them into our workforce culture. Our effort to retain and develop personnel may also result in significant additional expenses, which could adversely affect our profitability. If we are unable to successfully attract, retain, and motivate our employees, whether as a result of an insufficient number of qualified applicants, difficulty in recruiting new employees, or inadequate resources to train, integrate, and retain qualified employees, our business, financial condition, results of operations, and reputation could be materially and adversely affected.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500" w:firstLine="551"/>
        <w:spacing w:after="0" w:line="271" w:lineRule="auto"/>
        <w:rPr>
          <w:sz w:val="20"/>
          <w:szCs w:val="20"/>
          <w:color w:val="auto"/>
        </w:rPr>
      </w:pPr>
      <w:r>
        <w:rPr>
          <w:rFonts w:ascii="Arial" w:cs="Arial" w:eastAsia="Arial" w:hAnsi="Arial"/>
          <w:sz w:val="18"/>
          <w:szCs w:val="18"/>
          <w:color w:val="auto"/>
        </w:rPr>
        <w:t>If any of our key professionals were to join an existing competitor or form a competing company, some of our carriers, agency counterparties, and consumers could choose to use the services of that competitor instead of our services.</w:t>
      </w:r>
    </w:p>
    <w:p>
      <w:pPr>
        <w:spacing w:after="0" w:line="15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In addition, we could be adversely affected if we fail to adequately plan for the succession of our senior management, including our founders, executives, and key personnel. We currently do not maintain key person insurance on these individuals. Although we operate with a decentralized management system, the loss of our senior management or other key personnel in any circumstance, including any limitation on the performance of their duties or short- or long-term absence as a result of an acute illness, or our inability to continue to identify, recruit, and retain such personnel, could materially and adversely affect our business, financial condition, and results of operations. While we have employment contracts with members of senior management, as well as our key employees, they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85" w:lineRule="exact"/>
        <w:rPr>
          <w:sz w:val="20"/>
          <w:szCs w:val="20"/>
          <w:color w:val="auto"/>
        </w:rPr>
      </w:pPr>
    </w:p>
    <w:p>
      <w:pPr>
        <w:ind w:left="120" w:right="20" w:firstLine="551"/>
        <w:spacing w:after="0" w:line="278" w:lineRule="auto"/>
        <w:rPr>
          <w:sz w:val="20"/>
          <w:szCs w:val="20"/>
          <w:color w:val="auto"/>
        </w:rPr>
      </w:pPr>
      <w:r>
        <w:rPr>
          <w:rFonts w:ascii="Arial" w:cs="Arial" w:eastAsia="Arial" w:hAnsi="Arial"/>
          <w:sz w:val="18"/>
          <w:szCs w:val="18"/>
          <w:b w:val="1"/>
          <w:bCs w:val="1"/>
          <w:i w:val="1"/>
          <w:iCs w:val="1"/>
          <w:color w:val="auto"/>
        </w:rPr>
        <w:t>Any failure to offer high-quality support for our platform may harm our relationships with consumers, agents, and carriers and could adversely affect our business, financial condition, and results of operations.</w:t>
      </w:r>
    </w:p>
    <w:p>
      <w:pPr>
        <w:spacing w:after="0" w:line="13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ability to attract and retain consumers, agents, and carriers is dependent in part on our ability to provide high-quality support for our platform. Consumers, agents, agencies, and carriers depend on our support organization to resolve any issues relating to our platform. If we are unable to resolve issues in a timely and effective manner, whether raised by prospective or existing policyholders, or by agents and agencies, those users may lose trust in our platform, disengage from our offerings, or shift their business elsewhere. This could result in lower policy volume, reputational harm, and reduced commission revenue. As we continue to grow our business and expand our offerings, we will face challenges related to providing high-quality platform support services at scale. Any failure to maintain high-quality support for our platform, or a market perception that we do not maintain high-quality support, could harm our reputation and adversely affect our ability to scale our platform and business, our financial condition, and results of operations.</w:t>
      </w:r>
    </w:p>
    <w:p>
      <w:pPr>
        <w:spacing w:after="0" w:line="182" w:lineRule="exact"/>
        <w:rPr>
          <w:sz w:val="20"/>
          <w:szCs w:val="20"/>
          <w:color w:val="auto"/>
        </w:rPr>
      </w:pPr>
    </w:p>
    <w:p>
      <w:pPr>
        <w:ind w:left="120" w:right="400" w:firstLine="551"/>
        <w:spacing w:after="0" w:line="278" w:lineRule="auto"/>
        <w:rPr>
          <w:sz w:val="20"/>
          <w:szCs w:val="20"/>
          <w:color w:val="auto"/>
        </w:rPr>
      </w:pPr>
      <w:r>
        <w:rPr>
          <w:rFonts w:ascii="Arial" w:cs="Arial" w:eastAsia="Arial" w:hAnsi="Arial"/>
          <w:sz w:val="18"/>
          <w:szCs w:val="18"/>
          <w:b w:val="1"/>
          <w:bCs w:val="1"/>
          <w:i w:val="1"/>
          <w:iCs w:val="1"/>
          <w:color w:val="auto"/>
        </w:rPr>
        <w:t>We use third-party cloud service providers to deliver our platform services. Any disruption of services from our cloud service providers could harm our business.</w:t>
      </w:r>
    </w:p>
    <w:p>
      <w:pPr>
        <w:spacing w:after="0" w:line="139" w:lineRule="exact"/>
        <w:rPr>
          <w:sz w:val="20"/>
          <w:szCs w:val="20"/>
          <w:color w:val="auto"/>
        </w:rPr>
      </w:pPr>
    </w:p>
    <w:p>
      <w:pPr>
        <w:ind w:left="120" w:right="200" w:firstLine="551"/>
        <w:spacing w:after="0" w:line="253" w:lineRule="auto"/>
        <w:rPr>
          <w:sz w:val="20"/>
          <w:szCs w:val="20"/>
          <w:color w:val="auto"/>
        </w:rPr>
      </w:pPr>
      <w:r>
        <w:rPr>
          <w:rFonts w:ascii="Arial" w:cs="Arial" w:eastAsia="Arial" w:hAnsi="Arial"/>
          <w:sz w:val="18"/>
          <w:szCs w:val="18"/>
          <w:color w:val="auto"/>
        </w:rPr>
        <w:t>We currently manage our platform services and serve all of our consumers through third-party cloud computing services, such as Amazon Web Services. If, for any reason, we are required to migrate our computing to other cloud service providers, such a transition could require significant time and expense and our business could be adversely impacted.</w:t>
      </w:r>
    </w:p>
    <w:p>
      <w:pPr>
        <w:spacing w:after="0" w:line="169"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Our third-party cloud service providers do not guarantee that access to our platform will be uninterrupted or error-free. Any damage to, or failure of, our providers’ systems could result in interruptions to our platform. Interruptions in our services would reduce our revenue, subject us to potential liability and adversely affect our ability to retain our consumers or attract new consumers and would also impact our relationships with carriers and agents using our platform. The performance, reliability, and availability of our platform is critical to our reputation and our ability to attract and retain consumers, agents, and carriers with whom we have a direct relationship. If service interruptions occur, consumers, agents, or carriers could share information about negative experiences on social media or via other channels, which could result in damage to our reputation and loss of future sales. In addition, the hosting costs for our cloud services have increased over time and may increase further if we continue to require more computing or storage capacity and such capacity may not be available on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same terms or with the same costs or at all. These costs could adversely impact our business and financial condition.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financial condition, and results of operations may be negatively affected by E&amp;O claims.</w:t>
      </w:r>
    </w:p>
    <w:p>
      <w:pPr>
        <w:spacing w:after="0" w:line="210"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We are subject to claims and litigation in the ordinary course of business resulting from alleged and actual errors and omissions in placing insurance and rendering coverage advice. These activities involve substantial amounts of money. Since E&amp;O claims against us may allege our liability for all or part of the amounts in question, claimants may seek large damage awards. These claims can involve significant defense costs. Errors and omissions could include failure, whether negligently or intentionally, to place coverage on behalf of consumers, to provide carriers with complete and accurate information relating to the risks being insured, or to appropriately apply funds that we hold on a fiduciary basis. It is not always possible to prevent or detect errors and omissions, and the precautions we take may not be effective in all cases.</w:t>
      </w:r>
    </w:p>
    <w:p>
      <w:pPr>
        <w:spacing w:after="0" w:line="185"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We have errors and omissions insurance coverage to protect against the risk of liability resulting from our alleged and actual errors and omissions. Prices for this insurance and the scope and limits of the coverage terms available are dependent on our claims history as well as market conditions that are outside of our control. While we endeavor to purchase coverage that is appropriate to our assessment of our risk, we are unable to predict with certainty the frequency, nature or magnitude of claims for direct or consequential damages or whether our errors and omissions insurance will cover such claims.</w:t>
      </w:r>
    </w:p>
    <w:p>
      <w:pPr>
        <w:spacing w:after="0" w:line="176" w:lineRule="exact"/>
        <w:rPr>
          <w:sz w:val="20"/>
          <w:szCs w:val="20"/>
          <w:color w:val="auto"/>
        </w:rPr>
      </w:pPr>
    </w:p>
    <w:p>
      <w:pPr>
        <w:ind w:left="120" w:right="260" w:firstLine="551"/>
        <w:spacing w:after="0" w:line="247" w:lineRule="auto"/>
        <w:rPr>
          <w:sz w:val="20"/>
          <w:szCs w:val="20"/>
          <w:color w:val="auto"/>
        </w:rPr>
      </w:pPr>
      <w:r>
        <w:rPr>
          <w:rFonts w:ascii="Arial" w:cs="Arial" w:eastAsia="Arial" w:hAnsi="Arial"/>
          <w:sz w:val="18"/>
          <w:szCs w:val="18"/>
          <w:color w:val="auto"/>
        </w:rPr>
        <w:t>In establishing liabilities for E&amp;O claims, we utilize case level reviews by inside and outside counsel and an internal analysis to estimate potential losses. The liability is reviewed annually and adjusted as developments warrant. Given the unpredictability of E&amp;O claims and of litigation that could flow from them, an adverse outcome in a particular matter could have a material adverse effect on our results of operations, financial condition or cash flow in a given quarterly or annual period.</w:t>
      </w:r>
    </w:p>
    <w:p>
      <w:pPr>
        <w:spacing w:after="0" w:line="176" w:lineRule="exact"/>
        <w:rPr>
          <w:sz w:val="20"/>
          <w:szCs w:val="20"/>
          <w:color w:val="auto"/>
        </w:rPr>
      </w:pPr>
    </w:p>
    <w:p>
      <w:pPr>
        <w:ind w:left="120" w:right="480" w:firstLine="551"/>
        <w:spacing w:after="0" w:line="256" w:lineRule="auto"/>
        <w:rPr>
          <w:sz w:val="20"/>
          <w:szCs w:val="20"/>
          <w:color w:val="auto"/>
        </w:rPr>
      </w:pPr>
      <w:r>
        <w:rPr>
          <w:rFonts w:ascii="Arial" w:cs="Arial" w:eastAsia="Arial" w:hAnsi="Arial"/>
          <w:sz w:val="18"/>
          <w:szCs w:val="18"/>
          <w:b w:val="1"/>
          <w:bCs w:val="1"/>
          <w:i w:val="1"/>
          <w:iCs w:val="1"/>
          <w:color w:val="auto"/>
        </w:rPr>
        <w:t>In connection with the implementation of our corporate strategies, we face risks associated with the acquisition or disposition of businesses, the entry into new lines of business, the integration of acquired businesses, and the growth and development of these businesses.</w:t>
      </w:r>
    </w:p>
    <w:p>
      <w:pPr>
        <w:spacing w:after="0" w:line="159"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In pursuing our corporate strategy, we have in the past acquired, and may in the future acquire, other businesses or dispose of or exit businesses we currently own. The success of this strategy is dependent upon our ability to identify appropriate acquisition and disposition targets, negotiate transactions on favorable terms, complete transactions and, in the case of acquisitions, successfully integrate them into our existing businesses. If a proposed transaction is not consummated, the time and resources spent in researching it could adversely result in missed opportunities to locate and acquire other businesses. If we make acquisitions, we may not realize the anticipated benefits of such acquisitions, including revenue growth, operational efficiencies or expected synergies. If we dispose of or otherwise exit certain businesses, we may incur material disposition-related charges, or we may be unable to reduce overhead related to the divested assets.</w:t>
      </w:r>
    </w:p>
    <w:p>
      <w:pPr>
        <w:spacing w:after="0" w:line="18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From time to time, either through acquisitions or internal development, we may enter new lines of business or offer new products and services within existing lines of business. These new lines of business or new products and services may present additional risks, particularly in instances where the markets are not fully developed. Such risks include the investment of significant time and resources; the possibility that these efforts will not be successful; the possibility that the marketplace does not accept our products or services, or that we are unable to retain consumers that adopt our new products or services; and the risk of additional liabilities associated with these efforts. In addition, many of the businesses that we acquire and develop will likely have significantly smaller scales of operations prior to the implementation of our growth strategy. If we are not able to manage the growing complexity of these businesses, including improving, refining, or revising our systems and operational practices, and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enlarging the scale and scope of the businesses, our business may be adversely affected. Other risks include developing knowledge of and experience in the new business, integrating the acquired business into our systems and culture, recruiting professionals, and developing and capitalizing on new relationships with experienced market participants. External factors, such as compliance with new or revised regulations, competitive alternatives and shifting market preferences may also impact the successful implementation of a new line of business. Failure to manage these risks in the acquisition or development of new businesses could materially and adversely affect our business, financial condition and results of operations.</w:t>
      </w:r>
    </w:p>
    <w:p>
      <w:pPr>
        <w:spacing w:after="0" w:line="181" w:lineRule="exact"/>
        <w:rPr>
          <w:sz w:val="20"/>
          <w:szCs w:val="20"/>
          <w:color w:val="auto"/>
        </w:rPr>
      </w:pPr>
    </w:p>
    <w:p>
      <w:pPr>
        <w:ind w:left="120" w:right="140" w:firstLine="551"/>
        <w:spacing w:after="0" w:line="256" w:lineRule="auto"/>
        <w:rPr>
          <w:sz w:val="20"/>
          <w:szCs w:val="20"/>
          <w:color w:val="auto"/>
        </w:rPr>
      </w:pPr>
      <w:r>
        <w:rPr>
          <w:rFonts w:ascii="Arial" w:cs="Arial" w:eastAsia="Arial" w:hAnsi="Arial"/>
          <w:sz w:val="18"/>
          <w:szCs w:val="18"/>
          <w:b w:val="1"/>
          <w:bCs w:val="1"/>
          <w:i w:val="1"/>
          <w:iCs w:val="1"/>
          <w:color w:val="auto"/>
        </w:rPr>
        <w:t>If we fail to improve and enhance the functionality, performance, reliability, design, security, and scalability of our platform and innovate and introduce new solutions in a manner that responds to our consumers’ evolving needs, our business may be adversely affected.</w:t>
      </w:r>
    </w:p>
    <w:p>
      <w:pPr>
        <w:spacing w:after="0" w:line="159"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life insurance markets in which we compete are characterized by constant change and innovation and we expect them to continue to evolve rapidly. Our success has been based on our ability to identify and anticipate the needs of our consumers and design and maintain a platform that provides them with the tools they need to operate their businesses. Our ability to attract new consumers, earn renewal revenue, being commissions received from the carrier after the first term of a policy, from existing consumers and increase sales to both new and existing consumers will depend in large part on our ability to continue to improve and enhance the functionality, performance, reliability, design, security, and scalability of our platform and to innovate and introduce new solutions. If we fail to anticipate and address consumers’ rapidly changing needs and expectations or adapt to emerging trends, our reputation could be harmed and our business, operating results, and financial condition could suffer.</w:t>
      </w:r>
    </w:p>
    <w:p>
      <w:pPr>
        <w:spacing w:after="0" w:line="180"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Furthermore, we expect adoption of our platform and solutions by carriers, agency counterparties, agents, and consumers to increase. As the number of carriers with greater product offerings increases, so does the need for us to offer increased functionality, performance, reliability, scalability, and support, which requires us to devote additional resources to such efforts. Furthermore, as adoption of our platform and solutions by carriers, agency counterparties, agents, and consumers increases, so does the scrutiny and audit requirements imposed on us by our partners, which may demand assurances regarding the security and compliance of our platform. We have in the past, and may in the future be required to undergo third-party audits or obtain industry certifications to validate the effectiveness of our controls. These audits and certifications can be costly and time-consuming. To the extent we are not able to enhance our platform’s functionality to satisfy these requirements, our business, operating results, reputation, and financial condition could be adversely affected.</w:t>
      </w:r>
    </w:p>
    <w:p>
      <w:pPr>
        <w:spacing w:after="0" w:line="18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may experience difficulties with software development that could delay or prevent the development, introduction, or implementation of new solutions and enhancements. We must also continually update, test, and enhance our software platform. The continual improvement and enhancement of our platform requires significant investment and we may not have the resources to make such investment. We may make significant investments in new solutions or enhancements that may not achieve expected returns and such solutions or enhancements may not result in our ability to recoup our investments in a timely manner, or at all. The improvement and enhancement of the functionality, performance, reliability, design, security, and scalability of our platform is expensive and complex, and to the extent we are not able to execute on these efforts in a manner that responds to our consumers’ evolving needs, our business, operating results, and financial condition will be adversely affected.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results may be adversely affected by changes in the mode of compensation in the insurance industry.</w:t>
      </w:r>
    </w:p>
    <w:p>
      <w:pPr>
        <w:spacing w:after="0" w:line="210" w:lineRule="exact"/>
        <w:rPr>
          <w:sz w:val="20"/>
          <w:szCs w:val="20"/>
          <w:color w:val="auto"/>
        </w:rPr>
      </w:pPr>
    </w:p>
    <w:p>
      <w:pPr>
        <w:jc w:val="both"/>
        <w:ind w:left="120" w:right="120" w:firstLine="551"/>
        <w:spacing w:after="0" w:line="253" w:lineRule="auto"/>
        <w:rPr>
          <w:sz w:val="20"/>
          <w:szCs w:val="20"/>
          <w:color w:val="auto"/>
        </w:rPr>
      </w:pPr>
      <w:r>
        <w:rPr>
          <w:rFonts w:ascii="Arial" w:cs="Arial" w:eastAsia="Arial" w:hAnsi="Arial"/>
          <w:sz w:val="18"/>
          <w:szCs w:val="18"/>
          <w:color w:val="auto"/>
        </w:rPr>
        <w:t>In the past, state regulators have scrutinized the manner in which insurance brokers are compensated. For example, in 2004, the Attorney General of the State of New York brought charges against members of the insurance brokerage community. These actions have created uncertainty</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concerning longstanding methods of compensating insurance brokers. Given that the insurance brokerage industry has faced scrutiny from regulators in the past over its compensation practices, and the transparency and discourse to consumers regarding brokers’ compensation, it is possible that regulators may choose to revisit the same or other practices in the future. If they do so, compliance with new regulations along with any sanctions that might be imposed for past practices deemed improper could have an adverse impact on our future results of operations and inflict significant reputational harm on our business.</w:t>
      </w:r>
    </w:p>
    <w:p>
      <w:pPr>
        <w:spacing w:after="0" w:line="178" w:lineRule="exact"/>
        <w:rPr>
          <w:sz w:val="20"/>
          <w:szCs w:val="20"/>
          <w:color w:val="auto"/>
        </w:rPr>
      </w:pPr>
    </w:p>
    <w:p>
      <w:pPr>
        <w:ind w:left="120" w:firstLine="551"/>
        <w:spacing w:after="0" w:line="278" w:lineRule="auto"/>
        <w:rPr>
          <w:sz w:val="20"/>
          <w:szCs w:val="20"/>
          <w:color w:val="auto"/>
        </w:rPr>
      </w:pPr>
      <w:r>
        <w:rPr>
          <w:rFonts w:ascii="Arial" w:cs="Arial" w:eastAsia="Arial" w:hAnsi="Arial"/>
          <w:sz w:val="18"/>
          <w:szCs w:val="18"/>
          <w:b w:val="1"/>
          <w:bCs w:val="1"/>
          <w:i w:val="1"/>
          <w:iCs w:val="1"/>
          <w:color w:val="auto"/>
        </w:rPr>
        <w:t>Internet search engines drive traffic to our platform and our new user growth could decline if we fail to appear prominently in search results.</w:t>
      </w:r>
    </w:p>
    <w:p>
      <w:pPr>
        <w:spacing w:after="0" w:line="139"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Our success depends in part on our ability to attract consumers through Internet search results on search engines such as Google. The number of consumers we attract to our platform from search engines is due in large part to how and where our websites rank in unpaid search results. These rankings can be affected by a number of factors, many of which are not under our direct control and may change frequently. For example, a search engine may change its ranking algorithms, terms of service, methodologies, or design layouts. As a result, links to our websites may not be prominent enough to drive traffic to our websites, and we may not know how or otherwise be in a position to influence the results. In some instances, search engine companies may change these rankings in a way that promotes their own competing products or services or the products or services of one or more of our competitors. Search engines may also adopt a more aggressive auction-pricing system for keywords that would cause us to incur higher advertising costs or reduce our market visibility to prospective consumers. Any reduction in the number of consumers directed to our platform could adversely affect our business, financial condition, and results of operations.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Damage to our reputation could have a material adverse effect on our business.</w:t>
      </w:r>
    </w:p>
    <w:p>
      <w:pPr>
        <w:spacing w:after="0" w:line="210"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Our reputation is one of our key assets. Our ability to attract and retain consumers is highly dependent upon the external perceptions of our level of service, trustworthiness, business practices, financial condition, and other subjective qualities. If a carrier, agency or group of agents is not satisfied with our platform, we may incur additional costs to address the sources of dissatisfaction or lose the relationship altogether, which may negatively impact other carriers’, agencies’, or agents’ perception regarding us. Our success is also dependent on maintaining a good reputation with existing and potential employees, agents, investors, regulators, and the communities in which we operate. Negative perceptions or publicity regarding these or other matters, including our association with consumers or business partners who themselves have a damaged reputation, or from actual or alleged conduct by us or our employees, could damage our reputation. Any resulting erosion of trust and confidence among existing and potential consumers, existing or potential agents, regulators, and other parties important to the success of our business could make it difficult for us to attract new consumers and maintain existing ones, which could have a material adverse effect on our business, financial condition, and results of operations.</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Intellectual Property, Data Privacy, and Security</w:t>
      </w:r>
    </w:p>
    <w:p>
      <w:pPr>
        <w:spacing w:after="0" w:line="214"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b w:val="1"/>
          <w:bCs w:val="1"/>
          <w:i w:val="1"/>
          <w:iCs w:val="1"/>
          <w:color w:val="auto"/>
        </w:rPr>
        <w:t>We and the third parties with whom we work are subject to stringent and evolving U.S. laws, regulations, and rules, contractual obligations, industry standards, policies, and other obligations related to data privacy and security. Our actual or perceived failure (or that of the third parties with whom we work) to comply with such obligations could lead, and in certain cases has led, to regulatory investigations or actions, litigation (including class action claims) and mass arbitration demands, fines and penalties, disruptions of our business operations, reputational harm, loss of revenue or profits, loss of consumers or sales, and other adverse business consequences.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the ordinary course of business, we collect, receive, store, process, generate, use, transfer, disclose, make accessible, protect, secure, dispose of, transmit, and share, or collectively, process, personal information (which may also be referred to as “personally identifiable information,” “personal data,” “individually identifiable health information,” “consumer health data,” or similar terms), including sensitive information, such as proprietary and confidential business data, trade secrets, intellectual property, sensitive personal information and sensitive third-party data, or collectively, sensitive data. For example, we process personal information (including sensitive data) of our current, prospective, and past customers, which includes health data, financial data, and other personal information and sensitive data (such as social security numbers) as disclosed in our public-facing privacy notices.</w:t>
      </w:r>
    </w:p>
    <w:p>
      <w:pPr>
        <w:spacing w:after="0" w:line="185" w:lineRule="exact"/>
        <w:rPr>
          <w:sz w:val="20"/>
          <w:szCs w:val="20"/>
          <w:color w:val="auto"/>
        </w:rPr>
      </w:pPr>
    </w:p>
    <w:p>
      <w:pPr>
        <w:ind w:left="120" w:right="280" w:firstLine="551"/>
        <w:spacing w:after="0" w:line="247" w:lineRule="auto"/>
        <w:rPr>
          <w:sz w:val="20"/>
          <w:szCs w:val="20"/>
          <w:color w:val="auto"/>
        </w:rPr>
      </w:pPr>
      <w:r>
        <w:rPr>
          <w:rFonts w:ascii="Arial" w:cs="Arial" w:eastAsia="Arial" w:hAnsi="Arial"/>
          <w:sz w:val="18"/>
          <w:szCs w:val="18"/>
          <w:color w:val="auto"/>
        </w:rPr>
        <w:t>Our data collection and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These requirements and obligations also apply to transfers of information among our affiliates, as well as to transactions we enter into with vendors and other third parties.</w:t>
      </w:r>
    </w:p>
    <w:p>
      <w:pPr>
        <w:spacing w:after="0" w:line="174"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the United States, federal, state, and local governments have enacted numerous data privacy and security laws, including data breach notification laws, comprehensive and sector-specific privacy laws and regulations, consumer protection laws (e.g., Section 5 of the Federal Trade Commission Act), and other similar laws (e.g., wiretapping laws). At the U.S. federal level, we are subject to, among other laws, the Gramm-Leach-Bliley Act, or GLBA, which requires financial institutions, including insurers, to, among other things, periodically disclose their privacy policies and practices relating to sharing “nonpublic personal information” and, in some cases, enables customers to opt out of the sharing of certain personal information with unaffiliated third parties. The GLBA also requires financial institutions to implement an information security program that includes administrative, technical, and physical safeguards to ensure the security and confidentiality of customer records and information. We are also subject to the rules and regulations promulgated under the authority of the U.S. Federal Trade Commission, or FTC. The FTC and state regulators enforce a variety of data privacy and cybersecurity issues, such as misrepresentations in privacy policies or failures to appropriately protect information about individuals, as unfair or deceptive acts or practices in or affecting commerce in violation of the FTC Act or similar state laws. While we are not directly subject to the federal Health Insurance Portability and Accountability Act of 1996, as amended, including as amended by the Health Information Technology for Economic and Clinical Health Act, or HITECH, and the regulations that implement such laws (collectively, HIPAA), HIPAA affects certain of our business operations. For example, we obtain individuals’ medical and health information from their medical providers and other entities, which we then use for the purposes of determining applicants’ eligibility for life insurance. Many medical providers and other entities cannot release such medical and health information to us unless the release authorizations signed by the individuals satisfy the applicable HIPAA requirements. We also represent in our contractual agreements with key vendors that we comply with HIPAA’s requirements for authorizations to disclose protected health information.</w:t>
      </w:r>
    </w:p>
    <w:p>
      <w:pPr>
        <w:spacing w:after="0" w:line="182"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Numerous U.S. states have enacted comprehensive privacy laws that impose certain obligations on covered businesses, including providing specific disclosures in privacy notices and affording residents with certain rights concerning their personal information. As applicable, such rights may include the right to access, correct, or delete certain personal information, and to opt-out of certain data processing activities, such as targeted advertising, profiling, sales of personal information, and automated decision-making. The exercise of these rights may impact our business and ability to provide our products and services. Certain states also impose stricter requirements for processing certain personal information, including sensitive personal information, such as conducting data privacy impact assessments and requiring individual’s consent under certain circumstances. These state laws allow for statutory fines for noncompliance. For example, the California Consumer Privacy Act of 2018, as amended by the California Privacy Rights Act of 2020, and all regulations thereto, or collectively,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CCPA, applies to personal information of consumers, business representatives, employees, and others who are California residents, and requires businesses to provide specific disclosures in privacy notices and honor requests of such individuals to exercise certain privacy rights including the opt-out of “sales” and “sharing” (as such terms are defined by CCPA) of personal information. The CCPA provides for fines and allows private litigants affected by certain data breaches to recover significant statutory damages. The CCPA includes an exemption applicable to personal information collected, processed, sold or disclosed subject to the GLBA, and other comprehensive U.S. state privacy laws contain similar exemptions for GLBA-covered data or broader exemptions for GLBA-covered entities. However, these developments may further complicate compliance efforts, and increase legal risk and compliance costs for us and the third parties with whom we work. Similar laws have been passed and/or are being considered in additional states, as well as at the federal level, and we expect more states to pass similar laws in the future.</w:t>
      </w:r>
    </w:p>
    <w:p>
      <w:pPr>
        <w:spacing w:after="0" w:line="18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are subject to various state financial privacy laws such as the California Financial Information Privacy Act. These laws require, among other things, providing either an opt-in or opt-out, depending on the state, to the sharing of non-public personal information with unaffiliated third parties. They also require establishing a program of administrative, technical, and physical safeguards designed to protect the security and confidentiality of customer information. Additionally, in response to the growing threat of cyber-attacks in the insurance industry, certain jurisdictions, including New York, have begun to consider new cybersecurity measures, including the adoption of cybersecurity regulations. In March 2017, the New York State Department of Financial Services, or NYDFS, promulgated Cybersecurity Requirements for Financial Services Companies, which require covered financial institutions to establish and maintain a cybersecurity program and implement and maintain cybersecurity policies and procedures that meet specific requirements; the NYDFS adopted amendments to the cybersecurity regulation in 2023, the majority of which became effective in 2024. Additionally, in October 2017, the National Association of Insurance Commissioners, or NAIC, adopted its Insurance Data Security Model Law, intended to serve as model legislation for states to enact in order to govern cybersecurity and data protection practices of insurers, insurance agents, and other licensed entities registered under state insurance laws. Various states have adopted versions of the NAIC Insurance Data Security Model Law.</w:t>
      </w:r>
    </w:p>
    <w:p>
      <w:pPr>
        <w:spacing w:after="0" w:line="180" w:lineRule="exact"/>
        <w:rPr>
          <w:sz w:val="20"/>
          <w:szCs w:val="20"/>
          <w:color w:val="auto"/>
        </w:rPr>
      </w:pPr>
    </w:p>
    <w:p>
      <w:pPr>
        <w:ind w:left="120" w:right="240" w:firstLine="551"/>
        <w:spacing w:after="0" w:line="242" w:lineRule="auto"/>
        <w:rPr>
          <w:sz w:val="20"/>
          <w:szCs w:val="20"/>
          <w:color w:val="auto"/>
        </w:rPr>
      </w:pPr>
      <w:r>
        <w:rPr>
          <w:rFonts w:ascii="Arial" w:cs="Arial" w:eastAsia="Arial" w:hAnsi="Arial"/>
          <w:sz w:val="18"/>
          <w:szCs w:val="18"/>
          <w:color w:val="auto"/>
        </w:rPr>
        <w:t>Several states have also enacted new laws and regulations governing the privacy and security of consumer health data. For example, Washington’s My Health My Data Act, or MHMDA, broadly defines consumer health data, places restrictions on collecting, processing, using, and sharing consumer health data (including imposing stringent requirements for affirmative consents), provides consumers certain rights with respect to their health data, and creates a private right of action to allow individuals to sue for violations of the law. While the MHMDA includes an exemption applicable to GLBA-covered data, and a similar law in Nevada also exempts GLBA-covered entities, other states are considering and may adopt consumer health data privacy laws in the future.</w:t>
      </w:r>
    </w:p>
    <w:p>
      <w:pPr>
        <w:spacing w:after="0" w:line="179"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Additionally, under various privacy laws and other obligations, we may be required to obtain certain consents to process personal information. For example, some of our data processing practices have been and may in the future be subject to challenges or lawsuits under data privacy and communications laws, including for example under wiretapping laws, if we share consumer information with third parties through various methods, including chatbot and session replay providers, or via third-party marketing pixels, as has occurred. These practices may be subject to increased challenges by class action plaintiffs for violations of laws such as the California Invasion of Privacy Act and other similar laws. Our inability or failure to obtain consent for these practices could result, and in certain cases has resulted, in adverse consequences, including class action litigation and mass arbitration demands.</w:t>
      </w:r>
    </w:p>
    <w:p>
      <w:pPr>
        <w:spacing w:after="0" w:line="185" w:lineRule="exact"/>
        <w:rPr>
          <w:sz w:val="20"/>
          <w:szCs w:val="20"/>
          <w:color w:val="auto"/>
        </w:rPr>
      </w:pPr>
    </w:p>
    <w:p>
      <w:pPr>
        <w:ind w:left="120" w:right="500" w:firstLine="551"/>
        <w:spacing w:after="0" w:line="253" w:lineRule="auto"/>
        <w:rPr>
          <w:sz w:val="20"/>
          <w:szCs w:val="20"/>
          <w:color w:val="auto"/>
        </w:rPr>
      </w:pPr>
      <w:r>
        <w:rPr>
          <w:rFonts w:ascii="Arial" w:cs="Arial" w:eastAsia="Arial" w:hAnsi="Arial"/>
          <w:sz w:val="18"/>
          <w:szCs w:val="18"/>
          <w:color w:val="auto"/>
        </w:rPr>
        <w:t>Regulators are increasingly scrutinizing the activities of third-party data suppliers, and laws in the United States (including the CCPA and California’s Delete Act) and other jurisdictions are likewise regulating such activity. These laws pose additional, material compliance risks to such data suppliers,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and these suppliers may not be able to provide us with personal information in compliance with these laws. For example, some data suppliers are required to register as data brokers under certain state laws such as California law and file reports with regulators, which exposes them to increased scrutiny. Additionally, California’s Delete Act requires the California Privacy Protection Agency, or the CPPA, to establish by January 1, 2026 a mechanism to allow California consumers to submit a single, verifiable request to delete all of their personal information held by all registered data brokers and their service providers. Moreover, third-party data suppliers have recently been subject to increased litigation under</w:t>
      </w:r>
    </w:p>
    <w:p>
      <w:pPr>
        <w:spacing w:after="0" w:line="1" w:lineRule="exact"/>
        <w:rPr>
          <w:sz w:val="20"/>
          <w:szCs w:val="20"/>
          <w:color w:val="auto"/>
        </w:rPr>
      </w:pPr>
    </w:p>
    <w:p>
      <w:pPr>
        <w:jc w:val="both"/>
        <w:ind w:left="120" w:right="160"/>
        <w:spacing w:after="0" w:line="242" w:lineRule="auto"/>
        <w:rPr>
          <w:sz w:val="20"/>
          <w:szCs w:val="20"/>
          <w:color w:val="auto"/>
        </w:rPr>
      </w:pPr>
      <w:r>
        <w:rPr>
          <w:rFonts w:ascii="Arial" w:cs="Arial" w:eastAsia="Arial" w:hAnsi="Arial"/>
          <w:sz w:val="18"/>
          <w:szCs w:val="18"/>
          <w:color w:val="auto"/>
        </w:rPr>
        <w:t>various claims of violating certain state privacy laws. These laws and challenges may make it so difficult for our suppliers to provide the data that the costs associated with the data materially increase or may materially decrease the availability of data that our data suppliers can provide to us.</w:t>
      </w:r>
    </w:p>
    <w:p>
      <w:pPr>
        <w:spacing w:after="0" w:line="179" w:lineRule="exact"/>
        <w:rPr>
          <w:sz w:val="20"/>
          <w:szCs w:val="20"/>
          <w:color w:val="auto"/>
        </w:rPr>
      </w:pPr>
    </w:p>
    <w:p>
      <w:pPr>
        <w:ind w:left="120" w:right="260" w:firstLine="551"/>
        <w:spacing w:after="0" w:line="257" w:lineRule="auto"/>
        <w:rPr>
          <w:sz w:val="20"/>
          <w:szCs w:val="20"/>
          <w:color w:val="auto"/>
        </w:rPr>
      </w:pPr>
      <w:r>
        <w:rPr>
          <w:rFonts w:ascii="Arial" w:cs="Arial" w:eastAsia="Arial" w:hAnsi="Arial"/>
          <w:sz w:val="18"/>
          <w:szCs w:val="18"/>
          <w:color w:val="auto"/>
        </w:rPr>
        <w:t>In addition, we may face compliance risks and limitations on our ability to use certain data provided by our third-party suppliers if those suppliers have not complied with applicable privacy laws, provided appropriate notice to data subjects, obtained necessary consents, or established a legal basis for the transfer and processing of the data by us</w:t>
      </w:r>
      <w:r>
        <w:rPr>
          <w:rFonts w:ascii="Arial" w:cs="Arial" w:eastAsia="Arial" w:hAnsi="Arial"/>
          <w:sz w:val="18"/>
          <w:szCs w:val="18"/>
          <w:b w:val="1"/>
          <w:bCs w:val="1"/>
          <w:i w:val="1"/>
          <w:iCs w:val="1"/>
          <w:color w:val="auto"/>
        </w:rPr>
        <w:t>.</w:t>
      </w:r>
    </w:p>
    <w:p>
      <w:pPr>
        <w:spacing w:after="0" w:line="159"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Additionally, as part of certain lead monetization efforts, we have begun providing lead information from individuals who start but do not complete the insurance application process on our platform to a limited number of third-party agencies. While we intend for this information to be used solely for insurance-related purposes and by agencies, once shared, we do not control how these agencies handle the data. As a result, this initiative may expose us to heightened privacy, data security, and reputational risks, particularly if these third parties fail to comply with applicable laws or consumer expectations regarding the handling of personal information.</w:t>
      </w:r>
    </w:p>
    <w:p>
      <w:pPr>
        <w:spacing w:after="0" w:line="176"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We publish privacy policies, marketing materials,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We are also bound by contractual obligations related to data privacy and security, with which we may not fully comply and our efforts to comply with such obligations may not be successful. For example, certain privacy laws require us to undertake certain obligations with respect to data privacy and security or require us or our customers to impose specific contractual restrictions on our or their service providers.</w:t>
      </w:r>
    </w:p>
    <w:p>
      <w:pPr>
        <w:spacing w:after="0" w:line="18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Legal requirements and 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information on our behalf. In addition, these obligations may require us to change our business model in part because our business model depends on our ability to process personal information. As such, we are particularly exposed to the risks associated with the rapidly changing legal landscape, including with respect to data privacy laws and regulations. For example, we may be at heightened risk of regulatory scrutiny, and any changes in the regulatory framework could require us to fundamentally change our business model, which could adversely impact our business, financial condition and/or results of operations. In addition, we are and may become in the future contractually subject to self-regulatory standards adopted by industry groups. For example, we are subject to the Payment Card Industry Data Security Standard, or PCI DSS, a self-regulatory standard that requires companies that accept payment cards, or that process payment card information to implement certain cybersecurity measures and/or annually validate that required security controls are in place. Companies that accept payment cards but otherwise outsource payment card processing to a third</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party and do not process payment card information themselves, as we do, are subject to minimal requirements under the PCI DSS. If we or our payment processors fail to comply with the PCI DSS, we may incur significant fines or liability and lose access to major payment card systems.</w:t>
      </w:r>
    </w:p>
    <w:p>
      <w:pPr>
        <w:spacing w:after="0" w:line="169"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may at times fail (or be perceived to have failed) to comply with our data privacy and security obligations. Moreover, despite our efforts, our personnel or third parties with whom we work may fail to comply with such obligations, which could negatively impact and in certain cases has negatively impacted our business operations. If we or the third parties with whom we work fail, or are perceived to have failed, to address or comply with applicable data privacy and security obligations, we could face significant consequences, including: government enforcement actions (e.g., investigations, fines, penalties, audits, inspections, consent orders, injunctions, settlement, or resolution orders and similar); litigation (including class-action claims) and mass arbitration demands; additional reporting requirements and/or oversight and requirements to take remedial actions; bans or restrictions on processing personal information; and orders to destroy or not use personal information.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spacing w:after="0" w:line="18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have in the past received, and may in the future receive, inquiries and have been, and may again become, subject to investigations, proceedings, orders, or various government inquiries regarding our data privacy and security practices and processing and related litigation. For example, in 2022, we learned that threat actors had launched an attack against our website and obtained consumer personal information from a third-party integration. As a result, we were the subject of class action litigation that has since settled as well as inquiries and investigations from various state regulators, all of which have since settled. While we maintain policies, procedures, and technological safeguards designed to protect the security and privacy of this information, including those implemented to prevent access to consumer personal information, we cannot eliminate the risk of improper access to or disclosure of personal information nor the related costs we incur to mitigate the consequences from such events. Data privacy and cybersecurity laws, rules, and regulations are matters of growing public concern and are continuously changing in the jurisdictions in which we operate. The failure to adhere to or successfully implement adequate policies and procedures in response to evolving laws, rules, and regulations could result in legal liability or other adverse impacts on our business such as impairment to our reputation.</w:t>
      </w:r>
    </w:p>
    <w:p>
      <w:pPr>
        <w:spacing w:after="0" w:line="186"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Any of the foregoing could have a material adverse effect on our reputation, business, or financial condition, including: loss of consumers; interruptions or stoppages in our business operations; inability to process personal information; limited ability to develop or commercialize our products or services; expenditure of time and resources to defend any claim or inquiry; adverse publicity; or substantial changes to our business model or operations.</w:t>
      </w:r>
    </w:p>
    <w:p>
      <w:pPr>
        <w:spacing w:after="0" w:line="176" w:lineRule="exact"/>
        <w:rPr>
          <w:sz w:val="20"/>
          <w:szCs w:val="20"/>
          <w:color w:val="auto"/>
        </w:rPr>
      </w:pPr>
    </w:p>
    <w:p>
      <w:pPr>
        <w:ind w:left="120" w:right="20" w:firstLine="551"/>
        <w:spacing w:after="0" w:line="249" w:lineRule="auto"/>
        <w:rPr>
          <w:sz w:val="20"/>
          <w:szCs w:val="20"/>
          <w:color w:val="auto"/>
        </w:rPr>
      </w:pPr>
      <w:r>
        <w:rPr>
          <w:rFonts w:ascii="Arial" w:cs="Arial" w:eastAsia="Arial" w:hAnsi="Arial"/>
          <w:sz w:val="18"/>
          <w:szCs w:val="18"/>
          <w:b w:val="1"/>
          <w:bCs w:val="1"/>
          <w:i w:val="1"/>
          <w:iCs w:val="1"/>
          <w:color w:val="auto"/>
        </w:rPr>
        <w:t>If our information technology systems or those of third parties with whom we work or our data, are or were compromised, we could experience adverse consequences resulting from such compromise, including regulatory investigations or actions, litigation, fines and penalties, disruptions of our business operations, reputational harm, loss of revenue or profits, loss of consumers or sales, and other adverse consequences.</w:t>
      </w:r>
    </w:p>
    <w:p>
      <w:pPr>
        <w:spacing w:after="0" w:line="165" w:lineRule="exact"/>
        <w:rPr>
          <w:sz w:val="20"/>
          <w:szCs w:val="20"/>
          <w:color w:val="auto"/>
        </w:rPr>
      </w:pPr>
    </w:p>
    <w:p>
      <w:pPr>
        <w:ind w:left="120" w:right="440" w:firstLine="551"/>
        <w:spacing w:after="0" w:line="247" w:lineRule="auto"/>
        <w:rPr>
          <w:sz w:val="20"/>
          <w:szCs w:val="20"/>
          <w:color w:val="auto"/>
        </w:rPr>
      </w:pPr>
      <w:r>
        <w:rPr>
          <w:rFonts w:ascii="Arial" w:cs="Arial" w:eastAsia="Arial" w:hAnsi="Arial"/>
          <w:sz w:val="18"/>
          <w:szCs w:val="18"/>
          <w:color w:val="auto"/>
        </w:rPr>
        <w:t>Cyber-attacks, data breaches, malicious internet-based activity, online and offline fraud, and other similar activities and/or cybersecurity incidents threaten the confidentiality, integrity, and availability of our and our customers’ personal information (including sensitive data) and information technology systems, and those of the third parties with whom we work. Any such incidents may also compromise confidential business information, result in intellectual property or other confidential or</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proprietary information being accessed, disclosed, misused, lost, or stolen, including customer, employee or company data (including personal information and other sensitive or regulated data), which could harm our reputation, competitive position or otherwise adversely affect our business. Such threats are prevalent and continue to rise and evolve, are increasingly difficult to detect, and come from a variety of sources, including traditional computer “hackers,” threat actors, “hacktivists,” organized criminal threat actors, personnel (such as through theft or misuse), AI agents, sophisticated nation states, and nation-state-supported actors.</w:t>
      </w:r>
    </w:p>
    <w:p>
      <w:pPr>
        <w:spacing w:after="0" w:line="176"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color w:val="auto"/>
        </w:rPr>
        <w:t>We and the third parties with whom we work are subject to a variety of evolving threats, including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attacks enhanced or facilitated by AI, and other similar threats.</w:t>
      </w:r>
    </w:p>
    <w:p>
      <w:pPr>
        <w:spacing w:after="0" w:line="179"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In particular, severe ransomware attacks are becoming increasingly prevalent and could lead to significant interruptions in our operations, ability to provide our products or services, loss of sensitive data and income, reputational harm, and diversion of funds. In certain cases, payments may alleviate the negative impact of a ransomware attack, but we may be unwilling or unable to make such payments due to, for example, applicable laws or regulations prohibiting such payments. And even if we do make any such payments, doing so does not guarantee that we will regain access to any impacted systems or data and does not absolve us of liability under any applicable legal frameworks such as data breach and data security laws and regulations. Further,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and our customers may be vulnerable to a heightened risk of these attacks, including retaliatory cyber-attacks, that could materially disrupt our systems and operations, supply chain, and ability to sell or provide our services. In addition, remote work has increased risks to our information technology systems and data, as our employees and others utilize network connections, computers and devices outside our premises or network, including working at home, while in transit, and in public locations.</w:t>
      </w:r>
    </w:p>
    <w:p>
      <w:pPr>
        <w:spacing w:after="0" w:line="183"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Moreover, it may be difficult and/or costly to detect, investigate, mitigate, contain, and remediate a security incident or data breach, and our efforts to do so may not be successful. Any actions taken by us or the third parties with whom we work to detect, investigate, mitigate, contain, and remediate a security incident or data breach could result in outages, data losses, and disruptions of our business among other risks and issues. Threat actors may also gain access to other networks and systems after a compromise of our networks and systems.</w:t>
      </w:r>
    </w:p>
    <w:p>
      <w:pPr>
        <w:spacing w:after="0" w:line="176"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color w:val="auto"/>
        </w:rPr>
        <w:t>There are many additional factors that could expose us to cybersecurity risks and vulnerabilities. For example,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76"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We also rely on third parties to operate critical business systems to process sensitive data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third parties may not have adequate information security measures in place despite any statements or representations they might make.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at any given moment third parties’ infrastructure in our supply chain or that of the third parties with whom we work could be compromised.</w:t>
      </w:r>
    </w:p>
    <w:p>
      <w:pPr>
        <w:spacing w:after="0" w:line="179"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While we have implemented security measures designed to protect against security incidents and data breaches, there can be no assurance that these measures will be effective. We take steps designed to detect, mitigate, and remediate vulnerabilities in our information systems (such as our hardware and/or software, including that of third parties with whom we work). However, we have not and will not in the future be able to detect and remediate all such vulnerabilities including on a timely basis. Further, we have and may in the future experience delays in developing and deploying remedial measures and patches designed to address identified vulnerabilities. Any existing and/or unidentified vulnerabilities could be exploited and result in a security incident or data breach at any time.</w:t>
      </w:r>
    </w:p>
    <w:p>
      <w:pPr>
        <w:spacing w:after="0" w:line="179"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Any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our confidential or sensitive data or our information technology systems, or those of the third parties with whom we work. For example, and as described above, in 2022, we learned that threat actors had launched attacks against our website and obtained consumer personal information from a third-party integration. While we maintain policies, procedures, and technological safeguards designed to protect the security and privacy of this information, including those implemented to prevent access to consumer personal information, we cannot eliminate the risk of improper access to or disclosure of personal information nor the related costs we incur to mitigate the consequences from such events. A data breach, security incident or other interruption could disrupt, and in certain cases has disrupted, our ability (and that of third parties with whom we work) to provide our services. We may expend significant resources or modify our business activities to try to protect against security incidents. Further, certain data privacy and security obligations have required us to implement and maintain specific security measures or industry-standard or reasonable security measures to protect our information technology systems and sensitive data.</w:t>
      </w:r>
    </w:p>
    <w:p>
      <w:pPr>
        <w:spacing w:after="0" w:line="18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Furthermore, federal laws, laws in all 50 U.S. states, the District of Columbia, and several U.S. territories can require businesses to provide notice to consumers whose personal information has been disclosed as a result of a data breach. Applicable data privacy and security obligations may require us, or we may voluntarily choose, to notify relevant stakeholders, including affected individuals, customers, regulators, and investors, of security incidents or data breaches, or to take other actions, such as providing credit monitoring and identity theft protection services, and we have done so in the past. Such disclosures and related remedial actions can be costly, and the disclosure or the failure to comply with such applicable requirements could lead to adverse consequences. If we (or a third party with whom we work) experience a security incident or data breach or are perceived to have experienced a security incident or data breach, we may experience, and have in the past experienced, material adverse consequences, such as government enforcement actions (for example, investigations, fines, penalties, audits, and inspections); additional reporting requirements and/or oversight; restrictions on processing personal information (including sensitive data); litigation (including class action claims); indemnification obligations; negative publicity; reputational harm; monetary fund diversions; diversion of management attention; interruptions in our operations (including availability of data); financial loss; and other similar harms. Security incidents and attendant material consequences may prevent or cause customers to stop using our services, deter new customers from using our services, and negatively impact our ability to grow and operate our business.</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Furthermore, our contracts may not contain limitations of liability, and even where they do, the limitations of liability in our contracts may not be sufficient to protect us from liabilities, damages, or claims related to our data privacy and security obligations. In addition, we cannot be sure that our insurance coverage will be adequate or sufficient to protect us from or to mitigate liabilities arising out of any issues with our privacy and security practices or any data breaches or other security incidents, that such coverage will continue to be available on commercially reasonable terms or at all, or that such coverage will pay future claims. Any of the foregoing risks could adversely affect our business, financial condition, and results of operations.</w:t>
      </w:r>
    </w:p>
    <w:p>
      <w:pPr>
        <w:spacing w:after="0" w:line="181" w:lineRule="exact"/>
        <w:rPr>
          <w:sz w:val="20"/>
          <w:szCs w:val="20"/>
          <w:color w:val="auto"/>
        </w:rPr>
      </w:pPr>
    </w:p>
    <w:p>
      <w:pPr>
        <w:ind w:left="120" w:right="580" w:firstLine="551"/>
        <w:spacing w:after="0" w:line="278" w:lineRule="auto"/>
        <w:rPr>
          <w:sz w:val="20"/>
          <w:szCs w:val="20"/>
          <w:color w:val="auto"/>
        </w:rPr>
      </w:pPr>
      <w:r>
        <w:rPr>
          <w:rFonts w:ascii="Arial" w:cs="Arial" w:eastAsia="Arial" w:hAnsi="Arial"/>
          <w:sz w:val="18"/>
          <w:szCs w:val="18"/>
          <w:b w:val="1"/>
          <w:bCs w:val="1"/>
          <w:i w:val="1"/>
          <w:iCs w:val="1"/>
          <w:color w:val="auto"/>
        </w:rPr>
        <w:t>We utilize artificial intelligence in connection with our business, which may expose us to regulatory, operational, or reputational risk.</w:t>
      </w:r>
    </w:p>
    <w:p>
      <w:pPr>
        <w:spacing w:after="0" w:line="13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utilize artificial intelligence, machine learning, and similar tools and technologies, or collectively, AI, that collect, aggregate, analyze or generate data or other materials or content in connection with our business, including ancillary and operational functions, such as customer support, lead targeting, agent fraud detection, and development tooling. The use of AI technologies involves inherent risks which may also increase if our use of AI evolves and expands to other areas of our business. For example, AI tools may be flawed, insufficient, of poor quality, reflect unwanted forms of bias, or contain other errors or inadequacies, any of which may not be easily detectable; AI has been known to produce false or “hallucinatory” inferences or outputs; AI can present ethical issues and may subject us to new or heightened legal, regulatory, ethical, or other challenges; and inappropriate or controversial data practices by developers and end-users, or other factors adversely affecting public opinion of AI, could impair the acceptance of AI solutions, including those incorporated in our products and services. If the AI tools that we use are deficient, inaccurate or controversial, we could incur operational inefficiencies, competitive harm, legal liability, brand or reputation harm, or other adverse impacts on our business and financial results. If we do not have sufficient rights to use the data or other material or content or if the data we are using as inputs for AI is not permitted to be further disclosed under state laws or contractual arrangements on which the AI tools we use rely, or the output of such AI tools, we also may incur liability through the violation of applicable laws and regulations, third-party intellectual property, privacy or other rights, or contracts to which we are a party.</w:t>
      </w:r>
    </w:p>
    <w:p>
      <w:pPr>
        <w:spacing w:after="0" w:line="189"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Use of AI technologies could include the input of our confidential information (including non-public information and personal information) by third parties in contravention of non-disclosure agreements or by our personnel or other related parties in contravention of our policies and procedures and, in each case, could result in such confidential information becoming part of a dataset that is generally accessible by AI technologies, applications, and users. The misuse or misappropriation of our data could have an adverse impact on our reputation and could subject us to legal and regulatory investigations and/or actions. Further, the use of AI technologies could be affected by claims of infringement, misappropriation or other violations of intellectual property, including based on the use of large datasets used to train AI technologies or the use of output generated by AI technologies, in either case which contain or are substantially similar to material protected by intellectual property, including patents, copyrights or trademarks. Similar claims of infringement, misappropriation or other violations of intellectual property could be made against providers of AI technologies, and affecting users of such AI technologies, which are considered to have substantial similarities to other, pre-existing AI technologies. Moreover, AI technologies will likely be competitive with certain business practices, or increase the obsolescence of certain organizations’ products or services (which might include competitiveness with, or causing the obsolescence of, other AI technologies). Any such developments could affect any use of our or related third parties’ AI technologies and adversely impact, whether directly or indirectly, the success of our business.</w:t>
      </w:r>
    </w:p>
    <w:p>
      <w:pPr>
        <w:spacing w:after="0" w:line="180" w:lineRule="exact"/>
        <w:rPr>
          <w:sz w:val="20"/>
          <w:szCs w:val="20"/>
          <w:color w:val="auto"/>
        </w:rPr>
      </w:pPr>
    </w:p>
    <w:p>
      <w:pPr>
        <w:ind w:left="120" w:right="200" w:firstLine="551"/>
        <w:spacing w:after="0" w:line="247" w:lineRule="auto"/>
        <w:rPr>
          <w:sz w:val="20"/>
          <w:szCs w:val="20"/>
          <w:color w:val="auto"/>
        </w:rPr>
      </w:pPr>
      <w:r>
        <w:rPr>
          <w:rFonts w:ascii="Arial" w:cs="Arial" w:eastAsia="Arial" w:hAnsi="Arial"/>
          <w:sz w:val="18"/>
          <w:szCs w:val="18"/>
          <w:color w:val="auto"/>
        </w:rPr>
        <w:t>AI technologies may also be more susceptible to cybersecurity threats in part given the volume of data they utilize, which, in turn, could make us more susceptible to cybersecurity threats (such as those described under “—Risks Related to Our Business—Cyber attacks, data breaches, security incidents, systems failures, and resulting interruptions in the availability of our websites, mobile applications, platform, or services could adversely affect our business, financial condition, and results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of operations”) to the extent we rely on AI technologies. Further, we could be exposed to risks to the extent our third-party service providers or other partners use AI technologies in their business activities notwithstanding any preventative policies aimed at governing or restricting the use of such AI technologies. We are not able to control the way third-party products or services are developed, trained or maintained or the way third-party services utilizing AI technologies are provided to us.</w:t>
      </w:r>
    </w:p>
    <w:p>
      <w:pPr>
        <w:spacing w:after="0" w:line="17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legal and regulatory frameworks within which AI technologies operate continue to rapidly evolve, and it is impossible to predict the full extent of current or future risks related thereto. The technologies underlying AI and its uses are subject to a variety of laws and regulations, including intellectual property, data privacy and cybersecurity, customer protection, competition, and equal opportunity laws, and are expected to be subject to increased regulation and new laws or new applications of existing laws and regulations. AI is the subject of ongoing review by various U.S. governmental and regulatory agencies, and various U.S. states are applying, or are considering applying, their platform moderation, data privacy and cybersecurity laws and regulations to AI or are considering general legal frameworks for AI. For example, the Colorado Department of Insurance has issued regulations requiring life insurers to establish risk-based governance and management frameworks designed to determine whether algorithms and predictive modeling potentially result in unfair discrimination. Additionally, the National Association of Insurance Commissioners issued a model bulletin on the use of AI that has been adopted in some form by more than 20 states. The bulletins generally describe regulators’ expectations that insurance industry participants develop governance frameworks and risk management protocols designed to prevent unfair or discriminatory practices in connection with the use of AI. We may be required to devote additional resources to comply with new or evolving AI-related regulations, and we may not always be able to anticipate or adapt quickly to such changes.</w:t>
      </w:r>
    </w:p>
    <w:p>
      <w:pPr>
        <w:spacing w:after="0" w:line="180" w:lineRule="exact"/>
        <w:rPr>
          <w:sz w:val="20"/>
          <w:szCs w:val="20"/>
          <w:color w:val="auto"/>
        </w:rPr>
      </w:pPr>
    </w:p>
    <w:p>
      <w:pPr>
        <w:ind w:left="120" w:right="180" w:firstLine="551"/>
        <w:spacing w:after="0" w:line="247" w:lineRule="auto"/>
        <w:rPr>
          <w:sz w:val="20"/>
          <w:szCs w:val="20"/>
          <w:color w:val="auto"/>
        </w:rPr>
      </w:pPr>
      <w:r>
        <w:rPr>
          <w:rFonts w:ascii="Arial" w:cs="Arial" w:eastAsia="Arial" w:hAnsi="Arial"/>
          <w:sz w:val="18"/>
          <w:szCs w:val="18"/>
          <w:color w:val="auto"/>
        </w:rPr>
        <w:t>Furthermore, because AI technology itself is highly complex and rapidly developing, it is not possible to predict all of the legal, operational or technological risks that may arise relating to any use of AI in our business. In particular, AI technologies could significantly disrupt our industry and the markets in which we operate and subject us to increased competition, legal and regulatory risks, and compliance costs, which could have a material adverse effect on our business, financial condition, and results of operations.</w:t>
      </w:r>
    </w:p>
    <w:p>
      <w:pPr>
        <w:spacing w:after="0" w:line="176" w:lineRule="exact"/>
        <w:rPr>
          <w:sz w:val="20"/>
          <w:szCs w:val="20"/>
          <w:color w:val="auto"/>
        </w:rPr>
      </w:pPr>
    </w:p>
    <w:p>
      <w:pPr>
        <w:ind w:left="120" w:firstLine="551"/>
        <w:spacing w:after="0" w:line="249" w:lineRule="auto"/>
        <w:rPr>
          <w:sz w:val="20"/>
          <w:szCs w:val="20"/>
          <w:color w:val="auto"/>
        </w:rPr>
      </w:pPr>
      <w:r>
        <w:rPr>
          <w:rFonts w:ascii="Arial" w:cs="Arial" w:eastAsia="Arial" w:hAnsi="Arial"/>
          <w:sz w:val="18"/>
          <w:szCs w:val="18"/>
          <w:b w:val="1"/>
          <w:bCs w:val="1"/>
          <w:i w:val="1"/>
          <w:iCs w:val="1"/>
          <w:color w:val="auto"/>
        </w:rPr>
        <w:t>Failure to obtain, maintain, protect, defend or enforce our intellectual property rights, the infringement, misappropriation, or other violation of our intellectual property by third parties, or allegations that we have infringed, misappropriated or otherwise violated the intellectual property rights of others, could harm our reputation, ability to compete effectively, financial condition, and business.</w:t>
      </w:r>
    </w:p>
    <w:p>
      <w:pPr>
        <w:spacing w:after="0" w:line="165"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Our success and ability to compete depends in part on our ability to obtain, maintain, protect, defend, and enforce our intellectual property. To protect our intellectual property rights, we rely on a combination of trademark and copyright laws, trade secret protection, confidentiality agreements, and other contractual arrangements with our affiliates, employees, consumers, strategic partners, and others. However, such measures provide only limited protection and the steps that we take to protect our intellectual property rights may be inadequate to deter infringement, misappropriation or other violation of our intellectual property or proprietary information by others. Further, the failure to protect our domain names could also adversely affect our reputation and brand and make it more difficult for subscribers to find our products and services. We may be unable, without significant cost or at all, to prevent third parties from acquiring domain names that are similar to, infringe upon or otherwise decrease the value of our trademarks and other proprietary rights.</w:t>
      </w:r>
    </w:p>
    <w:p>
      <w:pPr>
        <w:spacing w:after="0" w:line="180"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color w:val="auto"/>
        </w:rPr>
        <w:t>Moreover, while we take precautions designed to protect our intellectual property, competitors, and other unauthorized third parties may copy our technology and use our proprietary brand, content,</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color w:val="auto"/>
        </w:rPr>
        <w:t>and information to create or enhance competing solutions and products, which could adversely affect our competitive position in our rapidly evolving and highly competitive industry.</w:t>
      </w:r>
    </w:p>
    <w:p>
      <w:pPr>
        <w:spacing w:after="0" w:line="15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In addition, we may be unable to detect the unauthorized use of our intellectual property rights. Policing unauthorized use of our intellectual property is difficult, expensive, and time-consuming, and we may be required to spend significant resources to monitor and protect our intellectual property rights. Further, currently we do not own any U.S. trademark registrations for our brand names “Ethos” or “Ethos Technologies” that cover the services of our business, though we believe we have established common law rights through usage of such trademarks in commerce. Our lack of a U.S. federal trademark registration for our main brand may limit our ability to enforce such trademarks and expose us to claims from third parties that we have infringed, misappropriated, or otherwise violated their trademarks and/or allow competitors to register similar trademarks, potentially causing consumer confusion and/or harming our reputation. In the event that we opt to rebrand and/or are required to cease using any of our trademarks, we could incur significant costs and risks associated with any rebrand.</w:t>
      </w:r>
    </w:p>
    <w:p>
      <w:pPr>
        <w:spacing w:after="0" w:line="183"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7"/>
          <w:szCs w:val="17"/>
          <w:color w:val="auto"/>
        </w:rPr>
        <w:t>Failure to protect our intellectual property adequately could harm our reputation and affect our ability to compete effectively in our industry. In addition, even if we initiate litigation against third parties, such as lawsuits alleging infringement, misappropriation or other violation of our intellectual property, we may not prevail. Litigation brought to protect and enforce our intellectual property rights could be costly, time-consuming, and distracting to management. Our efforts to enforce our intellectual property rights may be met with defenses, counterclaims, and countersuits attacking the validity and enforceability of our intellectual property rights. Additionally, because of the substantial amount of discovery required in connection with intellectual property litigation, there is a risk that some of our confidential information could be compromised by disclosure during this type of litigation. An adverse determination of any litigation proceedings could put our intellectual property at risk of being invalidated or interpreted narrowly and could put our related intellectual property at risk of not issuing or being cancelled. There could also be public announcements of the results of hearings, motions, or other interim proceedings or developments. If securities analysts or investors perceive these results to be negative, it could have a material adverse effect on the price of our Class A common stock. Any of the foregoing could adversely affect our business, financial condition, and results of operations.</w:t>
      </w:r>
    </w:p>
    <w:p>
      <w:pPr>
        <w:spacing w:after="0" w:line="17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also cannot guarantee that the operation of our business does not and will not infringe, misappropriate, or otherwise violate the rights of third parties. Third parties may assert intellectual property-related claims against us, including claims of infringement, misappropriation or other violation of their intellectual property, which may be costly to defend, could require the payment of damages, legal fees, settlement payments, royalty payments, and other costs or damages, including treble damages if we are found to have willfully infringed certain types of intellectual property, and could limit our ability to use or offer certain technologies, products or other intellectual property. Additionally, our competitors and other third parties hold numerous trademarks, patents, copyrights, trade secrets and, other intellectual property rights related to technology used in our industry and may hold or obtain trademarks, patents, copyrights, trade secrets and other intellectual property rights that could prevent, limit or interfere with our ability to make, use, develop, sell, or market our products and services, which could make it more difficult for us to operate our business. Any intellectual property claims, with or without merit, could be expensive, take significant time, and divert management’s resources, time, and attention from other business concerns. Moreover, other companies, including our competitors, may have the capability to dedicate substantially greater resources to enforce their intellectual property rights and to defend claims that may be brought against them. Successful challenges against us could require us to modify or discontinue our use of technology or business processes where such use is found to infringe, misappropriate or otherwise violate the rights of others, or require us to purchase costly licenses from third parties, which may not be available on commercially reasonable terms, or at all. Even if a license is available to us, it could be non-exclusive thereby giving our competitors and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other third parties access to the same technologies licensed to us, and we may be required to pay significant upfront fees, milestone payments, or royalties, which would increase our operating expenses. Any of the foregoing could adversely affect our business, financial condition, and results of operations.</w:t>
      </w:r>
    </w:p>
    <w:p>
      <w:pPr>
        <w:spacing w:after="0" w:line="171" w:lineRule="exact"/>
        <w:rPr>
          <w:sz w:val="20"/>
          <w:szCs w:val="20"/>
          <w:color w:val="auto"/>
        </w:rPr>
      </w:pPr>
    </w:p>
    <w:p>
      <w:pPr>
        <w:ind w:left="120" w:right="180" w:firstLine="551"/>
        <w:spacing w:after="0" w:line="309" w:lineRule="auto"/>
        <w:rPr>
          <w:sz w:val="20"/>
          <w:szCs w:val="20"/>
          <w:color w:val="auto"/>
        </w:rPr>
      </w:pPr>
      <w:r>
        <w:rPr>
          <w:rFonts w:ascii="Arial" w:cs="Arial" w:eastAsia="Arial" w:hAnsi="Arial"/>
          <w:sz w:val="17"/>
          <w:szCs w:val="17"/>
          <w:b w:val="1"/>
          <w:bCs w:val="1"/>
          <w:i w:val="1"/>
          <w:iCs w:val="1"/>
          <w:color w:val="auto"/>
        </w:rPr>
        <w:t>We employ third-party licensed software for use in our business, and the inability to maintain these licenses or errors in the software we license could result in increased costs or reduced service levels, which would adversely affect our business.</w:t>
      </w:r>
    </w:p>
    <w:p>
      <w:pPr>
        <w:spacing w:after="0" w:line="116"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Our business relies on certain third-party software obtained under licenses from other companies. We anticipate that we will continue to rely on such third-party software in the future. Although we believe that there are commercially reasonable alternatives to the third-party software we currently license, this may not always be the case, or it may be difficult or costly to replace. In addition, integration of new third-party software may require significant work and require substantial investment of our time and resources. Our use of additional or alternative third-party software would require us to enter into license agreements with third parties, which may not be available on commercially reasonable terms or at all. Many of the risks associated with the use of third-party software cannot be eliminated, and these risks could negatively affect our business.</w:t>
      </w:r>
    </w:p>
    <w:p>
      <w:pPr>
        <w:spacing w:after="0" w:line="187" w:lineRule="exact"/>
        <w:rPr>
          <w:sz w:val="20"/>
          <w:szCs w:val="20"/>
          <w:color w:val="auto"/>
        </w:rPr>
      </w:pPr>
    </w:p>
    <w:p>
      <w:pPr>
        <w:ind w:left="120" w:right="20" w:firstLine="551"/>
        <w:spacing w:after="0" w:line="256" w:lineRule="auto"/>
        <w:rPr>
          <w:sz w:val="20"/>
          <w:szCs w:val="20"/>
          <w:color w:val="auto"/>
        </w:rPr>
      </w:pPr>
      <w:r>
        <w:rPr>
          <w:rFonts w:ascii="Arial" w:cs="Arial" w:eastAsia="Arial" w:hAnsi="Arial"/>
          <w:sz w:val="18"/>
          <w:szCs w:val="18"/>
          <w:b w:val="1"/>
          <w:bCs w:val="1"/>
          <w:i w:val="1"/>
          <w:iCs w:val="1"/>
          <w:color w:val="auto"/>
        </w:rPr>
        <w:t>Our platform contains third-party open source software components, and failure to comply with the terms of the underlying open source software licenses could restrict our ability to provide our platform and services and subject us to costly litigation or other disputes.</w:t>
      </w:r>
    </w:p>
    <w:p>
      <w:pPr>
        <w:spacing w:after="0" w:line="159"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We have in the past incorporated and may in the future incorporate certain open source software into our platform. Open source software is licensed by its authors or owners under open source licenses, which in some instances may subject us to certain unfavorable conditions.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platform.</w:t>
      </w:r>
    </w:p>
    <w:p>
      <w:pPr>
        <w:spacing w:after="0" w:line="17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Some open source licenses contain requirements that may, depending on how the licensed software is distributed, conveyed, used or modified, require that we make available source code for modifications or derivative works we create based upon the licensed open source software, authorize further modification and redistribution of that source code, make that source code available at little or no cost, or grant other licenses to our intellectual property. If we combine our proprietary software with open source software in a certain manner, we could be required under certain open source licenses to release the source code of our proprietary software under the terms of an open source software license. This could enable our competitors to create similar offerings with lower development effort and time and ultimately could result in a loss of our competitive advantages. To avoid the release of the affected portions of our source code, we could be required to purchase additional licenses and expend substantial time and resources to re-engineer some or all of our software or cease use or distribution of some or all of our software until we can adequately address the concerns.</w:t>
      </w:r>
    </w:p>
    <w:p>
      <w:pPr>
        <w:spacing w:after="0" w:line="18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Although we have certain policies and procedures in place to monitor our use of open source software that are designed to avoid subjecting our proprietary source code to conditions we do not intend, those policies and procedures may not be effective to detect or address all such conditions. In addition, the terms of many open source licenses have not been interpreted by U.S. or non-U.S. courts, and there is a risk that these licenses could be construed in a way that could impose unanticipated conditions or restrictions on our ability to provide or distribute our platform. There have been claims challenging the ownership of open source software against companies that incorporate open source software into their offerings. As a result, we could be subject to lawsuits by parties claiming ownership of what we believe to be open source</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software. If we are held to have breached or failed to fully comply with all the terms and conditions of an open source software license, we could face infringement or other liability, or be required to seek costly licenses from third parties to continue providing our platform on terms that are not economically feasible, to re-engineer our platform, to discontinue or delay the provision of our platform if re-engineering could not be accomplished on a timely basis, or to make generally available, in source code form, our proprietary code, any of which could adversely affect our business, financial condition, and results of operations.</w:t>
      </w: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4" w:lineRule="exact"/>
        <w:rPr>
          <w:sz w:val="20"/>
          <w:szCs w:val="20"/>
          <w:color w:val="auto"/>
        </w:rPr>
      </w:pPr>
    </w:p>
    <w:p>
      <w:pPr>
        <w:ind w:left="120" w:right="80" w:firstLine="551"/>
        <w:spacing w:after="0" w:line="278" w:lineRule="auto"/>
        <w:rPr>
          <w:sz w:val="20"/>
          <w:szCs w:val="20"/>
          <w:color w:val="auto"/>
        </w:rPr>
      </w:pPr>
      <w:r>
        <w:rPr>
          <w:rFonts w:ascii="Arial" w:cs="Arial" w:eastAsia="Arial" w:hAnsi="Arial"/>
          <w:sz w:val="17"/>
          <w:szCs w:val="17"/>
          <w:b w:val="1"/>
          <w:bCs w:val="1"/>
          <w:i w:val="1"/>
          <w:iCs w:val="1"/>
          <w:color w:val="auto"/>
        </w:rPr>
        <w:t>The dual class structure of our common stock as described in our amended and restated certificate of incorporation has the effect of concentrating voting control with those stockholders who held our stock prior to the closing of this offering and limiting your ability to influence corporate matters, which could adversely affect the trading price of our Class A common stock.</w:t>
      </w:r>
    </w:p>
    <w:p>
      <w:pPr>
        <w:spacing w:after="0" w:line="14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Our Class B common stock has 20 votes per share, and our Class A common stock, which is the stock we and the selling stockholders are offering in this initial public offering, has one vote per share. Following the closing of this offering, stockholders who hold shares of Class B common stock, including our co-founders, entities affiliated with Accel, and entities affiliated with Sequoia Capital, will together hold approximately    % of the voting power of our outstanding capital stock following the closing of this offering. As a result, our co-founders, Accel, and Sequoia Capital will have significant influence over our management and affairs and over all matters requiring stockholder approval, including election of directors and significant corporate transactions, such as a merger or other sale of the company or our assets, for the foreseeable future.</w:t>
      </w:r>
    </w:p>
    <w:p>
      <w:pPr>
        <w:spacing w:after="0" w:line="185"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In addition, the holders of Class B common stock collectively will continue to be able to control all matters submitted to our stockholders for approval even if their stock holdings represent less than 50% of the outstanding shares of our common stock. Because of the 20-to-1 voting ratio between our Class B common stock and Class A common stock, the holders of our Class B common stock collectively will continue to control a majority of the combined voting power of our common stock even when the shares of Class B common stock represent as little as    % of the outstanding shares of our Class A common stock and Class B common stock. This concentrated control will limit your ability to influence corporate matters for the foreseeable future, and, as a result, the market price of our Class A common stock could be adversely affected.</w:t>
      </w:r>
    </w:p>
    <w:p>
      <w:pPr>
        <w:spacing w:after="0" w:line="185"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Future transfers by holders of shares of Class B common stock will generally result in those shares converting to shares of Class A common stock, which will have the effect, over time, of increasing the relative voting power of those holders of Class B common stock who retain their shares in the long term. Certain permitted transfers, as specified in our amended and restated certificate of incorporation that will be in effect immediately prior to the closing of this offering, will not result in shares of Class B common stock automatically converting to shares of Class A common stock, such as, transfers by our co-founders whereby one of our co-founders retains or is granted exclusive voting control over such shares of Class B common stock.</w:t>
      </w:r>
    </w:p>
    <w:p>
      <w:pPr>
        <w:spacing w:after="0" w:line="179"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In addition, each outstanding share of Class B common stock will convert automatically into a share of Class A common stock upon the earliest to occur following the closing of this offering: (i) the date fixed by our board of directors that is no less than 61 days and no more than 180 days following the first time after 11:59 p.m. Eastern Time on the closing date of this offering that the number of shares of our Class B common stock, and any shares of Class B common stock underlying equity securities, held by our co-founders, certain immediate family members and their permitted entities and permitted transferees, is less than 20% of the number of shares of Class B common stock held by our</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co-founders, certain immediate family members and their permitted entities at 11:59 p.m. Eastern Time on the closing date of this offering;</w:t>
      </w:r>
    </w:p>
    <w:p>
      <w:pPr>
        <w:spacing w:after="0" w:line="14" w:lineRule="exact"/>
        <w:rPr>
          <w:sz w:val="20"/>
          <w:szCs w:val="20"/>
          <w:color w:val="auto"/>
        </w:rPr>
      </w:pPr>
    </w:p>
    <w:p>
      <w:pPr>
        <w:ind w:left="120" w:right="80" w:hanging="4"/>
        <w:spacing w:after="0" w:line="248" w:lineRule="auto"/>
        <w:tabs>
          <w:tab w:leader="none" w:pos="37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last trading day of the fiscal year following the tenth anniversary of the closing of this offering; (iii) the date fixed by our board of directors that is no less than 61 days and no more than 180 days following the first time after 11:59 p.m. Eastern Time on the closing date of this offering that the second of our co-founders experiences a Triggering Event (as defined below, and other than death or disability); or</w:t>
      </w:r>
    </w:p>
    <w:p>
      <w:pPr>
        <w:spacing w:after="0" w:line="1" w:lineRule="exact"/>
        <w:rPr>
          <w:rFonts w:ascii="Arial" w:cs="Arial" w:eastAsia="Arial" w:hAnsi="Arial"/>
          <w:sz w:val="17"/>
          <w:szCs w:val="17"/>
          <w:color w:val="auto"/>
        </w:rPr>
      </w:pPr>
    </w:p>
    <w:p>
      <w:pPr>
        <w:ind w:left="420" w:hanging="304"/>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that is 12 months after the second of our co-founders experiences a Triggering Event that is death or disability.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“Triggering Event” is the first to occur of any of the following with respect to each of our co-founders:</w:t>
      </w:r>
    </w:p>
    <w:p>
      <w:pPr>
        <w:spacing w:after="0" w:line="117" w:lineRule="exact"/>
        <w:rPr>
          <w:sz w:val="20"/>
          <w:szCs w:val="20"/>
          <w:color w:val="auto"/>
        </w:rPr>
      </w:pPr>
    </w:p>
    <w:p>
      <w:pPr>
        <w:jc w:val="both"/>
        <w:ind w:left="880" w:right="580" w:hanging="224"/>
        <w:spacing w:after="0" w:line="253"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 such co-founder is no longer providing services to us as an officer or employee, and (2) such co-founder is no longer a member of our board of directors as a result of a voluntary resignation by such co-founder or as a result of a request of or agreement with such co-founder not to be renominated as a director at a meeting of stockholders;</w:t>
      </w:r>
    </w:p>
    <w:p>
      <w:pPr>
        <w:spacing w:after="0" w:line="74"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co-founder’s employment with us is terminated for cause;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death or disability of such co-founder.</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If only one of our co-founders has experienced such a Triggering Event, then a proxy will automatically be granted over all of the shares of Class B common stock held by such co-founder, certain immediate family members and their related permitted entities and permitted transferees to the other co-founder, referred to as the Founder Voting Proxy, such that one co-founder will have exclusive voting control over all shares of Class B common stock held by both co-founders, certain immediate family members and their related permitted entities and permitted transferees. As a result of the Founder Voting Proxy, one co-founder would then be able to significantly influence or determine any action requiring approval of stockholders in his sole discretion, including all matters referred to above. For information about our multi-class structure, see the section titled “Description of Capital Stock.”</w:t>
      </w:r>
    </w:p>
    <w:p>
      <w:pPr>
        <w:spacing w:after="0" w:line="185"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FTSE Russell does not allow most newly public companies utilizing dual or multi-class capital structures to be included in their indices, including the Russell 2000. Also, in 2017, MSCI, 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the announced policies, our dual class capital structure would make us ineligible for inclusion in certain indices, and as a result, mutual funds, exchange-traded funds, and other investment vehicles that attempt to passively track these indices will not be investing in our stock. In addition,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volume, and liquidity of our Class A common stock could be adversely affected.</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102" w:lineRule="exact"/>
        <w:rPr>
          <w:sz w:val="20"/>
          <w:szCs w:val="20"/>
          <w:color w:val="auto"/>
        </w:rPr>
      </w:pPr>
    </w:p>
    <w:p>
      <w:pPr>
        <w:ind w:left="120" w:right="380" w:firstLine="551"/>
        <w:spacing w:after="0" w:line="271"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59" w:lineRule="exact"/>
        <w:rPr>
          <w:sz w:val="20"/>
          <w:szCs w:val="20"/>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variance in our financial performance from our forecasts or the expectations of securities analysts;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commission rates;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laws or regulations applicable to the life insurance industry;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or acquisitions;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117" w:lineRule="exact"/>
        <w:rPr>
          <w:rFonts w:ascii="Arial" w:cs="Arial" w:eastAsia="Arial" w:hAnsi="Arial"/>
          <w:sz w:val="18"/>
          <w:szCs w:val="18"/>
          <w:color w:val="auto"/>
        </w:rPr>
      </w:pPr>
    </w:p>
    <w:p>
      <w:pPr>
        <w:ind w:left="880" w:right="180" w:hanging="224"/>
        <w:spacing w:after="0" w:line="271"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 as well as the anticipation of lock-up and market stand-off releases;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demand for life insurance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overall performance of the equity markets; and</w:t>
      </w:r>
    </w:p>
    <w:p>
      <w:pPr>
        <w:spacing w:after="0" w:line="117" w:lineRule="exact"/>
        <w:rPr>
          <w:rFonts w:ascii="Arial" w:cs="Arial" w:eastAsia="Arial" w:hAnsi="Arial"/>
          <w:sz w:val="18"/>
          <w:szCs w:val="18"/>
          <w:color w:val="auto"/>
        </w:rPr>
      </w:pPr>
    </w:p>
    <w:p>
      <w:pPr>
        <w:ind w:left="880" w:right="740" w:hanging="224"/>
        <w:spacing w:after="0" w:line="271"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political, social, economic, and market conditions, in both domestic and our foreign markets, including effects of increased interest rates, inflationary pressures, bank failures, and macroeconomic uncertainty and challenges.</w:t>
      </w:r>
    </w:p>
    <w:p>
      <w:pPr>
        <w:spacing w:after="0" w:line="154" w:lineRule="exact"/>
        <w:rPr>
          <w:sz w:val="20"/>
          <w:szCs w:val="20"/>
          <w:color w:val="auto"/>
        </w:rPr>
      </w:pPr>
    </w:p>
    <w:p>
      <w:pPr>
        <w:jc w:val="both"/>
        <w:ind w:left="120" w:right="200" w:firstLine="551"/>
        <w:spacing w:after="0" w:line="253" w:lineRule="auto"/>
        <w:rPr>
          <w:sz w:val="20"/>
          <w:szCs w:val="20"/>
          <w:color w:val="auto"/>
        </w:rPr>
      </w:pPr>
      <w:r>
        <w:rPr>
          <w:rFonts w:ascii="Arial" w:cs="Arial" w:eastAsia="Arial" w:hAnsi="Arial"/>
          <w:sz w:val="18"/>
          <w:szCs w:val="18"/>
          <w:color w:val="auto"/>
        </w:rPr>
        <w:t>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71" w:lineRule="exact"/>
        <w:rPr>
          <w:sz w:val="20"/>
          <w:szCs w:val="20"/>
          <w:color w:val="auto"/>
        </w:rPr>
      </w:pPr>
    </w:p>
    <w:p>
      <w:pPr>
        <w:ind w:left="120" w:right="120" w:firstLine="551"/>
        <w:spacing w:after="0" w:line="278" w:lineRule="auto"/>
        <w:rPr>
          <w:sz w:val="20"/>
          <w:szCs w:val="20"/>
          <w:color w:val="auto"/>
        </w:rPr>
      </w:pPr>
      <w:r>
        <w:rPr>
          <w:rFonts w:ascii="Arial" w:cs="Arial" w:eastAsia="Arial" w:hAnsi="Arial"/>
          <w:sz w:val="18"/>
          <w:szCs w:val="18"/>
          <w:b w:val="1"/>
          <w:bCs w:val="1"/>
          <w:i w:val="1"/>
          <w:iCs w:val="1"/>
          <w:color w:val="auto"/>
        </w:rPr>
        <w:t>No public market for our Class A common stock currently exists, and an active public trading market may not develop or be sustained following the closing of this offering.</w:t>
      </w:r>
    </w:p>
    <w:p>
      <w:pPr>
        <w:spacing w:after="0" w:line="139"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No public market for our Class A common stock currently exists. An active public trading market for our Class A common stock may not develop following the closing of this offering or, if developed, it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78" w:lineRule="exact"/>
        <w:rPr>
          <w:sz w:val="20"/>
          <w:szCs w:val="20"/>
          <w:color w:val="auto"/>
        </w:rPr>
      </w:pPr>
    </w:p>
    <w:p>
      <w:pPr>
        <w:ind w:left="120" w:right="60" w:firstLine="551"/>
        <w:spacing w:after="0" w:line="278" w:lineRule="auto"/>
        <w:rPr>
          <w:sz w:val="20"/>
          <w:szCs w:val="20"/>
          <w:color w:val="auto"/>
        </w:rPr>
      </w:pPr>
      <w:r>
        <w:rPr>
          <w:rFonts w:ascii="Arial" w:cs="Arial" w:eastAsia="Arial" w:hAnsi="Arial"/>
          <w:sz w:val="18"/>
          <w:szCs w:val="18"/>
          <w:b w:val="1"/>
          <w:bCs w:val="1"/>
          <w:i w:val="1"/>
          <w:iCs w:val="1"/>
          <w:color w:val="auto"/>
        </w:rPr>
        <w:t>We have not granted the underwriters an option to purchase additional shares of Class A common stock from us, and the trading price of our Class A common stock may be more volatile as a result.</w:t>
      </w:r>
    </w:p>
    <w:p>
      <w:pPr>
        <w:spacing w:after="0" w:line="139"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We have not granted the underwriters an option to purchase additional shares of Class A common stock from us at the initial public offering price less underwriting discounts and commissions, which is a common feature in initial public offerings. Without this option, the underwriters may choose not to engage in certain transactions that stabilize, maintain, or otherwise affect the market price of our Class A common stock, such as short sales, stabilizing transactions, and purchases to cover positions created by short sales, to the extent they would have engaged in any such transactions had we granted the underwriters such an option. As a result, the price of our Class A common stock may be more volatile than it might have been had we granted the underwriters such an option. These fluctuations could cause you to lose part of your investment in our Class A common stock because you might be unable to sell your shares at or above the price you paid in this offering.</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to us from this offering and may not use them effectively.</w:t>
      </w:r>
    </w:p>
    <w:p>
      <w:pPr>
        <w:spacing w:after="0" w:line="210"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our ultimate use may vary substantially from our currently intended use. Investors will need to rely on the judgment of our management with respect to the use of proceeds. Pending use, we may invest the net proceeds from this offering in short-term, investment-grade, interest-bearing securities, such as money market funds, corporate notes and bonds, certificates of deposit, commercial paper, and guaranteed obligations of the U.S. government that may not generate a high yield for our stockholders. If we do not use the net proceeds that we receive in this offering effectively, our business, financial condition, results of operations, and growth prospects could be harmed, and the market price of our Class A common stock could decline.</w:t>
      </w:r>
    </w:p>
    <w:p>
      <w:pPr>
        <w:spacing w:after="0" w:line="185" w:lineRule="exact"/>
        <w:rPr>
          <w:sz w:val="20"/>
          <w:szCs w:val="20"/>
          <w:color w:val="auto"/>
        </w:rPr>
      </w:pPr>
    </w:p>
    <w:p>
      <w:pPr>
        <w:ind w:left="120" w:right="480" w:firstLine="551"/>
        <w:spacing w:after="0" w:line="278" w:lineRule="auto"/>
        <w:rPr>
          <w:sz w:val="20"/>
          <w:szCs w:val="20"/>
          <w:color w:val="auto"/>
        </w:rPr>
      </w:pPr>
      <w:r>
        <w:rPr>
          <w:rFonts w:ascii="Arial" w:cs="Arial" w:eastAsia="Arial" w:hAnsi="Arial"/>
          <w:sz w:val="18"/>
          <w:szCs w:val="18"/>
          <w:b w:val="1"/>
          <w:bCs w:val="1"/>
          <w:i w:val="1"/>
          <w:iCs w:val="1"/>
          <w:color w:val="auto"/>
        </w:rPr>
        <w:t>Future sales of our Class A common stock in the public market could cause the market price of our Class A common stock to decline.</w:t>
      </w:r>
    </w:p>
    <w:p>
      <w:pPr>
        <w:spacing w:after="0" w:line="139" w:lineRule="exact"/>
        <w:rPr>
          <w:sz w:val="20"/>
          <w:szCs w:val="20"/>
          <w:color w:val="auto"/>
        </w:rPr>
      </w:pPr>
    </w:p>
    <w:p>
      <w:pPr>
        <w:ind w:left="120" w:right="140" w:firstLine="551"/>
        <w:spacing w:after="0" w:line="242" w:lineRule="auto"/>
        <w:rPr>
          <w:sz w:val="20"/>
          <w:szCs w:val="20"/>
          <w:color w:val="auto"/>
        </w:rPr>
      </w:pPr>
      <w:r>
        <w:rPr>
          <w:rFonts w:ascii="Arial" w:cs="Arial" w:eastAsia="Arial" w:hAnsi="Arial"/>
          <w:sz w:val="18"/>
          <w:szCs w:val="18"/>
          <w:color w:val="auto"/>
        </w:rPr>
        <w:t>Sales of a substantial number of shares of our Class A common stock in the public market following the closing of this offering, or the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of this offering,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79"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All of our directors, executive officers, selling stockholders and the holders of substantially all of our common stock outstanding and securities exercisable for or convertible into our common stock, have entered into agreements with market stand-off provisions that will restrict our and their ability to sell or transfer shares of our capital stock and securities convertible into or exercisable or exchangeable for shares of our capital stock, for a period of 180 days from the date of this prospectus, provided that,</w:t>
      </w:r>
    </w:p>
    <w:p>
      <w:pPr>
        <w:spacing w:after="0" w:line="79" w:lineRule="exact"/>
        <w:rPr>
          <w:sz w:val="20"/>
          <w:szCs w:val="20"/>
          <w:color w:val="auto"/>
        </w:rPr>
      </w:pPr>
    </w:p>
    <w:p>
      <w:pPr>
        <w:ind w:left="880" w:right="40" w:hanging="224"/>
        <w:spacing w:after="0" w:line="238"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respect to our current employees or other service providers, or Current Employees, former employees or service providers, or Former Employees (but excluding in all cases our directors, “officers” (as defined in Rule 16a-1(f) under the Exchange Act), or any of our affiliates (as defined under Rule 144 under the Securities Act), or Affiliates), and our non-Affiliates, or Non-Affiliates, and, together with Current Employees and Former Employees, the Eligible Holders, if the closing price per share of the Class A common stock on Nasdaq for any five trading days (one of which must be a trading day occurring after the date we publicly announce our earnings for the second completed fiscal quarterly period following the most recent fiscal period for which financial statements are included in this prospectus, or the Initial Post-Offering Earnings Date), out of ten consecutive trading days is at least 25% greater than the initial public offering price set forth on the cover page of this prospectus, then beginning at the opening of trading on the first trading day, or the Tier 1 Release Date, after the applicable ten consecutive trading day period, 25% of the aggregate number of shares of Class A common stock and any securities convertible into, exchangeable for or that represent the right to receive shares of Class A common stock held by Eligible Holders as of               , 2026, or Eligible Securities, will be automatically released from the lock-up restrictions, or the Tier 1 Release, and may be sold into the public market, subject to exceptions; provided, further, that the Tier 1</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880" w:right="500"/>
        <w:spacing w:after="0" w:line="271" w:lineRule="auto"/>
        <w:rPr>
          <w:sz w:val="20"/>
          <w:szCs w:val="20"/>
          <w:color w:val="auto"/>
        </w:rPr>
      </w:pPr>
      <w:r>
        <w:rPr>
          <w:rFonts w:ascii="Arial" w:cs="Arial" w:eastAsia="Arial" w:hAnsi="Arial"/>
          <w:sz w:val="18"/>
          <w:szCs w:val="18"/>
          <w:color w:val="auto"/>
        </w:rPr>
        <w:t>Release will expire for applicable Current Employees subject to quarterly trading blackout periods under our insider trading policy upon the commencement of the next occurring quarterly trading blackout period under our insider trading policy; and</w:t>
      </w:r>
    </w:p>
    <w:p>
      <w:pPr>
        <w:spacing w:after="0" w:line="59" w:lineRule="exact"/>
        <w:rPr>
          <w:sz w:val="20"/>
          <w:szCs w:val="20"/>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 respect to Eligible Holders, if the closing price per share of the Class A common stock on Nasdaq for any five trading days (one of which must be a trading day occurring on or after         , 2026) out of ten consecutive trading days is at least 25% greater than the initial public offering price set forth on the cover page of this prospectus, then beginning at the opening of trading on the first trading day, or the Tier 2 Release Date, after the applicable ten consecutive trading day period, 25% of Eligible Securities held by Eligible Holders will be automatically released from the lock-up restrictions, or the Tier 2 Release, and may be sold into the public market, subject to exceptions; provided, further, that the Tier 2 Release will expire for applicable Current Employees subject to quarterly trading blackout periods under our insider trading policy upon the commencement of the next occurring quarterly trading blackout period under our insider trading policy.</w:t>
      </w:r>
    </w:p>
    <w:p>
      <w:pPr>
        <w:spacing w:after="0" w:line="180" w:lineRule="exact"/>
        <w:rPr>
          <w:sz w:val="20"/>
          <w:szCs w:val="20"/>
          <w:color w:val="auto"/>
        </w:rPr>
      </w:pPr>
    </w:p>
    <w:p>
      <w:pPr>
        <w:ind w:left="120" w:right="620" w:firstLine="551"/>
        <w:spacing w:after="0" w:line="271" w:lineRule="auto"/>
        <w:rPr>
          <w:sz w:val="20"/>
          <w:szCs w:val="20"/>
          <w:color w:val="auto"/>
        </w:rPr>
      </w:pPr>
      <w:r>
        <w:rPr>
          <w:rFonts w:ascii="Arial" w:cs="Arial" w:eastAsia="Arial" w:hAnsi="Arial"/>
          <w:sz w:val="18"/>
          <w:szCs w:val="18"/>
          <w:color w:val="auto"/>
        </w:rPr>
        <w:t>For the avoidance of doubt, in the event both the Tier 1 Release and the Tier 2 Release are triggered, the amount of Eligible Securities released will not exceed 50% of the total Eligible Securities held by Eligible Holders.</w:t>
      </w:r>
    </w:p>
    <w:p>
      <w:pPr>
        <w:spacing w:after="0" w:line="154"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In addition,      will have the ability to release any of the securities subject to these lock-up agreements at any time, subject to the applicable notice requirements. See the sections titled “Shares Eligible for Future Sale” and “Underwriting” for a discussion of such exceptions and of the provisions that may allow for sales during the lock-up period. If not earlier released, all of the shares of Class A common stock not sold in this offering will become eligible for sale upon expiration of the lock-up period, except for any shares held by our affiliates as defined in Rule 144 under the Securities Act of 1933, as amended, or the Securities Act.</w:t>
      </w:r>
    </w:p>
    <w:p>
      <w:pPr>
        <w:spacing w:after="0" w:line="176" w:lineRule="exact"/>
        <w:rPr>
          <w:sz w:val="20"/>
          <w:szCs w:val="20"/>
          <w:color w:val="auto"/>
        </w:rPr>
      </w:pPr>
    </w:p>
    <w:p>
      <w:pPr>
        <w:ind w:left="120" w:right="140" w:firstLine="551"/>
        <w:spacing w:after="0" w:line="239" w:lineRule="auto"/>
        <w:rPr>
          <w:sz w:val="20"/>
          <w:szCs w:val="20"/>
          <w:color w:val="auto"/>
        </w:rPr>
      </w:pPr>
      <w:r>
        <w:rPr>
          <w:rFonts w:ascii="Arial" w:cs="Arial" w:eastAsia="Arial" w:hAnsi="Arial"/>
          <w:sz w:val="18"/>
          <w:szCs w:val="18"/>
          <w:color w:val="auto"/>
        </w:rPr>
        <w:t>Furthermore, a substantial majority our common stock and securities convertible into or exercisable or exchangeable for our common stock are subject to market stand-off restrictions with us that include restrictions on the sale, transfer, or other disposition of shares during the lock-up period. As a result of the foregoing, substantially all of our common stock and securities convertible into or exercisable or exchangeable for our common stock are subject to a lock-up agreement or market stand-off provisions during the lock-up period. We have agreed to enforce all such market stand-off restrictions on behalf of the underwriters and not to release, amend or waive any such market stand-off provisions during the lock-up period without the prior consent of Goldman Sachs &amp; Co. LLC and J.P. Morgan Securities LLC, on behalf of the underwriters, provided that we may release shares from such restrictions to the extent that it would be permissible to release such shares under the form of lock-up agreement with the underwriters signed by certain holders of our securities as described herein.</w:t>
      </w:r>
    </w:p>
    <w:p>
      <w:pPr>
        <w:spacing w:after="0" w:line="18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addition, there were      shares of Class A common stock issuable upon the exercise of options and      restricted stock units, or RSUs, to be settled in shares of our Class A common stock as of the date of this prospectus, of which       shares will be exchangeable for an equal number of shares of Class B common stock at the election of our co-founders upon settlement. We intend to register all of the shares of common stock issuable upon exercise of outstanding options, the vesting and settlement of outstanding RSUs, and other equity incentives we may grant in the future, for public resale under the Securities Act. The shares of common stock will become eligible for sale in the public market to the extent such options are exercised or RSUs are vested and settled, subject to the lock-up agreements and/or market stand-off provisions described above comply with applicable securities laws.</w:t>
      </w:r>
    </w:p>
    <w:p>
      <w:pPr>
        <w:spacing w:after="0" w:line="185" w:lineRule="exact"/>
        <w:rPr>
          <w:sz w:val="20"/>
          <w:szCs w:val="20"/>
          <w:color w:val="auto"/>
        </w:rPr>
      </w:pPr>
    </w:p>
    <w:p>
      <w:pPr>
        <w:ind w:left="120" w:right="620" w:firstLine="551"/>
        <w:spacing w:after="0" w:line="271" w:lineRule="auto"/>
        <w:rPr>
          <w:sz w:val="20"/>
          <w:szCs w:val="20"/>
          <w:color w:val="auto"/>
        </w:rPr>
      </w:pPr>
      <w:r>
        <w:rPr>
          <w:rFonts w:ascii="Arial" w:cs="Arial" w:eastAsia="Arial" w:hAnsi="Arial"/>
          <w:sz w:val="18"/>
          <w:szCs w:val="18"/>
          <w:color w:val="auto"/>
        </w:rPr>
        <w:t>Further, based on shares outstanding as of September 30, 2025, holders of approximately       shares of our Class A and Class B common stock (based on the assumed initial public offering</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price of $ per share, the midpoint of the price range set forth on the cover page of this prospectus), or    % of our shares outstanding after the closing of this offering, will have rights, subject to some conditions, to require us to file registration statements covering the sale of their shares or to include their shares in registration statements that we may file for ourselves or other stockholders.</w:t>
      </w:r>
    </w:p>
    <w:p>
      <w:pPr>
        <w:spacing w:after="0" w:line="171" w:lineRule="exact"/>
        <w:rPr>
          <w:sz w:val="20"/>
          <w:szCs w:val="20"/>
          <w:color w:val="auto"/>
        </w:rPr>
      </w:pPr>
    </w:p>
    <w:p>
      <w:pPr>
        <w:ind w:left="120" w:right="20" w:firstLine="551"/>
        <w:spacing w:after="0" w:line="256" w:lineRule="auto"/>
        <w:rPr>
          <w:sz w:val="20"/>
          <w:szCs w:val="20"/>
          <w:color w:val="auto"/>
        </w:rPr>
      </w:pPr>
      <w:r>
        <w:rPr>
          <w:rFonts w:ascii="Arial" w:cs="Arial" w:eastAsia="Arial" w:hAnsi="Arial"/>
          <w:sz w:val="18"/>
          <w:szCs w:val="18"/>
          <w:b w:val="1"/>
          <w:bCs w:val="1"/>
          <w:i w:val="1"/>
          <w:iCs w:val="1"/>
          <w:color w:val="auto"/>
        </w:rPr>
        <w:t>We anticipate incurring substantial tax obligations on the initial settlement of certain RSUs in connection with this offering. The manner in which we fund these tax liabilities may have an adverse effect on our financial condition and may further dilute our stockholders.</w:t>
      </w:r>
    </w:p>
    <w:p>
      <w:pPr>
        <w:spacing w:after="0" w:line="159"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light of the number of RSUs that will initially settle in connection with this offering, we anticipate that we will expend substantial funds to satisfy tax withholding and remittance obligations. The majority of the RSUs granted prior to the date of this prospectus vest upon the satisfaction of service-based and liquidity event-based conditions. The service-based condition is generally satisfied over a period of four years. The liquidity event-based condition will be satisfied as of the effectiveness of the registration statement of which this prospectus forms a part. As a result, such RSUs that have previously satisfied the service-based condition will vest in connection with the effectiveness of the registration statement of which this prospectus forms a part. In connection with the settlement of these RSUs, we plan to withhold certain shares underlying RSUs and remit income taxes on behalf of the holders of such RSUs at applicable statutory tax withholding rates based on the initial public offering price per share in this offering. See the section titled “Use of Proceeds.” For RSUs that will vest after the effectiveness of the registration statement of which this prospectus forms a part and prior to the expiration of the lock-up and/or market stand-off period, we will have discretion to net settle or sell-to-cover shares underlying these RSUs and also to delay settlement of these RSUs following vesting until the expiration of the lock-up and/or market stand-off period.</w:t>
      </w:r>
    </w:p>
    <w:p>
      <w:pPr>
        <w:spacing w:after="0" w:line="186"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Based on the number of RSUs for which the service-based condition was fully or partially satisfied on or before the date of this prospectus, and assuming (i) that the value of our Class A common stock at the time of settlement was equal to the initial public offering price of $        per share and (ii) an assumed        % tax withholding rate for the RSUs, we estimate that our tax liability on the settlement date for these RSUs will be approximately $        million in the aggregate. Accordingly, we would expect to deliver an aggregate of approximately        million shares of our Class A common stock to RSU holders after withholding an aggregate of approximately        million shares of our Class A common stock. The amount of these tax liabilities and withholdings could be higher or lower, depending on, among other things, the actual price of shares of our Class A common stock sold in this offering, the actual tax withholding rates, and the actual number of RSUs for which the service-based condition has been satisfied on the settlement or vesting date (after accounting for forfeitures prior to the settlement or vesting date). As a result, depending on these factors, we may need to use existing cash, cash equivalents, and investments to fund a portion of these tax withholding and remittance obligations.</w:t>
      </w:r>
    </w:p>
    <w:p>
      <w:pPr>
        <w:spacing w:after="0" w:line="182" w:lineRule="exact"/>
        <w:rPr>
          <w:sz w:val="20"/>
          <w:szCs w:val="20"/>
          <w:color w:val="auto"/>
        </w:rPr>
      </w:pPr>
    </w:p>
    <w:p>
      <w:pPr>
        <w:ind w:left="120" w:right="680" w:firstLine="551"/>
        <w:spacing w:after="0" w:line="278"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139"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have funded our operations since inception primarily through equity and debt financings as well as cash generated from operations. We cannot be certain our operations will continue to generate sufficient cash to fully fund our ongoing operations or the growth of our business. We intend to continue to make investments to support our business, which may require us to engage in equity financings to secure additional funds. For example, in December 2024, we sold a portion of our commissions receivable to an unaffiliated third party re-insurer for upfront cash, as further described in Note 11 to our consolidated financial statements included elsewhere in this prospectus. We may consider entering into such arrangements in the future depending on our capital and business needs. The terms of any such arrangements may be less favorable to us in the future, and such arrangements may result in variability in our cash flows, which may complicate our financial planning and period-over-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period comparisons. If our use of such arrangements increases, any disruption in our ability to execute such transactions, or changes in their terms, could negatively impact our liquidity and financial condition. Additional financing may not be available on terms favorable to us, if at all. If adequate funds are not available on acceptable terms, we may be unable to invest in future growth opportunities, which could harm our business, results of operations, and financial condition. If we incur additional debt, the debt holders would have rights senior to holders of Class A common stock to make claims on our assets, and the terms of any debt could restrict our operations, including our ability to pay dividends on our Class A common stock. Furthermore, if we issue additional equity securities, including in connection with merger and acquisition transactions, stockholders will experience dilution. In addition, new equity securities could have rights senior to those of our Class A common stock.</w:t>
      </w:r>
    </w:p>
    <w:p>
      <w:pPr>
        <w:spacing w:after="0" w:line="18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trading prices for technology companies have been highly volatile, especially recently due to rising interest rates, inflation, and the uncertain macroeconomic environment, which may reduce our ability to access capital on favorable terms or at all. In addition, a recession, depression, or other sustained adverse market event could adversely affect the value of our Class A common stock as well as our business, financial condition, results of operations, and prospects. Because our decision to issue securities or engage in other financing arrangements in the future will depend on numerous considerations, including factors beyond our control, we cannot predict or estimate the amount, timing, or nature of any future issuances of debt or equity securities or other financing arrangements. As a result, our stockholders bear the risk of future issuances of debt or equity securities or other financing arrangements reducing the value of our Class A common stock and diluting their interests.</w:t>
      </w:r>
    </w:p>
    <w:p>
      <w:pPr>
        <w:spacing w:after="0" w:line="182" w:lineRule="exact"/>
        <w:rPr>
          <w:sz w:val="20"/>
          <w:szCs w:val="20"/>
          <w:color w:val="auto"/>
        </w:rPr>
      </w:pPr>
    </w:p>
    <w:p>
      <w:pPr>
        <w:ind w:left="120" w:right="120" w:firstLine="551"/>
        <w:spacing w:after="0" w:line="278"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of the shares of common stock you purchase in this offering.</w:t>
      </w:r>
    </w:p>
    <w:p>
      <w:pPr>
        <w:spacing w:after="0" w:line="139"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The initial public offering price of our Class A common stock is substantially higher than the pro forma net tangible book value per share of our Class A common stock immediately after the closing of this offering. If you purchase shares of our Class A common stock in this offering, you will suffer immediate dilution of $        per share, representing the difference between our pro forma as adjusted net tangible book value per share after giving effect to the sale of Class A common stock in this offering, the RSU Net Settlement, after withholding         shares to satisfy estimated tax withholding and remittance obligations of $        million (based on the assumed initial offering price set forth on the cover page of this prospectus, and an assumed     % tax withholding rate), and the assumed initial public offering price of $        per share, the midpoint of the price range set forth on the cover page of this prospectus. See the section titled “Dilution.”</w:t>
      </w:r>
    </w:p>
    <w:p>
      <w:pPr>
        <w:spacing w:after="0" w:line="182" w:lineRule="exact"/>
        <w:rPr>
          <w:sz w:val="20"/>
          <w:szCs w:val="20"/>
          <w:color w:val="auto"/>
        </w:rPr>
      </w:pPr>
    </w:p>
    <w:p>
      <w:pPr>
        <w:ind w:left="120" w:right="520" w:firstLine="551"/>
        <w:spacing w:after="0" w:line="278"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139" w:lineRule="exact"/>
        <w:rPr>
          <w:sz w:val="20"/>
          <w:szCs w:val="20"/>
          <w:color w:val="auto"/>
        </w:rPr>
      </w:pPr>
    </w:p>
    <w:p>
      <w:pPr>
        <w:ind w:left="120" w:firstLine="551"/>
        <w:spacing w:after="0" w:line="266" w:lineRule="auto"/>
        <w:rPr>
          <w:sz w:val="20"/>
          <w:szCs w:val="20"/>
          <w:color w:val="auto"/>
        </w:rPr>
      </w:pPr>
      <w:r>
        <w:rPr>
          <w:rFonts w:ascii="Arial" w:cs="Arial" w:eastAsia="Arial" w:hAnsi="Arial"/>
          <w:sz w:val="17"/>
          <w:szCs w:val="17"/>
          <w:color w:val="auto"/>
        </w:rPr>
        <w:t>We have never declared or paid any cash dividends on our capital stock, and we do not intend to pay any cash dividends in the foreseeable future. Any determination to pay dividends in the future will be at the discretion of our board of directors. In addition, our ability to pay dividends may be further restricted by agreements we may enter into in the future. Accordingly, you may need to rely on sales of our Class A common stock after price appreciation, which may never occur, as the only way to realize any future gains on your investment.</w:t>
      </w:r>
    </w:p>
    <w:p>
      <w:pPr>
        <w:spacing w:after="0" w:line="161" w:lineRule="exact"/>
        <w:rPr>
          <w:sz w:val="20"/>
          <w:szCs w:val="20"/>
          <w:color w:val="auto"/>
        </w:rPr>
      </w:pPr>
    </w:p>
    <w:p>
      <w:pPr>
        <w:ind w:left="120" w:right="240" w:firstLine="551"/>
        <w:spacing w:after="0" w:line="278" w:lineRule="auto"/>
        <w:rPr>
          <w:sz w:val="20"/>
          <w:szCs w:val="20"/>
          <w:color w:val="auto"/>
        </w:rPr>
      </w:pPr>
      <w:r>
        <w:rPr>
          <w:rFonts w:ascii="Arial" w:cs="Arial" w:eastAsia="Arial" w:hAnsi="Arial"/>
          <w:sz w:val="18"/>
          <w:szCs w:val="18"/>
          <w:b w:val="1"/>
          <w:bCs w:val="1"/>
          <w:i w:val="1"/>
          <w:iCs w:val="1"/>
          <w:color w:val="auto"/>
        </w:rPr>
        <w:t>We are an “emerging growth company,” and the reduced reporting and disclosure requirements applicable to emerging growth companies could make our Class A common stock less attractive to investors.</w:t>
      </w:r>
    </w:p>
    <w:p>
      <w:pPr>
        <w:spacing w:after="0" w:line="99" w:lineRule="exact"/>
        <w:rPr>
          <w:sz w:val="20"/>
          <w:szCs w:val="20"/>
          <w:color w:val="auto"/>
        </w:rPr>
      </w:pPr>
    </w:p>
    <w:p>
      <w:pPr>
        <w:ind w:left="120" w:right="580" w:firstLine="551"/>
        <w:spacing w:after="0" w:line="271"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various reporting requirements that are applicable to other public</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56" w:lineRule="exact"/>
        <w:rPr>
          <w:sz w:val="20"/>
          <w:szCs w:val="20"/>
          <w:color w:val="auto"/>
        </w:rPr>
      </w:pPr>
    </w:p>
    <w:p>
      <w:pPr>
        <w:ind w:left="120" w:right="180" w:firstLine="551"/>
        <w:spacing w:after="0" w:line="247" w:lineRule="auto"/>
        <w:rPr>
          <w:sz w:val="20"/>
          <w:szCs w:val="20"/>
          <w:color w:val="auto"/>
        </w:rPr>
      </w:pPr>
      <w:r>
        <w:rPr>
          <w:rFonts w:ascii="Arial" w:cs="Arial" w:eastAsia="Arial" w:hAnsi="Arial"/>
          <w:sz w:val="18"/>
          <w:szCs w:val="18"/>
          <w:color w:val="auto"/>
        </w:rPr>
        <w:t>We will remain an emerging growth company until the first to occur of: (i) the last day of the year following the fifth anniversary of the closing of this offering; (ii) the last day of the first year in which our annual gross revenue is $1.235 billion or more; (iii) the date on which we have, during the previous rolling three-year period, issued more than $1.0 billion in non-convertible debt securities; and (iv) the date we qualify as a “large accelerated filer,” with at least $700 million of equity securities held by non-affiliates.</w:t>
      </w:r>
    </w:p>
    <w:p>
      <w:pPr>
        <w:spacing w:after="0" w:line="160"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these exemptions. For example, if we do not adopt a new or revised accounting standard, our future results of operations may not be as comparable to the results of operations of certain other companies in our industry that adopted such standards. If some investors find our Class A common stock less attractive as a result, there may be a less active trading market for our Class A common stock, and our stock price may be more volatile.</w:t>
      </w:r>
    </w:p>
    <w:p>
      <w:pPr>
        <w:spacing w:after="0" w:line="178" w:lineRule="exact"/>
        <w:rPr>
          <w:sz w:val="20"/>
          <w:szCs w:val="20"/>
          <w:color w:val="auto"/>
        </w:rPr>
      </w:pPr>
    </w:p>
    <w:p>
      <w:pPr>
        <w:ind w:left="120" w:right="600" w:firstLine="551"/>
        <w:spacing w:after="0" w:line="27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39"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listing requirements of the securities exchange on which our Class A common stock trades, and other applicable securities rules and regulations impose various requirements on public companies. Our management and other personnel will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87" w:lineRule="exact"/>
        <w:rPr>
          <w:sz w:val="20"/>
          <w:szCs w:val="20"/>
          <w:color w:val="auto"/>
        </w:rPr>
      </w:pPr>
    </w:p>
    <w:p>
      <w:pPr>
        <w:ind w:left="120" w:firstLine="551"/>
        <w:spacing w:after="0" w:line="256"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59"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they will be in effect immediately prior to the closing of this offering, may have the effect of preventing a change of control or changes in our management. Our amended and restated certificate of incorporation and amended and restated bylaws will include provisions that:</w:t>
      </w:r>
    </w:p>
    <w:p>
      <w:pPr>
        <w:spacing w:after="0" w:line="74" w:lineRule="exact"/>
        <w:rPr>
          <w:sz w:val="20"/>
          <w:szCs w:val="20"/>
          <w:color w:val="auto"/>
        </w:rPr>
      </w:pPr>
    </w:p>
    <w:p>
      <w:pPr>
        <w:ind w:left="880" w:right="120" w:hanging="224"/>
        <w:spacing w:after="0" w:line="271"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880" w:right="40" w:hanging="224"/>
        <w:spacing w:after="0" w:line="253"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following the date on which the outstanding shares of Class B Common Stock represent less than a majority of the total voting power of our then-outstanding shares, require that any action to be taken by our stockholders be effected at a duly called annual or special meeting and not by written consent;</w:t>
      </w:r>
    </w:p>
    <w:p>
      <w:pPr>
        <w:spacing w:after="0" w:line="74" w:lineRule="exact"/>
        <w:rPr>
          <w:rFonts w:ascii="Arial" w:cs="Arial" w:eastAsia="Arial" w:hAnsi="Arial"/>
          <w:sz w:val="18"/>
          <w:szCs w:val="18"/>
          <w:color w:val="auto"/>
        </w:rPr>
      </w:pPr>
    </w:p>
    <w:p>
      <w:pPr>
        <w:ind w:left="880" w:right="300" w:hanging="224"/>
        <w:spacing w:after="0" w:line="271"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 (in the absence of a chief executive officer);</w:t>
      </w:r>
    </w:p>
    <w:p>
      <w:pPr>
        <w:spacing w:after="0" w:line="59" w:lineRule="exact"/>
        <w:rPr>
          <w:rFonts w:ascii="Arial" w:cs="Arial" w:eastAsia="Arial" w:hAnsi="Arial"/>
          <w:sz w:val="18"/>
          <w:szCs w:val="18"/>
          <w:color w:val="auto"/>
        </w:rPr>
      </w:pPr>
    </w:p>
    <w:p>
      <w:pPr>
        <w:ind w:left="880" w:right="280" w:hanging="224"/>
        <w:spacing w:after="0" w:line="271"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880" w:right="180" w:hanging="224"/>
        <w:spacing w:after="0" w:line="271"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that our directors may be removed for cause only upon the vote of at least 66 2/3% of our outstanding shares of voting stock;</w:t>
      </w:r>
    </w:p>
    <w:p>
      <w:pPr>
        <w:spacing w:after="0" w:line="59" w:lineRule="exact"/>
        <w:rPr>
          <w:rFonts w:ascii="Arial" w:cs="Arial" w:eastAsia="Arial" w:hAnsi="Arial"/>
          <w:sz w:val="18"/>
          <w:szCs w:val="18"/>
          <w:color w:val="auto"/>
        </w:rPr>
      </w:pPr>
    </w:p>
    <w:p>
      <w:pPr>
        <w:ind w:left="880" w:right="100" w:hanging="224"/>
        <w:spacing w:after="0" w:line="271"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the affirmative vote of a majority of directors then in office, even though less than a quorum, or by a sole remaining director; and</w:t>
      </w:r>
    </w:p>
    <w:p>
      <w:pPr>
        <w:spacing w:after="0" w:line="59" w:lineRule="exact"/>
        <w:rPr>
          <w:rFonts w:ascii="Arial" w:cs="Arial" w:eastAsia="Arial" w:hAnsi="Arial"/>
          <w:sz w:val="18"/>
          <w:szCs w:val="18"/>
          <w:color w:val="auto"/>
        </w:rPr>
      </w:pPr>
    </w:p>
    <w:p>
      <w:pPr>
        <w:ind w:left="880" w:right="500" w:hanging="224"/>
        <w:spacing w:after="0" w:line="271"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54"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142" w:lineRule="exact"/>
        <w:rPr>
          <w:sz w:val="20"/>
          <w:szCs w:val="20"/>
          <w:color w:val="auto"/>
        </w:rPr>
      </w:pPr>
    </w:p>
    <w:p>
      <w:pPr>
        <w:ind w:left="120" w:right="200" w:firstLine="551"/>
        <w:spacing w:after="0" w:line="249"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designate the Court of Chancery of the State of Delaware and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spacing w:after="0" w:line="12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amended and restated certificate of incorporation, to be effective immediately prior to the closing of this offering, will provide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or any action asserting a claim for aiding and abetting such breach of fiduciary duty;</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5"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hanging="4"/>
        <w:spacing w:after="0" w:line="236" w:lineRule="auto"/>
        <w:tabs>
          <w:tab w:leader="none" w:pos="41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(including any right, obligation, or remedy thereunder); (v) any action or proceeding as to which the Delaware General Corporation Law confers jurisdiction to the Court of Chancery of the State of Delaware; and (vi) any action or proceeding asserting a claim against us or any of our current or former directors, officers, or other employees that is governed by the internal affairs doctrine, in all cases to the fullest extent permitted by law and subject to the court’s having personal jurisdiction over the indispensable parties named as defendants. This provision would not apply to suits brought to enforce a duty or liability created by the Securities Exchange Act of 1934, as amended, or the Exchange Act, or any other claim for which the federal courts have exclusive jurisdiction. In addition, to prevent having to litigate claims in multiple jurisdictions and the threat of inconsistent or contrary rulings by different courts, among other considerations, our amended and restated certificate of incorporation to be effective immediately prior to the closing of this offering will provide that, unless we consent in writing to the selection of an alternative forum, to the fullest extent permitted by law, the federal district courts of the United States of America will be the exclusive forum for resolving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However, as Section 22 of the Securities Act creates concurrent jurisdiction for federal and state courts over all suits brought to enforce any duty or liability created by the Securities Act or the rules and regulations thereunder, there is uncertainty as to whether a court would enforce such provision. Our amended and restated certificate of incorporation, to be effective immediately prior to the closing of this offering, will further provide that any person or entity holding, owning or otherwise acquiring any interest in any of our securities shall be deemed to have notice of and consented to these provisions. Investors also cannot waive compliance with the federal securities laws and the rules and regulations thereunder.</w:t>
      </w:r>
    </w:p>
    <w:p>
      <w:pPr>
        <w:spacing w:after="0" w:line="192"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7"/>
          <w:szCs w:val="17"/>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we cannot assure you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p>
    <w:p>
      <w:pPr>
        <w:spacing w:after="0" w:line="171" w:lineRule="exact"/>
        <w:rPr>
          <w:sz w:val="20"/>
          <w:szCs w:val="20"/>
          <w:color w:val="auto"/>
        </w:rPr>
      </w:pPr>
    </w:p>
    <w:p>
      <w:pPr>
        <w:ind w:left="120" w:right="760" w:firstLine="551"/>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the market price and trading volume of our Class A common stock could decline.</w:t>
      </w:r>
    </w:p>
    <w:p>
      <w:pPr>
        <w:spacing w:after="0" w:line="139"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The market price and trading volume of our Class A common stock following the closing of this offering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Risks</w:t>
      </w:r>
    </w:p>
    <w:p>
      <w:pPr>
        <w:spacing w:after="0" w:line="214" w:lineRule="exact"/>
        <w:rPr>
          <w:sz w:val="20"/>
          <w:szCs w:val="20"/>
          <w:color w:val="auto"/>
        </w:rPr>
      </w:pPr>
    </w:p>
    <w:p>
      <w:pPr>
        <w:ind w:left="120" w:firstLine="551"/>
        <w:spacing w:after="0" w:line="256"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If we are unable to demonstrate the effectiveness of our remediation measures, or if we identify additional material weaknesses in the future, our ability to produce timely and accurate financial statements or comply with applicable laws and regulations could be adversely affected.</w:t>
      </w:r>
    </w:p>
    <w:p>
      <w:pPr>
        <w:spacing w:after="0" w:line="159"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identified a material weakness in our internal control over financial reporting, as described below. A material weakness is a deficiency, or a combination of deficiencies, in internal control over financial reporting such that there is a reasonable possibility that a material misstatement of our financial statements would not be prevented or detected on a timely basis. Specifically, our accounting policies did not appropriately evaluate the accounting implications of the sale of commissions receivable, which transaction was complex and non-routine from an accounting perspective. We have since modified our accounting policies and procedures to properly reflect the accounting implications of such transaction; however, if those policies and related procedures are not effective, we may be subject to similar risks in the future with respect to accounting for similar complex, non-routine transactions.</w:t>
      </w:r>
    </w:p>
    <w:p>
      <w:pPr>
        <w:spacing w:after="0" w:line="185"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While we have implemented remediation measures, including by modifying certain accounting policies and procedures described above and documenting internal controls related to such transactions, we must demonstrate sustained effectiveness of these controls over time before the material weakness can be considered fully remediated.</w:t>
      </w:r>
    </w:p>
    <w:p>
      <w:pPr>
        <w:spacing w:after="0" w:line="169"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There can be no assurance that our remediation efforts will be successful in all respects, or that additional material weaknesses will not be identified in the future. If we fail to maintain effective internal control over financial reporting, it could impair our ability to manage our business effectively, delay our financial reporting, and potentially result in a loss of investor confidence, which could negatively impact the trading price of our Class A common stock and our business, financial condition, and results of operations.</w:t>
      </w:r>
    </w:p>
    <w:p>
      <w:pPr>
        <w:spacing w:after="0" w:line="176" w:lineRule="exact"/>
        <w:rPr>
          <w:sz w:val="20"/>
          <w:szCs w:val="20"/>
          <w:color w:val="auto"/>
        </w:rPr>
      </w:pPr>
    </w:p>
    <w:p>
      <w:pPr>
        <w:jc w:val="both"/>
        <w:ind w:left="120" w:right="40" w:firstLine="551"/>
        <w:spacing w:after="0" w:line="256"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15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are required, pursuant to Section 404 of the Sarbanes-Oxley Act to furnish a report by management on, among other things, the effectiveness of our internal control over financial reporting for the year ending December 31, 2026.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have recently commenced the costly and challenging process of compiling the system and processing documentation necessary to perform the evaluation needed to comply with Section 404 of the Sarbanes-Oxley Act, or Section 404, but we may not be able to complete our evaluation, testing, and any required remediation in a timely fashion once initiated. Our compliance with Section 404 will require that we incur substantial expenses and expend significant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100"/>
        <w:spacing w:after="0" w:line="253" w:lineRule="auto"/>
        <w:rPr>
          <w:sz w:val="20"/>
          <w:szCs w:val="20"/>
          <w:color w:val="auto"/>
        </w:rPr>
      </w:pPr>
      <w:r>
        <w:rPr>
          <w:rFonts w:ascii="Arial" w:cs="Arial" w:eastAsia="Arial" w:hAnsi="Arial"/>
          <w:sz w:val="18"/>
          <w:szCs w:val="18"/>
          <w:color w:val="auto"/>
        </w:rPr>
        <w:t>management efforts. Although we currently have an internal audit group, we will need to hire additional accounting and financial staff with appropriate public company experience and compile the system and process documentation necessary to perform the evaluation needed to comply with Section 404 and to remediate our material weakness described above.</w:t>
      </w:r>
    </w:p>
    <w:p>
      <w:pPr>
        <w:spacing w:after="0" w:line="16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may identify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or if we are unable to remediate our material weakness described above,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2" w:lineRule="exact"/>
        <w:rPr>
          <w:sz w:val="20"/>
          <w:szCs w:val="20"/>
          <w:color w:val="auto"/>
        </w:rPr>
      </w:pPr>
    </w:p>
    <w:p>
      <w:pPr>
        <w:jc w:val="both"/>
        <w:ind w:left="120" w:right="240" w:firstLine="551"/>
        <w:spacing w:after="0" w:line="256" w:lineRule="auto"/>
        <w:rPr>
          <w:sz w:val="20"/>
          <w:szCs w:val="20"/>
          <w:color w:val="auto"/>
        </w:rPr>
      </w:pPr>
      <w:r>
        <w:rPr>
          <w:rFonts w:ascii="Arial" w:cs="Arial" w:eastAsia="Arial" w:hAnsi="Arial"/>
          <w:sz w:val="18"/>
          <w:szCs w:val="18"/>
          <w:b w:val="1"/>
          <w:bCs w:val="1"/>
          <w:i w:val="1"/>
          <w:iCs w:val="1"/>
          <w:color w:val="auto"/>
        </w:rPr>
        <w:t>We and our employees have and may continue to be subject to claims alleging violations of our employees’ contractual obligations to their prior employers. These claims may be costly to defend, and if we do not successfully do so, our business could be harmed.</w:t>
      </w:r>
    </w:p>
    <w:p>
      <w:pPr>
        <w:spacing w:after="0" w:line="159"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Many of our employees were previously employed at current or potential competitors. Although we have processes to ensure that our employees do not use proprietary information or disclose confidential information from their prior employer in their work for us or otherwise violate their contractual post-employment obligations such as customer and employee non-solicits, we or our employees may still in the future become subject to claims alleging such violations. Litigation may be necessary to defend against these claims. If we fail in defending such claims, in addition to paying monetary damages, we may lose valuable intellectual property rights or personnel. A loss of key personnel or their work product could negatively impact our business. Even if we are successful in defending against these claims, litigation efforts are costly, time-consuming, and a significant distraction to management.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2024, we had net operating loss, or NOL, carryforwards for U.S. federal and state income tax purposes of</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$255,959 and $146,636, respectively, which may be available to offset taxable income in the future, and portions of which expire in various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years beginning in 2036 for U.S. federal purposes and 2030 for state purposes if not utilized. Under current law, U.S. federal NOLs</w:t>
      </w:r>
    </w:p>
    <w:p>
      <w:pPr>
        <w:ind w:left="120"/>
        <w:spacing w:after="0" w:line="234" w:lineRule="auto"/>
        <w:rPr>
          <w:sz w:val="20"/>
          <w:szCs w:val="20"/>
          <w:color w:val="auto"/>
        </w:rPr>
      </w:pPr>
      <w:r>
        <w:rPr>
          <w:rFonts w:ascii="Arial" w:cs="Arial" w:eastAsia="Arial" w:hAnsi="Arial"/>
          <w:sz w:val="18"/>
          <w:szCs w:val="18"/>
          <w:color w:val="auto"/>
        </w:rPr>
        <w:t>incurred in taxable years beginning after December 31, 2017 may be carried forward indefinitely, but such federal NOLs are permitted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be used in any taxable year to offset only up to 80% of taxable income in such year. A lack of future taxable income would adversely affect</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ability to utilize certain of these NOLs before they expire. In addition, under Section 382 of the Internal Revenue Code of 1986, as</w:t>
      </w:r>
    </w:p>
    <w:p>
      <w:pPr>
        <w:ind w:left="120"/>
        <w:spacing w:after="0" w:line="234" w:lineRule="auto"/>
        <w:rPr>
          <w:sz w:val="20"/>
          <w:szCs w:val="20"/>
          <w:color w:val="auto"/>
        </w:rPr>
      </w:pPr>
      <w:r>
        <w:rPr>
          <w:rFonts w:ascii="Arial" w:cs="Arial" w:eastAsia="Arial" w:hAnsi="Arial"/>
          <w:sz w:val="18"/>
          <w:szCs w:val="18"/>
          <w:color w:val="auto"/>
        </w:rPr>
        <w:t>amended, or the Code, a corporation that undergoes an “ownership change” (as defined under Section 382 of the Code and applicable</w:t>
      </w:r>
    </w:p>
    <w:p>
      <w:pPr>
        <w:ind w:left="120"/>
        <w:spacing w:after="0" w:line="235" w:lineRule="auto"/>
        <w:rPr>
          <w:sz w:val="20"/>
          <w:szCs w:val="20"/>
          <w:color w:val="auto"/>
        </w:rPr>
      </w:pPr>
      <w:r>
        <w:rPr>
          <w:rFonts w:ascii="Arial" w:cs="Arial" w:eastAsia="Arial" w:hAnsi="Arial"/>
          <w:sz w:val="18"/>
          <w:szCs w:val="18"/>
          <w:color w:val="auto"/>
        </w:rPr>
        <w:t>Treasury Regulations; generally a greater than 50 percentage point change (by value) in its equity ownership by certain stockholders over</w:t>
      </w:r>
    </w:p>
    <w:p>
      <w:pPr>
        <w:ind w:left="120"/>
        <w:spacing w:after="0" w:line="235" w:lineRule="auto"/>
        <w:rPr>
          <w:sz w:val="20"/>
          <w:szCs w:val="20"/>
          <w:color w:val="auto"/>
        </w:rPr>
      </w:pPr>
      <w:r>
        <w:rPr>
          <w:rFonts w:ascii="Arial" w:cs="Arial" w:eastAsia="Arial" w:hAnsi="Arial"/>
          <w:sz w:val="18"/>
          <w:szCs w:val="18"/>
          <w:color w:val="auto"/>
        </w:rPr>
        <w:t>a three-year period) is subject to limitations on its ability to utilize its pre-change NOLs to offset future taxable income. We have</w:t>
      </w:r>
    </w:p>
    <w:p>
      <w:pPr>
        <w:ind w:left="120"/>
        <w:spacing w:after="0" w:line="235" w:lineRule="auto"/>
        <w:rPr>
          <w:sz w:val="20"/>
          <w:szCs w:val="20"/>
          <w:color w:val="auto"/>
        </w:rPr>
      </w:pPr>
      <w:r>
        <w:rPr>
          <w:rFonts w:ascii="Arial" w:cs="Arial" w:eastAsia="Arial" w:hAnsi="Arial"/>
          <w:sz w:val="18"/>
          <w:szCs w:val="18"/>
          <w:color w:val="auto"/>
        </w:rPr>
        <w:t>experienced ownership changes under Section 382 of the Code in the past, and we may experience additional ownership changes in the</w:t>
      </w:r>
    </w:p>
    <w:p>
      <w:pPr>
        <w:ind w:left="120"/>
        <w:spacing w:after="0"/>
        <w:rPr>
          <w:sz w:val="20"/>
          <w:szCs w:val="20"/>
          <w:color w:val="auto"/>
        </w:rPr>
      </w:pPr>
      <w:r>
        <w:rPr>
          <w:rFonts w:ascii="Arial" w:cs="Arial" w:eastAsia="Arial" w:hAnsi="Arial"/>
          <w:sz w:val="18"/>
          <w:szCs w:val="18"/>
          <w:color w:val="auto"/>
        </w:rPr>
        <w:t>future (including, potentially, in connection with</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this initial public offering) which could affect our ability to utilize our NOLs to offset our income. Similar provisions of state tax law may also apply. Furthermore, our ability to utilize NOLs of companies that we have acquired or may acquire in the future also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 which could potentially result in increased future tax liability to us and could adversely affect our results of operations and financial condition.</w:t>
      </w:r>
    </w:p>
    <w:p>
      <w:pPr>
        <w:spacing w:after="0" w:line="181" w:lineRule="exact"/>
        <w:rPr>
          <w:sz w:val="20"/>
          <w:szCs w:val="20"/>
          <w:color w:val="auto"/>
        </w:rPr>
      </w:pPr>
    </w:p>
    <w:p>
      <w:pPr>
        <w:ind w:left="120" w:right="400" w:firstLine="551"/>
        <w:spacing w:after="0" w:line="278" w:lineRule="auto"/>
        <w:rPr>
          <w:sz w:val="20"/>
          <w:szCs w:val="20"/>
          <w:color w:val="auto"/>
        </w:rPr>
      </w:pPr>
      <w:r>
        <w:rPr>
          <w:rFonts w:ascii="Arial" w:cs="Arial" w:eastAsia="Arial" w:hAnsi="Arial"/>
          <w:sz w:val="18"/>
          <w:szCs w:val="18"/>
          <w:b w:val="1"/>
          <w:bCs w:val="1"/>
          <w:i w:val="1"/>
          <w:iCs w:val="1"/>
          <w:color w:val="auto"/>
        </w:rPr>
        <w:t>We may be subject to additional tax liabilities, including as a result of changes in tax laws or regulations, which could adversely affect our financial condition and results of operations.</w:t>
      </w:r>
    </w:p>
    <w:p>
      <w:pPr>
        <w:spacing w:after="0" w:line="139"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We are subject to taxes in U.S. federal, state, local, and non -U.S. jurisdictions. The amount of taxes we pay in different jurisdictions depends on the application of the relevant tax laws to our business activities, the relative amounts of income before taxes in the various jurisdictions in which we operate, the application of new or revised tax laws, the interpretation of existing tax laws and policies, the outcome of current and future tax audits, examinations, or administrative appeals, our ability to realize our deferred tax assets, and our ability to operate our business in a manner consistent with our corporate structure and intercompany arrangements.</w:t>
      </w:r>
    </w:p>
    <w:p>
      <w:pPr>
        <w:spacing w:after="0" w:line="17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tax regimes to which we are subject or under which we operate, including income and non-income taxes, are unsettled in certain respects and may be subject to significant change. Changes in tax laws or regulations, or changes in interpretations of existing laws and regulations, could materially affect our financial condition and results of operations. For example, the Tax Cuts and Jobs Act, or the Tax Act, the Coronavirus Aid, Relief, and Economic Security Act, and the Inflation Reduction Act made many significant changes to the U.S. tax laws. Effective January 1, 2022, the Tax Act eliminated the option to deduct research and development expenses for tax purposes in the year incurred and instead requires taxpayers to capitalize and subsequently amortize such expenses over five years for research activities conducted in the United States and over 15 years for research activities conducted outside the United States.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w:t>
      </w:r>
    </w:p>
    <w:p>
      <w:pPr>
        <w:spacing w:after="0" w:line="186"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The determination of our overall provision for income and other taxes is inherently uncertain because it requires significant judgment with respect to complex transactions and calculations. As a result, fluctuations in our tax liabilities may differ materially from amounts recorded in our financial statements and could adversely affect our business, financial condition, and results of operations in the periods for which such determination is made.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210" w:lineRule="exact"/>
        <w:rPr>
          <w:sz w:val="20"/>
          <w:szCs w:val="20"/>
          <w:color w:val="auto"/>
        </w:rPr>
      </w:pPr>
    </w:p>
    <w:p>
      <w:pPr>
        <w:ind w:left="120" w:right="160" w:firstLine="551"/>
        <w:spacing w:after="0" w:line="242"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harm our business, results of operations, and financial condition.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jc w:val="both"/>
        <w:ind w:left="120" w:right="240" w:firstLine="551"/>
        <w:spacing w:after="0" w:line="256" w:lineRule="auto"/>
        <w:rPr>
          <w:sz w:val="20"/>
          <w:szCs w:val="20"/>
          <w:color w:val="auto"/>
        </w:rPr>
      </w:pPr>
      <w:r>
        <w:rPr>
          <w:rFonts w:ascii="Arial" w:cs="Arial" w:eastAsia="Arial" w:hAnsi="Arial"/>
          <w:sz w:val="18"/>
          <w:szCs w:val="18"/>
          <w:b w:val="1"/>
          <w:bCs w:val="1"/>
          <w:i w:val="1"/>
          <w:iCs w:val="1"/>
          <w:color w:val="auto"/>
        </w:rPr>
        <w:t>Climate risks, including the risk of an economic crisis, risks associated with the physical effects of climate change, and disruptions caused by the transition to a low-carbon economy, could adversely affect our business, results of operations and financial condition.</w:t>
      </w:r>
    </w:p>
    <w:p>
      <w:pPr>
        <w:spacing w:after="0" w:line="159"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Concerns regarding the effects of climate change on the global environment have led governmental bodies to adopt laws and regulations aimed at reducing greenhouse gas emissions and other measures to mitigate the impact of climate change. As a result, the global business community has increased its political and social awareness surrounding the issue. At various times, the U.S. Congress, state legislatures, and federal and state regulatory agencies have adopted or proposed legal requirements and other initiatives to combat climate change. Climate change legislation or regulation could cause us to incur increased costs and capital expenditures to comply, which may impact our financial condition and operating performance.</w:t>
      </w:r>
    </w:p>
    <w:p>
      <w:pPr>
        <w:spacing w:after="0" w:line="179"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In addition, the U.S. Federal Reserve has in the past identified climate change as a potential risk to the stability of the financial system. It also reported that a gradual change in investor sentiment regarding climate risk introduces the possibility of abrupt tipping points or significant swings in sentiment, which could create unpredictable follow-on effects in financial markets. If this occurred, not only would we be negatively impacted by the general economic decline, but a drop in the stock market affecting our stock price could negatively impact our ability to grow through mergers and acquisitions financed using our common stock.</w:t>
      </w:r>
    </w:p>
    <w:p>
      <w:pPr>
        <w:spacing w:after="0" w:line="176" w:lineRule="exact"/>
        <w:rPr>
          <w:sz w:val="20"/>
          <w:szCs w:val="20"/>
          <w:color w:val="auto"/>
        </w:rPr>
      </w:pPr>
    </w:p>
    <w:p>
      <w:pPr>
        <w:jc w:val="both"/>
        <w:ind w:left="120" w:right="40" w:firstLine="551"/>
        <w:spacing w:after="0" w:line="253" w:lineRule="auto"/>
        <w:rPr>
          <w:sz w:val="20"/>
          <w:szCs w:val="20"/>
          <w:color w:val="auto"/>
        </w:rPr>
      </w:pPr>
      <w:r>
        <w:rPr>
          <w:rFonts w:ascii="Arial" w:cs="Arial" w:eastAsia="Arial" w:hAnsi="Arial"/>
          <w:sz w:val="18"/>
          <w:szCs w:val="18"/>
          <w:color w:val="auto"/>
        </w:rPr>
        <w:t>Moreover, if our carriers fail or withdraw from offering certain lines of insurance because of large payouts related to climate change, overall risk-taking capital capacity could be negatively affected, which could reduce our ability to place certain lines of insurance and, as a result, reduce our revenue and profitability.</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financial condition or results of operations, business strategy and plans, and objectives of management for future operations are forward-looking statements. In some cases, you can identify forward-looking statements because they contain words such as “anticipate,” “believe,” “continue,” “could,” “estimate,” “expect,” “intend,” “may,” “plan,” “potential,” “predict,” “project,” “should,” “target,” “toward,” “will,” “would,” or the negative of these words or other similar terms or expressions. These forward-looking statements include statements concerning the following:</w:t>
      </w:r>
    </w:p>
    <w:p>
      <w:pPr>
        <w:spacing w:after="0" w:line="90" w:lineRule="exact"/>
        <w:rPr>
          <w:sz w:val="20"/>
          <w:szCs w:val="20"/>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expectations regarding the premiums set by carriers and commission rates negotiated with carriers;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growth rate of the markets in which we compete;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 and associated investments;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our industry, and in the markets in which we operate;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continue to grow across our current markets and expand into new markets;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sustain or improve our profitability;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effectiveness of our brand awareness and marketing efforts;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beliefs and objectives for future operations and growth initiatives and ability to predict future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increase the number of activated policies on our platform;</w:t>
      </w:r>
    </w:p>
    <w:p>
      <w:pPr>
        <w:spacing w:after="0" w:line="117" w:lineRule="exact"/>
        <w:rPr>
          <w:rFonts w:ascii="Arial" w:cs="Arial" w:eastAsia="Arial" w:hAnsi="Arial"/>
          <w:sz w:val="18"/>
          <w:szCs w:val="18"/>
          <w:color w:val="auto"/>
        </w:rPr>
      </w:pPr>
    </w:p>
    <w:p>
      <w:pPr>
        <w:ind w:left="880" w:right="40" w:hanging="224"/>
        <w:spacing w:after="0" w:line="271"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maintain our relationships with agency counterparties and to develop relationships with new agencies and increase agent engagement on our platform;</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maintain and expand our relationships with carriers, and to diversify the carriers with whom we work;</w:t>
      </w:r>
    </w:p>
    <w:p>
      <w:pPr>
        <w:spacing w:after="0" w:line="117" w:lineRule="exact"/>
        <w:rPr>
          <w:rFonts w:ascii="Arial" w:cs="Arial" w:eastAsia="Arial" w:hAnsi="Arial"/>
          <w:sz w:val="18"/>
          <w:szCs w:val="18"/>
          <w:color w:val="auto"/>
        </w:rPr>
      </w:pPr>
    </w:p>
    <w:p>
      <w:pPr>
        <w:ind w:left="880" w:right="460" w:hanging="224"/>
        <w:spacing w:after="0" w:line="271"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and expectations to continue to innovate and enhance our platform and product offerings, and to keep pace with technological developments;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and any costs associated therewith;</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successfully defend disputes, legal proceedings and governmental inquiries brought against us;</w:t>
      </w:r>
    </w:p>
    <w:p>
      <w:pPr>
        <w:spacing w:after="0" w:line="117" w:lineRule="exact"/>
        <w:rPr>
          <w:rFonts w:ascii="Arial" w:cs="Arial" w:eastAsia="Arial" w:hAnsi="Arial"/>
          <w:sz w:val="18"/>
          <w:szCs w:val="18"/>
          <w:color w:val="auto"/>
        </w:rPr>
      </w:pPr>
    </w:p>
    <w:p>
      <w:pPr>
        <w:ind w:left="880" w:right="100" w:hanging="224"/>
        <w:spacing w:after="0" w:line="271"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operate our business during fluctuations or an overall decline in economic activity, or any adverse trends in the life insurance industry;</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17" w:lineRule="exact"/>
        <w:rPr>
          <w:rFonts w:ascii="Arial" w:cs="Arial" w:eastAsia="Arial" w:hAnsi="Arial"/>
          <w:sz w:val="18"/>
          <w:szCs w:val="18"/>
          <w:color w:val="auto"/>
        </w:rPr>
      </w:pPr>
    </w:p>
    <w:p>
      <w:pPr>
        <w:ind w:left="880" w:right="740" w:hanging="224"/>
        <w:spacing w:after="0" w:line="271"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comply or remain in compliance with laws and regulations that currently apply or become applicable to our business;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volatility in our stock price and a possible decline in the value of our Class A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effectiveness of our use of the net proceeds from this offering;</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60"/>
          </w:cols>
          <w:pgMar w:left="320" w:top="455" w:right="5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other factors discussed under “Risk Factors”;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factors beyond our control.</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212"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You should not rely on forward -looking statements as predictions of future events. We have based the forward-looking statements contained in this prospectus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80"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on information available to us as of the date of this prospectus.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76"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MARKET, INDUSTRY, AND OTHER DATA</w:t>
      </w:r>
    </w:p>
    <w:p>
      <w:pPr>
        <w:spacing w:after="0" w:line="21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This prospectus contains statistical data, estimates, forecasts, and information concerning our industry, including the market size and growth of the markets in which we participate, that are based on independent industry publications or other publicly available information, as well as other information based on our internal sources. While we believe the industry and market data included in this prospectus are reliable and are based on reasonable assumptions, these data involve many assumptions and limitations, and you are cautioned not to give undue weight to these estimates. We have not independently verified the accuracy or completeness of the data contained in these industry publications and other publicly available information. The industry in which we operate is subject to a high degree of uncertainty and risk due to a variety of factors, including those described in the sections titled “Risk Factors” and “Special Note Regarding Forward-Looking Statements.” These and other factors could cause results to differ materially from those expressed in the projections and estimates made by the independent third parties and us.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sources of certain statistical data, estimates, and forecasts contained in this prospectus include:</w:t>
      </w:r>
    </w:p>
    <w:p>
      <w:pPr>
        <w:spacing w:after="0" w:line="117" w:lineRule="exact"/>
        <w:rPr>
          <w:sz w:val="20"/>
          <w:szCs w:val="20"/>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American Council of Life Insurers, </w:t>
      </w:r>
      <w:r>
        <w:rPr>
          <w:rFonts w:ascii="Arial" w:cs="Arial" w:eastAsia="Arial" w:hAnsi="Arial"/>
          <w:sz w:val="18"/>
          <w:szCs w:val="18"/>
          <w:i w:val="1"/>
          <w:iCs w:val="1"/>
          <w:color w:val="auto"/>
        </w:rPr>
        <w:t>Life Insurers Fact Book 2024</w:t>
      </w:r>
      <w:r>
        <w:rPr>
          <w:rFonts w:ascii="Arial" w:cs="Arial" w:eastAsia="Arial" w:hAnsi="Arial"/>
          <w:sz w:val="18"/>
          <w:szCs w:val="18"/>
          <w:color w:val="auto"/>
        </w:rPr>
        <w:t>, March 2024.</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Deloitte Consulting, </w:t>
      </w:r>
      <w:r>
        <w:rPr>
          <w:rFonts w:ascii="Arial" w:cs="Arial" w:eastAsia="Arial" w:hAnsi="Arial"/>
          <w:sz w:val="18"/>
          <w:szCs w:val="18"/>
          <w:i w:val="1"/>
          <w:iCs w:val="1"/>
          <w:color w:val="auto"/>
        </w:rPr>
        <w:t>L&amp;A Product Development Study,</w:t>
      </w:r>
      <w:r>
        <w:rPr>
          <w:rFonts w:ascii="Arial" w:cs="Arial" w:eastAsia="Arial" w:hAnsi="Arial"/>
          <w:sz w:val="18"/>
          <w:szCs w:val="18"/>
          <w:color w:val="auto"/>
        </w:rPr>
        <w:t xml:space="preserve"> 2023.</w:t>
      </w:r>
    </w:p>
    <w:p>
      <w:pPr>
        <w:spacing w:after="0" w:line="117" w:lineRule="exact"/>
        <w:rPr>
          <w:rFonts w:ascii="Arial" w:cs="Arial" w:eastAsia="Arial" w:hAnsi="Arial"/>
          <w:sz w:val="18"/>
          <w:szCs w:val="18"/>
          <w:color w:val="auto"/>
        </w:rPr>
      </w:pPr>
    </w:p>
    <w:p>
      <w:pPr>
        <w:ind w:left="880" w:right="80" w:hanging="224"/>
        <w:spacing w:after="0" w:line="271"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LIMRA and Life Happens, 2024 </w:t>
      </w:r>
      <w:r>
        <w:rPr>
          <w:rFonts w:ascii="Arial" w:cs="Arial" w:eastAsia="Arial" w:hAnsi="Arial"/>
          <w:sz w:val="18"/>
          <w:szCs w:val="18"/>
          <w:i w:val="1"/>
          <w:iCs w:val="1"/>
          <w:color w:val="auto"/>
        </w:rPr>
        <w:t>Insurance Barometer Study, Report 1: The Generational Shift Has Arrived - The Path Forward</w:t>
      </w:r>
      <w:r>
        <w:rPr>
          <w:rFonts w:ascii="Arial" w:cs="Arial" w:eastAsia="Arial" w:hAnsi="Arial"/>
          <w:sz w:val="18"/>
          <w:szCs w:val="18"/>
          <w:color w:val="auto"/>
        </w:rPr>
        <w:t xml:space="preserve"> </w:t>
      </w:r>
      <w:r>
        <w:rPr>
          <w:rFonts w:ascii="Arial" w:cs="Arial" w:eastAsia="Arial" w:hAnsi="Arial"/>
          <w:sz w:val="18"/>
          <w:szCs w:val="18"/>
          <w:i w:val="1"/>
          <w:iCs w:val="1"/>
          <w:color w:val="auto"/>
        </w:rPr>
        <w:t>for Life Insurers</w:t>
      </w:r>
      <w:r>
        <w:rPr>
          <w:rFonts w:ascii="Arial" w:cs="Arial" w:eastAsia="Arial" w:hAnsi="Arial"/>
          <w:sz w:val="18"/>
          <w:szCs w:val="18"/>
          <w:color w:val="auto"/>
        </w:rPr>
        <w:t>, January 2024.</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LIMRA, </w:t>
      </w:r>
      <w:r>
        <w:rPr>
          <w:rFonts w:ascii="Arial" w:cs="Arial" w:eastAsia="Arial" w:hAnsi="Arial"/>
          <w:sz w:val="18"/>
          <w:szCs w:val="18"/>
          <w:i w:val="1"/>
          <w:iCs w:val="1"/>
          <w:color w:val="auto"/>
        </w:rPr>
        <w:t>U.S. Individual Life Insurance Yearbook 2023 Data</w:t>
      </w:r>
      <w:r>
        <w:rPr>
          <w:rFonts w:ascii="Arial" w:cs="Arial" w:eastAsia="Arial" w:hAnsi="Arial"/>
          <w:sz w:val="18"/>
          <w:szCs w:val="18"/>
          <w:color w:val="auto"/>
        </w:rPr>
        <w:t>, August 2024.</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LIMRA, </w:t>
      </w:r>
      <w:r>
        <w:rPr>
          <w:rFonts w:ascii="Arial" w:cs="Arial" w:eastAsia="Arial" w:hAnsi="Arial"/>
          <w:sz w:val="18"/>
          <w:szCs w:val="18"/>
          <w:i w:val="1"/>
          <w:iCs w:val="1"/>
          <w:color w:val="auto"/>
        </w:rPr>
        <w:t>U.S. Retail Individual Life Insurance Sales Survey Q4 2024,</w:t>
      </w:r>
      <w:r>
        <w:rPr>
          <w:rFonts w:ascii="Arial" w:cs="Arial" w:eastAsia="Arial" w:hAnsi="Arial"/>
          <w:sz w:val="18"/>
          <w:szCs w:val="18"/>
          <w:color w:val="auto"/>
        </w:rPr>
        <w:t xml:space="preserve"> January 2025.</w:t>
      </w:r>
    </w:p>
    <w:p>
      <w:pPr>
        <w:spacing w:after="0" w:line="14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60"/>
          </w:cols>
          <w:pgMar w:left="320" w:top="455" w:right="6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12"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We estimate that we will receive net proceeds from this offering of approximately $        million based on an assumed initial public offering price of $        per share, the midpoint of the price range set forth on the cover page of this prospectus, after deducting underwriting discounts and commissions and estimated offering expenses payable by us. We will not receive any proceeds from sales of shares of Class A common stock by the selling stockholders.</w:t>
      </w:r>
    </w:p>
    <w:p>
      <w:pPr>
        <w:spacing w:after="0" w:line="17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principal purposes of this offering are to increase our capitalization and financial flexibility, create a public market for our Class A common stock and facilitate an orderly distribution of shares for the selling stockholders. We intend to use a portion of the net proceeds we received from this offering to pay $        million of our anticipated tax withholding and remittance obligations related to the RSU Net Settlement. In connection with the RSU Net Settlement, assuming (i) the fair market value of our Class A common stock at the</w:t>
      </w:r>
    </w:p>
    <w:p>
      <w:pPr>
        <w:ind w:left="120" w:right="20"/>
        <w:spacing w:after="0" w:line="242" w:lineRule="auto"/>
        <w:rPr>
          <w:sz w:val="20"/>
          <w:szCs w:val="20"/>
          <w:color w:val="auto"/>
        </w:rPr>
      </w:pPr>
      <w:r>
        <w:rPr>
          <w:rFonts w:ascii="Arial" w:cs="Arial" w:eastAsia="Arial" w:hAnsi="Arial"/>
          <w:sz w:val="18"/>
          <w:szCs w:val="18"/>
          <w:color w:val="auto"/>
        </w:rPr>
        <w:t>time of settlement will be equal to the assumed initial public offering price per share of $        , the midpoint of the price range set forth on the cover page of this prospectus, and (ii) an assumed         % tax withholding rate, we estimate that these tax withholding and remittance obligations on the RSU Net Settlement will be $        million in the aggregate.</w:t>
      </w:r>
    </w:p>
    <w:p>
      <w:pPr>
        <w:spacing w:after="0" w:line="179"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Each $1.00 increase (decrease) in the assumed initial public offering price of $        per share, the midpoint of the price range set forth on the cover page of this prospectus, would increase (decrease) the net proceeds to us from this offering by approximately $        million, assuming the number of shares offered by us and the selling stockholders, as set forth on the cover page of this prospectus, remains the same, and after deducting underwriting discounts and commissions and estimated offering expenses payable by us. Similarly, each increase (decrease) of 1.0 million shares in the number of shares of Class A common stock offered by us would increase (decrease) the net proceeds to us from this offering by approximately $        million, assuming the assumed initial public offering price per share remains the same, and after deducting underwriting discounts and commissions and estimated offering expenses payable by us.</w:t>
      </w:r>
    </w:p>
    <w:p>
      <w:pPr>
        <w:spacing w:after="0" w:line="387" w:lineRule="exact"/>
        <w:rPr>
          <w:sz w:val="20"/>
          <w:szCs w:val="20"/>
          <w:color w:val="auto"/>
        </w:rPr>
      </w:pPr>
    </w:p>
    <w:p>
      <w:pPr>
        <w:ind w:left="120" w:right="220" w:firstLine="551"/>
        <w:spacing w:after="0" w:line="242" w:lineRule="auto"/>
        <w:rPr>
          <w:sz w:val="20"/>
          <w:szCs w:val="20"/>
          <w:color w:val="auto"/>
        </w:rPr>
      </w:pPr>
      <w:r>
        <w:rPr>
          <w:rFonts w:ascii="Arial" w:cs="Arial" w:eastAsia="Arial" w:hAnsi="Arial"/>
          <w:sz w:val="18"/>
          <w:szCs w:val="18"/>
          <w:color w:val="auto"/>
        </w:rPr>
        <w:t>Each $1.00 increase (decrease) in the assumed initial public offering price per share of $        , which is the midpoint of the price range set forth on the cover page of this prospectus, assuming no change in the assumed settlement date or applicable tax withholding rate, would increase (decrease) the amount we would be required to pay to satisfy our tax withholding and remittance obligations described above by approximately $        million. In addition, each 1.0% increase (decrease) in the tax withholding rate, assuming no change in the assumed initial public offering price per share, would increase (decrease) the amount of tax withholding and remittance obligations described above by approximately $        million.</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also intend to use the remaining net proceeds we receive from this offering for general corporate purposes, including working capital, operating expenses, and capital expenditures. We cannot specify with certainty all of the particular uses for the remaining net proceeds to us from this offering. We may also use a portion of the remaining net proceeds for the acquisitions of, or strategic investments in, complementary businesses, products, services, or technologies. However, we do not have any agreements or commitments to enter into any material acquisitions or investments at this time. We will have broad discretion over how we use the net proceeds from this offering. Pending the use of the proceeds from this offering as described above, we intend to invest the net proceeds from the offering that are not used as described above in investment-grade, interest-bearing instruments such as money market funds, corporate notes and bonds, certificates of deposit, commercial paper, and guaranteed obligations of the U.S. government.</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5"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 POLICY</w:t>
      </w:r>
    </w:p>
    <w:p>
      <w:pPr>
        <w:spacing w:after="0" w:line="212"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results of operations, contractual restrictions, capital requirements, business prospects, and other factors our board of directors may deem relevant. Additionally, our ability to pay dividends may be further restricted by agreements we may enter into in the future.</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320" w:top="455" w:right="5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cash equivalents, and investments and our capitalization as of September 30, 2025 on:</w:t>
      </w:r>
    </w:p>
    <w:p>
      <w:pPr>
        <w:spacing w:after="0" w:line="117" w:lineRule="exact"/>
        <w:rPr>
          <w:sz w:val="20"/>
          <w:szCs w:val="20"/>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17" w:lineRule="exact"/>
        <w:rPr>
          <w:rFonts w:ascii="Arial" w:cs="Arial" w:eastAsia="Arial" w:hAnsi="Arial"/>
          <w:sz w:val="18"/>
          <w:szCs w:val="18"/>
          <w:color w:val="auto"/>
        </w:rPr>
      </w:pPr>
    </w:p>
    <w:p>
      <w:pPr>
        <w:ind w:left="880" w:right="120" w:hanging="224"/>
        <w:spacing w:after="0" w:line="259"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pro forma basis, to reflect (i) the reclassification of our outstanding common stock as Class A common stock; (ii) the Preferred Conversion (iii) the Class B Stock Exchange, (iv) stock-based compensation expense of $        million related to RSUs</w:t>
      </w:r>
    </w:p>
    <w:p>
      <w:pPr>
        <w:spacing w:after="0" w:line="1" w:lineRule="exact"/>
        <w:rPr>
          <w:sz w:val="20"/>
          <w:szCs w:val="20"/>
          <w:color w:val="auto"/>
        </w:rPr>
      </w:pPr>
    </w:p>
    <w:p>
      <w:pPr>
        <w:ind w:left="880" w:right="80"/>
        <w:spacing w:after="0" w:line="248" w:lineRule="auto"/>
        <w:rPr>
          <w:sz w:val="20"/>
          <w:szCs w:val="20"/>
          <w:color w:val="auto"/>
        </w:rPr>
      </w:pPr>
      <w:r>
        <w:rPr>
          <w:rFonts w:ascii="Arial" w:cs="Arial" w:eastAsia="Arial" w:hAnsi="Arial"/>
          <w:sz w:val="17"/>
          <w:szCs w:val="17"/>
          <w:color w:val="auto"/>
        </w:rPr>
        <w:t>subject to the RSU Net Settlement, reflected as an increase to additional paid-in capital and accumulated deficit, as further described in Notes 2 and 12 of our consolidated financial statements included elsewhere in this prospectus; (v) the net issuance</w:t>
      </w:r>
    </w:p>
    <w:tbl>
      <w:tblPr>
        <w:tblLayout w:type="fixed"/>
        <w:tblInd w:w="880" w:type="dxa"/>
        <w:tblCellMar>
          <w:top w:w="0" w:type="dxa"/>
          <w:left w:w="0" w:type="dxa"/>
          <w:bottom w:w="0" w:type="dxa"/>
          <w:right w:w="0" w:type="dxa"/>
        </w:tblCellMar>
      </w:tblPr>
      <w:tr>
        <w:trPr>
          <w:trHeight w:val="186"/>
        </w:trPr>
        <w:tc>
          <w:tcPr>
            <w:tcW w:w="840" w:type="dxa"/>
            <w:vAlign w:val="bottom"/>
          </w:tcPr>
          <w:p>
            <w:pPr>
              <w:spacing w:after="0" w:line="186" w:lineRule="exact"/>
              <w:rPr>
                <w:sz w:val="20"/>
                <w:szCs w:val="20"/>
                <w:color w:val="auto"/>
              </w:rPr>
            </w:pPr>
            <w:r>
              <w:rPr>
                <w:rFonts w:ascii="Arial" w:cs="Arial" w:eastAsia="Arial" w:hAnsi="Arial"/>
                <w:sz w:val="18"/>
                <w:szCs w:val="18"/>
                <w:color w:val="auto"/>
              </w:rPr>
              <w:t xml:space="preserve">of          </w:t>
            </w:r>
          </w:p>
        </w:tc>
        <w:tc>
          <w:tcPr>
            <w:tcW w:w="4480" w:type="dxa"/>
            <w:vAlign w:val="bottom"/>
            <w:gridSpan w:val="4"/>
          </w:tcPr>
          <w:p>
            <w:pPr>
              <w:ind w:left="80"/>
              <w:spacing w:after="0" w:line="186" w:lineRule="exact"/>
              <w:rPr>
                <w:sz w:val="20"/>
                <w:szCs w:val="20"/>
                <w:color w:val="auto"/>
              </w:rPr>
            </w:pPr>
            <w:r>
              <w:rPr>
                <w:rFonts w:ascii="Arial" w:cs="Arial" w:eastAsia="Arial" w:hAnsi="Arial"/>
                <w:sz w:val="18"/>
                <w:szCs w:val="18"/>
                <w:color w:val="auto"/>
                <w:w w:val="99"/>
              </w:rPr>
              <w:t>shares of Class A common stock in connection with the</w:t>
            </w:r>
          </w:p>
        </w:tc>
        <w:tc>
          <w:tcPr>
            <w:tcW w:w="4600" w:type="dxa"/>
            <w:vAlign w:val="bottom"/>
          </w:tcPr>
          <w:p>
            <w:pPr>
              <w:ind w:left="40"/>
              <w:spacing w:after="0" w:line="186" w:lineRule="exact"/>
              <w:rPr>
                <w:sz w:val="20"/>
                <w:szCs w:val="20"/>
                <w:color w:val="auto"/>
              </w:rPr>
            </w:pPr>
            <w:r>
              <w:rPr>
                <w:rFonts w:ascii="Arial" w:cs="Arial" w:eastAsia="Arial" w:hAnsi="Arial"/>
                <w:sz w:val="18"/>
                <w:szCs w:val="18"/>
                <w:color w:val="auto"/>
              </w:rPr>
              <w:t>RSU Net Settlement, after withholding            shares to</w:t>
            </w:r>
          </w:p>
        </w:tc>
      </w:tr>
      <w:tr>
        <w:trPr>
          <w:trHeight w:val="203"/>
        </w:trPr>
        <w:tc>
          <w:tcPr>
            <w:tcW w:w="5320" w:type="dxa"/>
            <w:vAlign w:val="bottom"/>
            <w:gridSpan w:val="5"/>
          </w:tcPr>
          <w:p>
            <w:pPr>
              <w:spacing w:after="0" w:line="202" w:lineRule="exact"/>
              <w:rPr>
                <w:sz w:val="20"/>
                <w:szCs w:val="20"/>
                <w:color w:val="auto"/>
              </w:rPr>
            </w:pPr>
            <w:r>
              <w:rPr>
                <w:rFonts w:ascii="Arial" w:cs="Arial" w:eastAsia="Arial" w:hAnsi="Arial"/>
                <w:sz w:val="18"/>
                <w:szCs w:val="18"/>
                <w:color w:val="auto"/>
              </w:rPr>
              <w:t xml:space="preserve">satisfy estimated tax withholding and remittance obligations of $    </w:t>
            </w:r>
          </w:p>
        </w:tc>
        <w:tc>
          <w:tcPr>
            <w:tcW w:w="4600" w:type="dxa"/>
            <w:vAlign w:val="bottom"/>
          </w:tcPr>
          <w:p>
            <w:pPr>
              <w:ind w:left="120"/>
              <w:spacing w:after="0" w:line="202" w:lineRule="exact"/>
              <w:rPr>
                <w:sz w:val="20"/>
                <w:szCs w:val="20"/>
                <w:color w:val="auto"/>
              </w:rPr>
            </w:pPr>
            <w:r>
              <w:rPr>
                <w:rFonts w:ascii="Arial" w:cs="Arial" w:eastAsia="Arial" w:hAnsi="Arial"/>
                <w:sz w:val="18"/>
                <w:szCs w:val="18"/>
                <w:color w:val="auto"/>
                <w:w w:val="99"/>
              </w:rPr>
              <w:t>      million (based on the assumed initial public offering</w:t>
            </w:r>
          </w:p>
        </w:tc>
      </w:tr>
      <w:tr>
        <w:trPr>
          <w:trHeight w:val="203"/>
        </w:trPr>
        <w:tc>
          <w:tcPr>
            <w:tcW w:w="840" w:type="dxa"/>
            <w:vAlign w:val="bottom"/>
          </w:tcPr>
          <w:p>
            <w:pPr>
              <w:spacing w:after="0" w:line="202" w:lineRule="exact"/>
              <w:rPr>
                <w:sz w:val="20"/>
                <w:szCs w:val="20"/>
                <w:color w:val="auto"/>
              </w:rPr>
            </w:pPr>
            <w:r>
              <w:rPr>
                <w:rFonts w:ascii="Arial" w:cs="Arial" w:eastAsia="Arial" w:hAnsi="Arial"/>
                <w:sz w:val="18"/>
                <w:szCs w:val="18"/>
                <w:color w:val="auto"/>
              </w:rPr>
              <w:t xml:space="preserve">price of $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85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per share, the midpoint of the price range set forth on the cover page of this prospectus, and an</w:t>
            </w:r>
          </w:p>
        </w:tc>
      </w:tr>
      <w:tr>
        <w:trPr>
          <w:trHeight w:val="221"/>
        </w:trPr>
        <w:tc>
          <w:tcPr>
            <w:tcW w:w="840" w:type="dxa"/>
            <w:vAlign w:val="bottom"/>
          </w:tcPr>
          <w:p>
            <w:pPr>
              <w:spacing w:after="0"/>
              <w:rPr>
                <w:sz w:val="20"/>
                <w:szCs w:val="20"/>
                <w:color w:val="auto"/>
              </w:rPr>
            </w:pPr>
            <w:r>
              <w:rPr>
                <w:rFonts w:ascii="Arial" w:cs="Arial" w:eastAsia="Arial" w:hAnsi="Arial"/>
                <w:sz w:val="18"/>
                <w:szCs w:val="18"/>
                <w:color w:val="auto"/>
                <w:w w:val="90"/>
              </w:rPr>
              <w:t>assumed 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8540" w:type="dxa"/>
            <w:vAlign w:val="bottom"/>
            <w:gridSpan w:val="2"/>
          </w:tcPr>
          <w:p>
            <w:pPr>
              <w:ind w:left="60"/>
              <w:spacing w:after="0"/>
              <w:rPr>
                <w:sz w:val="20"/>
                <w:szCs w:val="20"/>
                <w:color w:val="auto"/>
              </w:rPr>
            </w:pPr>
            <w:r>
              <w:rPr>
                <w:rFonts w:ascii="Arial" w:cs="Arial" w:eastAsia="Arial" w:hAnsi="Arial"/>
                <w:sz w:val="18"/>
                <w:szCs w:val="18"/>
                <w:color w:val="auto"/>
              </w:rPr>
              <w:t>% tax withholding rate); (vi) the $            million increase in liabilities and corresponding decrease in</w:t>
            </w:r>
          </w:p>
        </w:tc>
      </w:tr>
    </w:tbl>
    <w:p>
      <w:pPr>
        <w:ind w:left="880" w:right="240"/>
        <w:spacing w:after="0" w:line="242" w:lineRule="auto"/>
        <w:rPr>
          <w:sz w:val="20"/>
          <w:szCs w:val="20"/>
          <w:color w:val="auto"/>
        </w:rPr>
      </w:pPr>
      <w:r>
        <w:rPr>
          <w:rFonts w:ascii="Arial" w:cs="Arial" w:eastAsia="Arial" w:hAnsi="Arial"/>
          <w:sz w:val="18"/>
          <w:szCs w:val="18"/>
          <w:color w:val="auto"/>
        </w:rPr>
        <w:t>additional paid-in capital resulting from the share withholding for the tax withholding and remittance obligations related to the RSU Net Settlement; (vii) the Warrant Exercise and (viii) the filing and effectiveness of our amended and restated certificate of incorporation, which will occur immediately prior to the closing of this offering; and</w:t>
      </w:r>
    </w:p>
    <w:p>
      <w:pPr>
        <w:spacing w:after="0" w:line="85"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tab/>
        <w:t xml:space="preserve">a pro forma as adjusted basis, to reflect (i) the adjustments described in the preceding bullet above; (ii) our receipt of $          </w:t>
      </w:r>
    </w:p>
    <w:p>
      <w:pPr>
        <w:spacing w:after="0" w:line="14" w:lineRule="exact"/>
        <w:rPr>
          <w:sz w:val="20"/>
          <w:szCs w:val="20"/>
          <w:color w:val="auto"/>
        </w:rPr>
      </w:pPr>
    </w:p>
    <w:p>
      <w:pPr>
        <w:jc w:val="both"/>
        <w:ind w:left="880"/>
        <w:spacing w:after="0" w:line="239" w:lineRule="auto"/>
        <w:rPr>
          <w:sz w:val="20"/>
          <w:szCs w:val="20"/>
          <w:color w:val="auto"/>
        </w:rPr>
      </w:pPr>
      <w:r>
        <w:rPr>
          <w:rFonts w:ascii="Arial" w:cs="Arial" w:eastAsia="Arial" w:hAnsi="Arial"/>
          <w:sz w:val="18"/>
          <w:szCs w:val="18"/>
          <w:color w:val="auto"/>
        </w:rPr>
        <w:t>million in estimated net proceeds from the sale and issuance by us of        shares of Class A common stock in this offering, at an assumed initial public offering price of $        per share, the midpoint of the price range set forth on the cover page of this prospectus, after deducting underwriting discounts and commissions and estimated offering expenses payable by us; and (iii) the use of net proceeds from this offering, together with existing cash and cash equivalents, if necessary, to satisfy the estimated tax withholding and remittance obligations reflected in the pro forma adjustments described in the preceding bullet.</w:t>
      </w:r>
    </w:p>
    <w:p>
      <w:pPr>
        <w:spacing w:after="0" w:line="180"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The pro forma as adjusted information below is illustrative only, and our capitalization following the closing of this offering will be adjusted based on, among other things, the actual initial public offering price and other terms of this offering determined at pricing, the actual tax withholding rates, as well as the actual amount of RSUs settled in connection with this offering. You should read this information together with the section titled “Management’s Discussion and Analysis of Financial Condition and Results of Operations” and our consolidated financial statements and the related notes included elsewhere in this prospectus.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rPr>
              <w:t>September 30, 2025</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4"/>
          </w:tcPr>
          <w:p>
            <w:pPr>
              <w:jc w:val="center"/>
              <w:spacing w:after="0" w:line="147" w:lineRule="exact"/>
              <w:rPr>
                <w:sz w:val="20"/>
                <w:szCs w:val="20"/>
                <w:color w:val="auto"/>
              </w:rPr>
            </w:pPr>
            <w:r>
              <w:rPr>
                <w:rFonts w:ascii="Arial" w:cs="Arial" w:eastAsia="Arial" w:hAnsi="Arial"/>
                <w:sz w:val="14"/>
                <w:szCs w:val="14"/>
                <w:b w:val="1"/>
                <w:bCs w:val="1"/>
                <w:color w:val="auto"/>
              </w:rPr>
              <w:t>Pro Forma</w:t>
            </w:r>
          </w:p>
        </w:tc>
        <w:tc>
          <w:tcPr>
            <w:tcW w:w="80" w:type="dxa"/>
            <w:vAlign w:val="bottom"/>
          </w:tcPr>
          <w:p>
            <w:pPr>
              <w:spacing w:after="0"/>
              <w:rPr>
                <w:sz w:val="12"/>
                <w:szCs w:val="12"/>
                <w:color w:val="auto"/>
              </w:rPr>
            </w:pPr>
          </w:p>
        </w:tc>
      </w:tr>
      <w:tr>
        <w:trPr>
          <w:trHeight w:val="158"/>
        </w:trPr>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Pro</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5"/>
        </w:trPr>
        <w:tc>
          <w:tcPr>
            <w:tcW w:w="2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5"/>
                <w:szCs w:val="15"/>
                <w:color w:val="auto"/>
              </w:rPr>
            </w:pPr>
          </w:p>
        </w:tc>
        <w:tc>
          <w:tcPr>
            <w:tcW w:w="1180" w:type="dxa"/>
            <w:vAlign w:val="bottom"/>
            <w:gridSpan w:val="5"/>
          </w:tcPr>
          <w:p>
            <w:pPr>
              <w:jc w:val="center"/>
              <w:ind w:right="260"/>
              <w:spacing w:after="0" w:line="175" w:lineRule="exact"/>
              <w:rPr>
                <w:sz w:val="20"/>
                <w:szCs w:val="20"/>
                <w:color w:val="auto"/>
              </w:rPr>
            </w:pPr>
            <w:r>
              <w:rPr>
                <w:rFonts w:ascii="Arial" w:cs="Arial" w:eastAsia="Arial" w:hAnsi="Arial"/>
                <w:sz w:val="14"/>
                <w:szCs w:val="14"/>
                <w:b w:val="1"/>
                <w:bCs w:val="1"/>
                <w:color w:val="auto"/>
                <w:w w:val="94"/>
              </w:rPr>
              <w:t>Forma</w:t>
            </w:r>
            <w:r>
              <w:rPr>
                <w:rFonts w:ascii="Arial" w:cs="Arial" w:eastAsia="Arial" w:hAnsi="Arial"/>
                <w:sz w:val="20"/>
                <w:szCs w:val="20"/>
                <w:b w:val="1"/>
                <w:bCs w:val="1"/>
                <w:color w:val="auto"/>
                <w:w w:val="94"/>
                <w:vertAlign w:val="superscript"/>
              </w:rPr>
              <w:t>(1)</w:t>
            </w:r>
          </w:p>
        </w:tc>
        <w:tc>
          <w:tcPr>
            <w:tcW w:w="980" w:type="dxa"/>
            <w:vAlign w:val="bottom"/>
            <w:gridSpan w:val="5"/>
          </w:tcPr>
          <w:p>
            <w:pPr>
              <w:jc w:val="center"/>
              <w:ind w:right="80"/>
              <w:spacing w:after="0" w:line="175" w:lineRule="exact"/>
              <w:rPr>
                <w:sz w:val="20"/>
                <w:szCs w:val="20"/>
                <w:color w:val="auto"/>
              </w:rPr>
            </w:pPr>
            <w:r>
              <w:rPr>
                <w:rFonts w:ascii="Arial" w:cs="Arial" w:eastAsia="Arial" w:hAnsi="Arial"/>
                <w:sz w:val="14"/>
                <w:szCs w:val="14"/>
                <w:b w:val="1"/>
                <w:bCs w:val="1"/>
                <w:color w:val="auto"/>
                <w:w w:val="97"/>
              </w:rPr>
              <w:t>Adjusted</w:t>
            </w:r>
            <w:r>
              <w:rPr>
                <w:rFonts w:ascii="Arial" w:cs="Arial" w:eastAsia="Arial" w:hAnsi="Arial"/>
                <w:sz w:val="20"/>
                <w:szCs w:val="20"/>
                <w:b w:val="1"/>
                <w:bCs w:val="1"/>
                <w:color w:val="auto"/>
                <w:w w:val="97"/>
                <w:vertAlign w:val="superscript"/>
              </w:rPr>
              <w:t>(1)</w:t>
            </w:r>
          </w:p>
        </w:tc>
      </w:tr>
      <w:tr>
        <w:trPr>
          <w:trHeight w:val="146"/>
        </w:trPr>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40" w:type="dxa"/>
            <w:vAlign w:val="bottom"/>
            <w:tcBorders>
              <w:top w:val="single" w:sz="8" w:color="auto"/>
            </w:tcBorders>
            <w:gridSpan w:val="11"/>
          </w:tcPr>
          <w:p>
            <w:pPr>
              <w:jc w:val="center"/>
              <w:ind w:left="93"/>
              <w:spacing w:after="0" w:line="147" w:lineRule="exact"/>
              <w:rPr>
                <w:sz w:val="20"/>
                <w:szCs w:val="20"/>
                <w:color w:val="auto"/>
              </w:rPr>
            </w:pPr>
            <w:r>
              <w:rPr>
                <w:rFonts w:ascii="Arial" w:cs="Arial" w:eastAsia="Arial" w:hAnsi="Arial"/>
                <w:sz w:val="14"/>
                <w:szCs w:val="14"/>
                <w:b w:val="1"/>
                <w:bCs w:val="1"/>
                <w:color w:val="auto"/>
              </w:rPr>
              <w:t>(in thousands, except share and per</w:t>
            </w: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71"/>
        </w:trPr>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share amounts)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47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investments</w:t>
            </w:r>
          </w:p>
        </w:tc>
        <w:tc>
          <w:tcPr>
            <w:tcW w:w="3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161,191</w:t>
            </w:r>
          </w:p>
        </w:tc>
        <w:tc>
          <w:tcPr>
            <w:tcW w:w="5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 xml:space="preserve">$  </w:t>
            </w: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5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  </w:t>
            </w:r>
          </w:p>
        </w:tc>
        <w:tc>
          <w:tcPr>
            <w:tcW w:w="120" w:type="dxa"/>
            <w:vAlign w:val="bottom"/>
            <w:shd w:val="clear" w:color="auto" w:fill="CCEEFF"/>
          </w:tcPr>
          <w:p>
            <w:pPr>
              <w:ind w:left="80"/>
              <w:spacing w:after="0"/>
              <w:rPr>
                <w:sz w:val="20"/>
                <w:szCs w:val="20"/>
                <w:color w:val="auto"/>
              </w:rPr>
            </w:pPr>
            <w:r>
              <w:rPr>
                <w:rFonts w:ascii="Arial" w:cs="Arial" w:eastAsia="Arial" w:hAnsi="Arial"/>
                <w:sz w:val="2"/>
                <w:szCs w:val="2"/>
                <w:color w:val="auto"/>
                <w:w w:val="97"/>
              </w:rPr>
              <w:t> </w:t>
            </w:r>
          </w:p>
        </w:tc>
        <w:tc>
          <w:tcPr>
            <w:tcW w:w="240" w:type="dxa"/>
            <w:vAlign w:val="bottom"/>
            <w:shd w:val="clear" w:color="auto" w:fill="CCEEFF"/>
          </w:tcPr>
          <w:p>
            <w:pPr>
              <w:ind w:left="140"/>
              <w:spacing w:after="0"/>
              <w:rPr>
                <w:sz w:val="20"/>
                <w:szCs w:val="20"/>
                <w:color w:val="auto"/>
              </w:rPr>
            </w:pPr>
            <w:r>
              <w:rPr>
                <w:rFonts w:ascii="Arial" w:cs="Arial" w:eastAsia="Arial" w:hAnsi="Arial"/>
                <w:sz w:val="11"/>
                <w:szCs w:val="11"/>
                <w:color w:val="auto"/>
                <w:w w:val="72"/>
              </w:rPr>
              <w:t> </w:t>
            </w:r>
          </w:p>
        </w:tc>
        <w:tc>
          <w:tcPr>
            <w:tcW w:w="3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 </w:t>
            </w:r>
          </w:p>
        </w:tc>
      </w:tr>
      <w:tr>
        <w:trPr>
          <w:trHeight w:val="191"/>
        </w:trPr>
        <w:tc>
          <w:tcPr>
            <w:tcW w:w="7700" w:type="dxa"/>
            <w:vAlign w:val="bottom"/>
            <w:gridSpan w:val="4"/>
          </w:tcPr>
          <w:p>
            <w:pPr>
              <w:spacing w:after="0" w:line="191" w:lineRule="exact"/>
              <w:rPr>
                <w:sz w:val="20"/>
                <w:szCs w:val="20"/>
                <w:color w:val="auto"/>
              </w:rPr>
            </w:pPr>
            <w:r>
              <w:rPr>
                <w:rFonts w:ascii="Arial" w:cs="Arial" w:eastAsia="Arial" w:hAnsi="Arial"/>
                <w:sz w:val="18"/>
                <w:szCs w:val="18"/>
                <w:color w:val="auto"/>
              </w:rPr>
              <w:t>Redeemable convertible preferred stock, par value $0.0001 per share;             shares</w:t>
            </w: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780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authorized,             issued, and outstanding, actual; no shares authorized, issued, or</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1"/>
        </w:trPr>
        <w:tc>
          <w:tcPr>
            <w:tcW w:w="4720" w:type="dxa"/>
            <w:vAlign w:val="bottom"/>
            <w:gridSpan w:val="3"/>
          </w:tcPr>
          <w:p>
            <w:pPr>
              <w:ind w:left="180"/>
              <w:spacing w:after="0"/>
              <w:rPr>
                <w:sz w:val="20"/>
                <w:szCs w:val="20"/>
                <w:color w:val="auto"/>
              </w:rPr>
            </w:pPr>
            <w:r>
              <w:rPr>
                <w:rFonts w:ascii="Arial" w:cs="Arial" w:eastAsia="Arial" w:hAnsi="Arial"/>
                <w:sz w:val="18"/>
                <w:szCs w:val="18"/>
                <w:color w:val="auto"/>
              </w:rPr>
              <w:t>outstanding, pro forma and pro forma as adjusted</w:t>
            </w: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3"/>
        </w:trPr>
        <w:tc>
          <w:tcPr>
            <w:tcW w:w="2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 equity:</w:t>
            </w:r>
          </w:p>
        </w:tc>
        <w:tc>
          <w:tcPr>
            <w:tcW w:w="2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4"/>
        </w:trPr>
        <w:tc>
          <w:tcPr>
            <w:tcW w:w="7800" w:type="dxa"/>
            <w:vAlign w:val="bottom"/>
            <w:gridSpan w:val="5"/>
          </w:tcPr>
          <w:p>
            <w:pPr>
              <w:ind w:left="360"/>
              <w:spacing w:after="0" w:line="183" w:lineRule="exact"/>
              <w:rPr>
                <w:sz w:val="20"/>
                <w:szCs w:val="20"/>
                <w:color w:val="auto"/>
              </w:rPr>
            </w:pPr>
            <w:r>
              <w:rPr>
                <w:rFonts w:ascii="Arial" w:cs="Arial" w:eastAsia="Arial" w:hAnsi="Arial"/>
                <w:sz w:val="18"/>
                <w:szCs w:val="18"/>
                <w:color w:val="auto"/>
              </w:rPr>
              <w:t>Preferred stock, par value $0.0001 per share; no shares authorized, issued and</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2500" w:type="dxa"/>
            <w:vAlign w:val="bottom"/>
          </w:tcPr>
          <w:p>
            <w:pPr>
              <w:ind w:left="540"/>
              <w:spacing w:after="0" w:line="202" w:lineRule="exact"/>
              <w:rPr>
                <w:sz w:val="20"/>
                <w:szCs w:val="20"/>
                <w:color w:val="auto"/>
              </w:rPr>
            </w:pPr>
            <w:r>
              <w:rPr>
                <w:rFonts w:ascii="Arial" w:cs="Arial" w:eastAsia="Arial" w:hAnsi="Arial"/>
                <w:sz w:val="18"/>
                <w:szCs w:val="18"/>
                <w:color w:val="auto"/>
              </w:rPr>
              <w:t xml:space="preserve">outstanding, actual;     </w:t>
            </w:r>
          </w:p>
        </w:tc>
        <w:tc>
          <w:tcPr>
            <w:tcW w:w="222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shares authorized,           </w:t>
            </w:r>
          </w:p>
        </w:tc>
        <w:tc>
          <w:tcPr>
            <w:tcW w:w="30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issued and             outstanding,</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720" w:type="dxa"/>
            <w:vAlign w:val="bottom"/>
            <w:gridSpan w:val="3"/>
          </w:tcPr>
          <w:p>
            <w:pPr>
              <w:ind w:left="540"/>
              <w:spacing w:after="0" w:line="202" w:lineRule="exact"/>
              <w:rPr>
                <w:sz w:val="20"/>
                <w:szCs w:val="20"/>
                <w:color w:val="auto"/>
              </w:rPr>
            </w:pPr>
            <w:r>
              <w:rPr>
                <w:rFonts w:ascii="Arial" w:cs="Arial" w:eastAsia="Arial" w:hAnsi="Arial"/>
                <w:sz w:val="18"/>
                <w:szCs w:val="18"/>
                <w:color w:val="auto"/>
                <w:w w:val="95"/>
              </w:rPr>
              <w:t>pro forma;       shares authorized,       issued and  </w:t>
            </w:r>
          </w:p>
        </w:tc>
        <w:tc>
          <w:tcPr>
            <w:tcW w:w="30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   outstanding, pro forma as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1"/>
        </w:trPr>
        <w:tc>
          <w:tcPr>
            <w:tcW w:w="2500" w:type="dxa"/>
            <w:vAlign w:val="bottom"/>
          </w:tcPr>
          <w:p>
            <w:pPr>
              <w:ind w:left="540"/>
              <w:spacing w:after="0"/>
              <w:rPr>
                <w:sz w:val="20"/>
                <w:szCs w:val="20"/>
                <w:color w:val="auto"/>
              </w:rPr>
            </w:pPr>
            <w:r>
              <w:rPr>
                <w:rFonts w:ascii="Arial" w:cs="Arial" w:eastAsia="Arial" w:hAnsi="Arial"/>
                <w:sz w:val="18"/>
                <w:szCs w:val="18"/>
                <w:color w:val="auto"/>
              </w:rPr>
              <w:t>adjusted;</w:t>
            </w:r>
          </w:p>
        </w:tc>
        <w:tc>
          <w:tcPr>
            <w:tcW w:w="2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403,997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4"/>
        </w:trPr>
        <w:tc>
          <w:tcPr>
            <w:tcW w:w="7800" w:type="dxa"/>
            <w:vAlign w:val="bottom"/>
            <w:gridSpan w:val="5"/>
            <w:shd w:val="clear" w:color="auto" w:fill="CCEEFF"/>
          </w:tcPr>
          <w:p>
            <w:pPr>
              <w:ind w:left="360"/>
              <w:spacing w:after="0" w:line="183" w:lineRule="exact"/>
              <w:rPr>
                <w:sz w:val="20"/>
                <w:szCs w:val="20"/>
                <w:color w:val="auto"/>
              </w:rPr>
            </w:pPr>
            <w:r>
              <w:rPr>
                <w:rFonts w:ascii="Arial" w:cs="Arial" w:eastAsia="Arial" w:hAnsi="Arial"/>
                <w:sz w:val="18"/>
                <w:szCs w:val="18"/>
                <w:color w:val="auto"/>
              </w:rPr>
              <w:t>Class A common stock, par value $0.0001 per share; no shares authorized, issued, or</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3"/>
        </w:trPr>
        <w:tc>
          <w:tcPr>
            <w:tcW w:w="25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 xml:space="preserve">outstanding, actual;     </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    </w:t>
            </w:r>
          </w:p>
        </w:tc>
        <w:tc>
          <w:tcPr>
            <w:tcW w:w="504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 xml:space="preserve">shares authorized, no shares issued or           </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25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w w:val="93"/>
              </w:rPr>
              <w:t>outstanding, pro forma;  </w:t>
            </w:r>
          </w:p>
        </w:tc>
        <w:tc>
          <w:tcPr>
            <w:tcW w:w="2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70"/>
              </w:rPr>
              <w:t> </w:t>
            </w:r>
          </w:p>
        </w:tc>
        <w:tc>
          <w:tcPr>
            <w:tcW w:w="1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 xml:space="preserve">      authorized,           </w:t>
            </w:r>
          </w:p>
        </w:tc>
        <w:tc>
          <w:tcPr>
            <w:tcW w:w="30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shares issued and outstanding,</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1"/>
        </w:trPr>
        <w:tc>
          <w:tcPr>
            <w:tcW w:w="2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 forma as adjusted</w:t>
            </w: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84"/>
        </w:trPr>
        <w:tc>
          <w:tcPr>
            <w:tcW w:w="7800" w:type="dxa"/>
            <w:vAlign w:val="bottom"/>
            <w:gridSpan w:val="5"/>
          </w:tcPr>
          <w:p>
            <w:pPr>
              <w:ind w:left="360"/>
              <w:spacing w:after="0" w:line="183" w:lineRule="exact"/>
              <w:rPr>
                <w:sz w:val="20"/>
                <w:szCs w:val="20"/>
                <w:color w:val="auto"/>
              </w:rPr>
            </w:pPr>
            <w:r>
              <w:rPr>
                <w:rFonts w:ascii="Arial" w:cs="Arial" w:eastAsia="Arial" w:hAnsi="Arial"/>
                <w:sz w:val="18"/>
                <w:szCs w:val="18"/>
                <w:color w:val="auto"/>
              </w:rPr>
              <w:t>Class B common stock, par value $0.0001 per share; no shares authorized, issued, or</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2500" w:type="dxa"/>
            <w:vAlign w:val="bottom"/>
          </w:tcPr>
          <w:p>
            <w:pPr>
              <w:ind w:left="540"/>
              <w:spacing w:after="0" w:line="202" w:lineRule="exact"/>
              <w:rPr>
                <w:sz w:val="20"/>
                <w:szCs w:val="20"/>
                <w:color w:val="auto"/>
              </w:rPr>
            </w:pPr>
            <w:r>
              <w:rPr>
                <w:rFonts w:ascii="Arial" w:cs="Arial" w:eastAsia="Arial" w:hAnsi="Arial"/>
                <w:sz w:val="18"/>
                <w:szCs w:val="18"/>
                <w:color w:val="auto"/>
              </w:rPr>
              <w:t xml:space="preserve">outstanding, actual;     </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 xml:space="preserve">    </w:t>
            </w:r>
          </w:p>
        </w:tc>
        <w:tc>
          <w:tcPr>
            <w:tcW w:w="1960" w:type="dxa"/>
            <w:vAlign w:val="bottom"/>
          </w:tcPr>
          <w:p>
            <w:pPr>
              <w:ind w:left="100"/>
              <w:spacing w:after="0" w:line="202" w:lineRule="exact"/>
              <w:rPr>
                <w:sz w:val="20"/>
                <w:szCs w:val="20"/>
                <w:color w:val="auto"/>
              </w:rPr>
            </w:pPr>
            <w:r>
              <w:rPr>
                <w:rFonts w:ascii="Arial" w:cs="Arial" w:eastAsia="Arial" w:hAnsi="Arial"/>
                <w:sz w:val="18"/>
                <w:szCs w:val="18"/>
                <w:color w:val="auto"/>
              </w:rPr>
              <w:t xml:space="preserve">shares authorized,     </w:t>
            </w:r>
          </w:p>
        </w:tc>
        <w:tc>
          <w:tcPr>
            <w:tcW w:w="30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      shares issued and</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1"/>
        </w:trPr>
        <w:tc>
          <w:tcPr>
            <w:tcW w:w="4720" w:type="dxa"/>
            <w:vAlign w:val="bottom"/>
            <w:gridSpan w:val="3"/>
          </w:tcPr>
          <w:p>
            <w:pPr>
              <w:ind w:left="540"/>
              <w:spacing w:after="0"/>
              <w:rPr>
                <w:sz w:val="20"/>
                <w:szCs w:val="20"/>
                <w:color w:val="auto"/>
              </w:rPr>
            </w:pPr>
            <w:r>
              <w:rPr>
                <w:rFonts w:ascii="Arial" w:cs="Arial" w:eastAsia="Arial" w:hAnsi="Arial"/>
                <w:sz w:val="18"/>
                <w:szCs w:val="18"/>
                <w:color w:val="auto"/>
              </w:rPr>
              <w:t>outstanding, pro forma and pro forma as adjusted</w:t>
            </w: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3"/>
        </w:trPr>
        <w:tc>
          <w:tcPr>
            <w:tcW w:w="25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78,653</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72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Accumulated other comprehensive (loss)</w:t>
            </w: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(498)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5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(127,075)</w:t>
            </w:r>
          </w:p>
        </w:tc>
        <w:tc>
          <w:tcPr>
            <w:tcW w:w="2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7"/>
        </w:trPr>
        <w:tc>
          <w:tcPr>
            <w:tcW w:w="4720" w:type="dxa"/>
            <w:vAlign w:val="bottom"/>
            <w:gridSpan w:val="3"/>
          </w:tcPr>
          <w:p>
            <w:pPr>
              <w:ind w:left="720"/>
              <w:spacing w:after="0"/>
              <w:rPr>
                <w:sz w:val="20"/>
                <w:szCs w:val="20"/>
                <w:color w:val="auto"/>
              </w:rPr>
            </w:pPr>
            <w:r>
              <w:rPr>
                <w:rFonts w:ascii="Arial" w:cs="Arial" w:eastAsia="Arial" w:hAnsi="Arial"/>
                <w:sz w:val="18"/>
                <w:szCs w:val="18"/>
                <w:color w:val="auto"/>
              </w:rPr>
              <w:t>Total stockholders’ (deficit) equity</w:t>
            </w:r>
          </w:p>
        </w:tc>
        <w:tc>
          <w:tcPr>
            <w:tcW w:w="29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(48,918)</w:t>
            </w:r>
          </w:p>
        </w:tc>
        <w:tc>
          <w:tcPr>
            <w:tcW w:w="5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w w:val="76"/>
              </w:rPr>
              <w:t> </w:t>
            </w:r>
          </w:p>
        </w:tc>
        <w:tc>
          <w:tcPr>
            <w:tcW w:w="5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  </w:t>
            </w:r>
          </w:p>
        </w:tc>
        <w:tc>
          <w:tcPr>
            <w:tcW w:w="120" w:type="dxa"/>
            <w:vAlign w:val="bottom"/>
            <w:tcBorders>
              <w:bottom w:val="single" w:sz="8" w:color="auto"/>
            </w:tcBorders>
          </w:tcPr>
          <w:p>
            <w:pPr>
              <w:ind w:left="80"/>
              <w:spacing w:after="0"/>
              <w:rPr>
                <w:sz w:val="20"/>
                <w:szCs w:val="20"/>
                <w:color w:val="auto"/>
              </w:rPr>
            </w:pPr>
            <w:r>
              <w:rPr>
                <w:rFonts w:ascii="Arial" w:cs="Arial" w:eastAsia="Arial" w:hAnsi="Arial"/>
                <w:sz w:val="2"/>
                <w:szCs w:val="2"/>
                <w:color w:val="auto"/>
                <w:w w:val="97"/>
              </w:rPr>
              <w:t> </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w w:val="72"/>
              </w:rPr>
              <w:t> </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8"/>
                <w:szCs w:val="18"/>
                <w:color w:val="auto"/>
              </w:rPr>
            </w:pPr>
          </w:p>
        </w:tc>
      </w:tr>
      <w:tr>
        <w:trPr>
          <w:trHeight w:val="203"/>
        </w:trPr>
        <w:tc>
          <w:tcPr>
            <w:tcW w:w="2760" w:type="dxa"/>
            <w:vAlign w:val="bottom"/>
            <w:gridSpan w:val="2"/>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capitalization</w:t>
            </w:r>
          </w:p>
        </w:tc>
        <w:tc>
          <w:tcPr>
            <w:tcW w:w="196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516,270</w:t>
            </w:r>
          </w:p>
        </w:tc>
        <w:tc>
          <w:tcPr>
            <w:tcW w:w="5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 xml:space="preserve">$  </w:t>
            </w: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5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  </w:t>
            </w:r>
          </w:p>
        </w:tc>
        <w:tc>
          <w:tcPr>
            <w:tcW w:w="120" w:type="dxa"/>
            <w:vAlign w:val="bottom"/>
            <w:shd w:val="clear" w:color="auto" w:fill="CCEEFF"/>
          </w:tcPr>
          <w:p>
            <w:pPr>
              <w:ind w:left="80"/>
              <w:spacing w:after="0"/>
              <w:rPr>
                <w:sz w:val="20"/>
                <w:szCs w:val="20"/>
                <w:color w:val="auto"/>
              </w:rPr>
            </w:pPr>
            <w:r>
              <w:rPr>
                <w:rFonts w:ascii="Arial" w:cs="Arial" w:eastAsia="Arial" w:hAnsi="Arial"/>
                <w:sz w:val="2"/>
                <w:szCs w:val="2"/>
                <w:color w:val="auto"/>
                <w:w w:val="97"/>
              </w:rPr>
              <w:t> </w:t>
            </w:r>
          </w:p>
        </w:tc>
        <w:tc>
          <w:tcPr>
            <w:tcW w:w="240" w:type="dxa"/>
            <w:vAlign w:val="bottom"/>
            <w:shd w:val="clear" w:color="auto" w:fill="CCEEFF"/>
          </w:tcPr>
          <w:p>
            <w:pPr>
              <w:ind w:left="140"/>
              <w:spacing w:after="0"/>
              <w:rPr>
                <w:sz w:val="20"/>
                <w:szCs w:val="20"/>
                <w:color w:val="auto"/>
              </w:rPr>
            </w:pPr>
            <w:r>
              <w:rPr>
                <w:rFonts w:ascii="Arial" w:cs="Arial" w:eastAsia="Arial" w:hAnsi="Arial"/>
                <w:sz w:val="11"/>
                <w:szCs w:val="11"/>
                <w:color w:val="auto"/>
                <w:w w:val="72"/>
              </w:rPr>
              <w:t> </w:t>
            </w:r>
          </w:p>
        </w:tc>
        <w:tc>
          <w:tcPr>
            <w:tcW w:w="3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 </w:t>
            </w:r>
          </w:p>
        </w:tc>
      </w:tr>
      <w:tr>
        <w:trPr>
          <w:trHeight w:val="20"/>
        </w:trPr>
        <w:tc>
          <w:tcPr>
            <w:tcW w:w="2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660" w:right="140" w:hanging="544"/>
        <w:spacing w:after="0" w:line="23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$1.00 increase (decrease) in the assumed initial public offering price of $        per share, the midpoint of the price range set forth on the cover page of this prospectus, would increase (decrease) the amount of pro forma as adjusted cash, cash equivalents, and investments, total stockholders’ (deficit) equity, and total capitalization by $        million, assuming the number of shares offered by us and the selling stockholders, as set forth on the cover page of this prospectus, remains the same and after deducting underwriting discounts and commissions and estimated offering expenses payable by us. We may also increase (decrease) the number of shares we are offering. An increase (decrease) of 1.0 million in the number of shares we are offering would increase or decrease the amount of pro forma as adjusted cash, cash equivalents, and investments, total stockholders’ (deficit) equity, and total capitalization by $        million, assuming the assumed initial public offering price per share, the midpoint of the price range set forth on the cover page of this prospectus, remains the same and after deducting underwriting discounts and commissions and estimated offering expenses payable by us. In addition, each 1.0% increase (decrease) in the tax withholding rate would increase (decrease) the amount of tax withholding and remittance obligations related to the RSU Net Settlement and increase (decrease) cash, cash equivalents, and investments, additional paid-in capital, total stockholders’ (deficit) equity, and total capitalization by $        million, assuming that the assumed initial public offering price remains the same, that the number of shares of Class A common stock offered by us and the selling stockholders, as set forth on the cover page of this prospectus,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5"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660" w:right="80"/>
        <w:spacing w:after="0"/>
        <w:rPr>
          <w:sz w:val="20"/>
          <w:szCs w:val="20"/>
          <w:color w:val="auto"/>
        </w:rPr>
      </w:pPr>
      <w:r>
        <w:rPr>
          <w:rFonts w:ascii="Arial" w:cs="Arial" w:eastAsia="Arial" w:hAnsi="Arial"/>
          <w:sz w:val="18"/>
          <w:szCs w:val="18"/>
          <w:color w:val="auto"/>
        </w:rPr>
        <w:t>remains the same, and after deducting underwriting discounts and commissions and estimated offering expenses payable by us in connection with this offering. Each $ 1.0 increase (decrease) in the assumed initial public offering price of $        per share, the midpoint of the price range set forth on the cover page of this prospectus, would increase (decrease) the amount of tax withholding and remittance obligations related to the RSU Net Settlement and increase (decrease) cash, cash equivalents, and investments, additional paid-in capital, total stockholders’ (deficit) equity, and total capitalization by $        million, assuming that the tax withholding rate remains the same, that the number of shares of Class A common stock offered by us and the selling stockholders, as set forth on the cover page of this prospectus, remains the same, and after deducting underwriting discounts and commissions and estimated offering expenses payable by us in connection with this offering.</w:t>
      </w:r>
    </w:p>
    <w:p>
      <w:pPr>
        <w:spacing w:after="0" w:line="180" w:lineRule="exact"/>
        <w:rPr>
          <w:sz w:val="20"/>
          <w:szCs w:val="20"/>
          <w:color w:val="auto"/>
        </w:rPr>
      </w:pPr>
    </w:p>
    <w:p>
      <w:pPr>
        <w:ind w:left="120" w:right="180" w:firstLine="551"/>
        <w:spacing w:after="0" w:line="247" w:lineRule="auto"/>
        <w:rPr>
          <w:sz w:val="20"/>
          <w:szCs w:val="20"/>
          <w:color w:val="auto"/>
        </w:rPr>
      </w:pPr>
      <w:r>
        <w:rPr>
          <w:rFonts w:ascii="Arial" w:cs="Arial" w:eastAsia="Arial" w:hAnsi="Arial"/>
          <w:sz w:val="18"/>
          <w:szCs w:val="18"/>
          <w:color w:val="auto"/>
        </w:rPr>
        <w:t>The number of shares of our Class A common stock and Class B common stock that will be outstanding after the closing of this offering is based on         shares of our Class A common stock and         shares of our Class B common stock outstanding as of September 30, 2025 after giving effect to (i) the reclassification of our outstanding common stock as Class A common stock, (ii) the Preferred Conversion, (iii) the Class B Stock Exchange, (iv) the RSU Net Settlement, and (v) the Warrant Exercise, and excludes:</w:t>
      </w:r>
    </w:p>
    <w:p>
      <w:pPr>
        <w:spacing w:after="0" w:line="79" w:lineRule="exact"/>
        <w:rPr>
          <w:sz w:val="20"/>
          <w:szCs w:val="20"/>
          <w:color w:val="auto"/>
        </w:rPr>
      </w:pPr>
    </w:p>
    <w:p>
      <w:pPr>
        <w:ind w:left="880" w:right="200" w:hanging="224"/>
        <w:spacing w:after="0" w:line="271"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1,196,398 shares of Class A common stock issuable upon the exercise of stock options outstanding as of September 30, 2025 under our 2016 Plan with a weighted-average exercise price of $3.23 per share;</w:t>
      </w:r>
    </w:p>
    <w:p>
      <w:pPr>
        <w:spacing w:after="0" w:line="59" w:lineRule="exact"/>
        <w:rPr>
          <w:sz w:val="20"/>
          <w:szCs w:val="20"/>
          <w:color w:val="auto"/>
        </w:rPr>
      </w:pPr>
    </w:p>
    <w:p>
      <w:pPr>
        <w:ind w:left="880" w:right="180" w:hanging="219"/>
        <w:spacing w:after="0" w:line="244" w:lineRule="auto"/>
        <w:tabs>
          <w:tab w:leader="none" w:pos="860" w:val="left"/>
        </w:tabs>
        <w:rPr>
          <w:sz w:val="20"/>
          <w:szCs w:val="20"/>
          <w:color w:val="auto"/>
        </w:rPr>
      </w:pPr>
      <w:r>
        <w:rPr>
          <w:rFonts w:ascii="Arial" w:cs="Arial" w:eastAsia="Arial" w:hAnsi="Arial"/>
          <w:sz w:val="18"/>
          <w:szCs w:val="18"/>
          <w:color w:val="auto"/>
        </w:rPr>
        <w:t>•</w:t>
        <w:tab/>
        <w:t>        shares of Class A common stock issuable upon the vesting and settlement of RSUs outstanding as of the date of this prospectus subject to service-based and liquidity event-based conditions, for which (i) the service-based condition was not satisfied as of such date and (ii) the liquidity event-based condition will be satisfied upon the effectiveness of the registration statement of which this prospectus forms a part, of which         shares will be exchangeable for an equal number of shares of Class B common stock at the election of our co-founders upon settlement;</w:t>
      </w:r>
    </w:p>
    <w:p>
      <w:pPr>
        <w:spacing w:after="0" w:line="82" w:lineRule="exact"/>
        <w:rPr>
          <w:sz w:val="20"/>
          <w:szCs w:val="20"/>
          <w:color w:val="auto"/>
        </w:rPr>
      </w:pPr>
    </w:p>
    <w:p>
      <w:pPr>
        <w:ind w:left="880" w:right="40" w:hanging="224"/>
        <w:spacing w:after="0" w:line="253"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1,235,991 shares of Class A common stock reserved for future issuance under our 2016 Plan as of September 30, 2025, which shares will cease to be available for issuance upon the effectiveness of the registration statement of which this prospectus forms a part;</w:t>
      </w:r>
    </w:p>
    <w:p>
      <w:pPr>
        <w:spacing w:after="0" w:line="74" w:lineRule="exact"/>
        <w:rPr>
          <w:rFonts w:ascii="Arial" w:cs="Arial" w:eastAsia="Arial" w:hAnsi="Arial"/>
          <w:sz w:val="18"/>
          <w:szCs w:val="18"/>
          <w:color w:val="auto"/>
        </w:rPr>
      </w:pPr>
    </w:p>
    <w:p>
      <w:pPr>
        <w:ind w:left="880" w:right="140" w:hanging="224"/>
        <w:spacing w:after="0" w:line="253"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548,489 shares of our Class A common stock issuable upon the exercise of outstanding warrants to purchase Class A common stock as of September 30, 2025 and not exercised prior to the effectiveness of the registration statement of which this prospectus forms a part, with a weighted-average exercise price of $12.92 per share;</w:t>
      </w:r>
    </w:p>
    <w:p>
      <w:pPr>
        <w:spacing w:after="0" w:line="74" w:lineRule="exact"/>
        <w:rPr>
          <w:sz w:val="20"/>
          <w:szCs w:val="20"/>
          <w:color w:val="auto"/>
        </w:rPr>
      </w:pPr>
    </w:p>
    <w:p>
      <w:pPr>
        <w:ind w:left="880" w:hanging="219"/>
        <w:spacing w:after="0" w:line="247" w:lineRule="auto"/>
        <w:tabs>
          <w:tab w:leader="none" w:pos="860" w:val="left"/>
        </w:tabs>
        <w:rPr>
          <w:sz w:val="20"/>
          <w:szCs w:val="20"/>
          <w:color w:val="auto"/>
        </w:rPr>
      </w:pPr>
      <w:r>
        <w:rPr>
          <w:rFonts w:ascii="Arial" w:cs="Arial" w:eastAsia="Arial" w:hAnsi="Arial"/>
          <w:sz w:val="18"/>
          <w:szCs w:val="18"/>
          <w:color w:val="auto"/>
        </w:rPr>
        <w:t>•</w:t>
        <w:tab/>
        <w:t>        shares of Class A common stock reserved for issuance under our 2026 Plan plus any future increases in the number of shares of Class A common stock reserved for issuance thereunder, as more fully described in the section titled “Executive Compensation—Employee Benefit and Stock Plans—2026 Equity Incentive Plan,” which will become available for issuance upon the effectiveness of the registration statement of which this prospectus is a part; and</w:t>
      </w:r>
    </w:p>
    <w:p>
      <w:pPr>
        <w:spacing w:after="0" w:line="79" w:lineRule="exact"/>
        <w:rPr>
          <w:sz w:val="20"/>
          <w:szCs w:val="20"/>
          <w:color w:val="auto"/>
        </w:rPr>
      </w:pPr>
    </w:p>
    <w:p>
      <w:pPr>
        <w:ind w:left="660"/>
        <w:spacing w:after="0"/>
        <w:tabs>
          <w:tab w:leader="none" w:pos="860" w:val="left"/>
          <w:tab w:leader="none" w:pos="1620" w:val="left"/>
        </w:tabs>
        <w:rPr>
          <w:sz w:val="20"/>
          <w:szCs w:val="20"/>
          <w:color w:val="auto"/>
        </w:rPr>
      </w:pPr>
      <w:r>
        <w:rPr>
          <w:rFonts w:ascii="Arial" w:cs="Arial" w:eastAsia="Arial" w:hAnsi="Arial"/>
          <w:sz w:val="18"/>
          <w:szCs w:val="18"/>
          <w:color w:val="auto"/>
        </w:rPr>
        <w:t>•</w:t>
        <w:tab/>
        <w:t xml:space="preserve">          </w:t>
      </w:r>
      <w:r>
        <w:rPr>
          <w:sz w:val="20"/>
          <w:szCs w:val="20"/>
          <w:color w:val="auto"/>
        </w:rPr>
        <w:tab/>
      </w:r>
      <w:r>
        <w:rPr>
          <w:rFonts w:ascii="Arial" w:cs="Arial" w:eastAsia="Arial" w:hAnsi="Arial"/>
          <w:sz w:val="17"/>
          <w:szCs w:val="17"/>
          <w:color w:val="auto"/>
        </w:rPr>
        <w:t>shares of Class A common stock reserved for issuance under our 2026 ESPP plus any future increases in the number</w:t>
      </w:r>
    </w:p>
    <w:p>
      <w:pPr>
        <w:spacing w:after="0" w:line="14" w:lineRule="exact"/>
        <w:rPr>
          <w:sz w:val="20"/>
          <w:szCs w:val="20"/>
          <w:color w:val="auto"/>
        </w:rPr>
      </w:pPr>
    </w:p>
    <w:p>
      <w:pPr>
        <w:jc w:val="both"/>
        <w:ind w:left="880" w:right="360"/>
        <w:spacing w:after="0" w:line="242" w:lineRule="auto"/>
        <w:rPr>
          <w:sz w:val="20"/>
          <w:szCs w:val="20"/>
          <w:color w:val="auto"/>
        </w:rPr>
      </w:pPr>
      <w:r>
        <w:rPr>
          <w:rFonts w:ascii="Arial" w:cs="Arial" w:eastAsia="Arial" w:hAnsi="Arial"/>
          <w:sz w:val="18"/>
          <w:szCs w:val="18"/>
          <w:color w:val="auto"/>
        </w:rPr>
        <w:t>of shares of Class A common stock reserved for issuance thereunder, as more fully described in the section titled “Executive Compensation—Employee Benefit and Stock Plans—2026 Employee Stock Purchase Plan,” which will become available for issuance upon the effectiveness of the registration statement of which this prospectus is a part.</w:t>
      </w:r>
    </w:p>
    <w:p>
      <w:pPr>
        <w:spacing w:after="0" w:line="179" w:lineRule="exact"/>
        <w:rPr>
          <w:sz w:val="20"/>
          <w:szCs w:val="20"/>
          <w:color w:val="auto"/>
        </w:rPr>
      </w:pPr>
    </w:p>
    <w:p>
      <w:pPr>
        <w:ind w:left="120" w:right="500" w:firstLine="551"/>
        <w:spacing w:after="0" w:line="271" w:lineRule="auto"/>
        <w:rPr>
          <w:sz w:val="20"/>
          <w:szCs w:val="20"/>
          <w:color w:val="auto"/>
        </w:rPr>
      </w:pPr>
      <w:r>
        <w:rPr>
          <w:rFonts w:ascii="Arial" w:cs="Arial" w:eastAsia="Arial" w:hAnsi="Arial"/>
          <w:sz w:val="18"/>
          <w:szCs w:val="18"/>
          <w:color w:val="auto"/>
        </w:rPr>
        <w:t>Our 2026 Plan and 2026 ESPP provide for annual automatic increases in the number of shares reserved thereunder. See the section titled “Executive Compensation—Employee Benefit and Stock Plans” for additional information.</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12" w:lineRule="exact"/>
        <w:rPr>
          <w:sz w:val="20"/>
          <w:szCs w:val="20"/>
          <w:color w:val="auto"/>
        </w:rPr>
      </w:pPr>
    </w:p>
    <w:p>
      <w:pPr>
        <w:jc w:val="both"/>
        <w:ind w:left="120" w:right="340" w:firstLine="551"/>
        <w:spacing w:after="0" w:line="253"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of Class A common stock and the pro forma as adjusted net tangible book value per share of Class A common stock immediately after the closing of this offering.</w:t>
      </w:r>
    </w:p>
    <w:p>
      <w:pPr>
        <w:spacing w:after="0" w:line="169" w:lineRule="exact"/>
        <w:rPr>
          <w:sz w:val="20"/>
          <w:szCs w:val="20"/>
          <w:color w:val="auto"/>
        </w:rPr>
      </w:pPr>
    </w:p>
    <w:p>
      <w:pPr>
        <w:jc w:val="both"/>
        <w:ind w:left="120" w:right="260" w:firstLine="551"/>
        <w:spacing w:after="0" w:line="253" w:lineRule="auto"/>
        <w:rPr>
          <w:sz w:val="20"/>
          <w:szCs w:val="20"/>
          <w:color w:val="auto"/>
        </w:rPr>
      </w:pPr>
      <w:r>
        <w:rPr>
          <w:rFonts w:ascii="Arial" w:cs="Arial" w:eastAsia="Arial" w:hAnsi="Arial"/>
          <w:sz w:val="18"/>
          <w:szCs w:val="18"/>
          <w:color w:val="auto"/>
        </w:rPr>
        <w:t>Our historical net tangible book deficit as of September 30, 2025 was $        million, or $        per share of common stock. Historical net tangible book deficit represents the amount of our total tangible assets less our total liabilities and redeemable convertible preferred stock, divided by the number of shares of common stock outstanding as of September 30, 2025.</w:t>
      </w:r>
    </w:p>
    <w:p>
      <w:pPr>
        <w:spacing w:after="0" w:line="169"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Our pro forma net tangible book deficit as of September 30, 2025 was $        million, or $        per share. Pro forma net tangible book value per share represents the amount of our total tangible assets less our total liabilities, divided by the number of shares of our common stock outstanding as of September 30, 2025, after giving effect to (i) the Preferred Conversion, (ii) the Class B Stock Exchange, (iii) the RSU Net Settlement (based on the assumed initial public offering price of $        per share, the midpoint of the price range set forth on the cover page of this prospectus, and an assumed        % tax withholding rate), and (iv) the Warrant Exercise.</w:t>
      </w:r>
    </w:p>
    <w:p>
      <w:pPr>
        <w:spacing w:after="0" w:line="17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After giving further effect to (i) our receipt of $        million in estimated net proceeds from the sale and issuance by us of shares of Class A common stock in this offering at an assumed initial public offering price of $        per share, the midpoint of the price range set forth on the cover page of this prospectus, and after deducting underwriting discounts and commissions and estimated offering expenses payable by us, and (ii) the use of proceeds and existing cash and cash equivalents to satisfy the assumed tax withholding and remittance obligations described above, our pro forma as adjusted net tangible book value as of September 30, 2025 would have been</w:t>
      </w:r>
    </w:p>
    <w:tbl>
      <w:tblPr>
        <w:tblLayout w:type="fixed"/>
        <w:tblInd w:w="120" w:type="dxa"/>
        <w:tblCellMar>
          <w:top w:w="0" w:type="dxa"/>
          <w:left w:w="0" w:type="dxa"/>
          <w:bottom w:w="0" w:type="dxa"/>
          <w:right w:w="0" w:type="dxa"/>
        </w:tblCellMar>
      </w:tblPr>
      <w:tr>
        <w:trPr>
          <w:trHeight w:val="189"/>
        </w:trPr>
        <w:tc>
          <w:tcPr>
            <w:tcW w:w="220" w:type="dxa"/>
            <w:vAlign w:val="bottom"/>
          </w:tcPr>
          <w:p>
            <w:pPr>
              <w:spacing w:after="0" w:line="189" w:lineRule="exact"/>
              <w:rPr>
                <w:sz w:val="20"/>
                <w:szCs w:val="20"/>
                <w:color w:val="auto"/>
              </w:rPr>
            </w:pPr>
            <w:r>
              <w:rPr>
                <w:rFonts w:ascii="Arial" w:cs="Arial" w:eastAsia="Arial" w:hAnsi="Arial"/>
                <w:sz w:val="18"/>
                <w:szCs w:val="18"/>
                <w:color w:val="auto"/>
              </w:rPr>
              <w:t xml:space="preserve">$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0140" w:type="dxa"/>
            <w:vAlign w:val="bottom"/>
          </w:tcPr>
          <w:p>
            <w:pPr>
              <w:ind w:left="100"/>
              <w:spacing w:after="0" w:line="189" w:lineRule="exact"/>
              <w:rPr>
                <w:sz w:val="20"/>
                <w:szCs w:val="20"/>
                <w:color w:val="auto"/>
              </w:rPr>
            </w:pPr>
            <w:r>
              <w:rPr>
                <w:rFonts w:ascii="Arial" w:cs="Arial" w:eastAsia="Arial" w:hAnsi="Arial"/>
                <w:sz w:val="18"/>
                <w:szCs w:val="18"/>
                <w:color w:val="auto"/>
              </w:rPr>
              <w:t>million, or $            per share. This amount represents an immediate increase in pro forma net tangible book value of</w:t>
            </w:r>
          </w:p>
        </w:tc>
      </w:tr>
      <w:tr>
        <w:trPr>
          <w:trHeight w:val="203"/>
        </w:trPr>
        <w:tc>
          <w:tcPr>
            <w:tcW w:w="220" w:type="dxa"/>
            <w:vAlign w:val="bottom"/>
          </w:tcPr>
          <w:p>
            <w:pPr>
              <w:spacing w:after="0" w:line="202" w:lineRule="exact"/>
              <w:rPr>
                <w:sz w:val="20"/>
                <w:szCs w:val="20"/>
                <w:color w:val="auto"/>
              </w:rPr>
            </w:pPr>
            <w:r>
              <w:rPr>
                <w:rFonts w:ascii="Arial" w:cs="Arial" w:eastAsia="Arial" w:hAnsi="Arial"/>
                <w:sz w:val="18"/>
                <w:szCs w:val="18"/>
                <w:color w:val="auto"/>
              </w:rPr>
              <w:t xml:space="preserve">$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0140" w:type="dxa"/>
            <w:vAlign w:val="bottom"/>
          </w:tcPr>
          <w:p>
            <w:pPr>
              <w:ind w:left="60"/>
              <w:spacing w:after="0" w:line="202" w:lineRule="exact"/>
              <w:rPr>
                <w:sz w:val="20"/>
                <w:szCs w:val="20"/>
                <w:color w:val="auto"/>
              </w:rPr>
            </w:pPr>
            <w:r>
              <w:rPr>
                <w:rFonts w:ascii="Arial" w:cs="Arial" w:eastAsia="Arial" w:hAnsi="Arial"/>
                <w:sz w:val="18"/>
                <w:szCs w:val="18"/>
                <w:color w:val="auto"/>
                <w:w w:val="99"/>
              </w:rPr>
              <w:t>per share to our existing stockholders and immediate dilution in pro forma as adjusted net tangible book value of approximately</w:t>
            </w:r>
          </w:p>
        </w:tc>
      </w:tr>
      <w:tr>
        <w:trPr>
          <w:trHeight w:val="239"/>
        </w:trPr>
        <w:tc>
          <w:tcPr>
            <w:tcW w:w="220" w:type="dxa"/>
            <w:vAlign w:val="bottom"/>
          </w:tcPr>
          <w:p>
            <w:pPr>
              <w:spacing w:after="0"/>
              <w:rPr>
                <w:sz w:val="20"/>
                <w:szCs w:val="20"/>
                <w:color w:val="auto"/>
              </w:rPr>
            </w:pPr>
            <w:r>
              <w:rPr>
                <w:rFonts w:ascii="Arial" w:cs="Arial" w:eastAsia="Arial" w:hAnsi="Arial"/>
                <w:sz w:val="18"/>
                <w:szCs w:val="18"/>
                <w:color w:val="auto"/>
              </w:rPr>
              <w:t xml:space="preserve">$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0140" w:type="dxa"/>
            <w:vAlign w:val="bottom"/>
          </w:tcPr>
          <w:p>
            <w:pPr>
              <w:ind w:left="60"/>
              <w:spacing w:after="0"/>
              <w:rPr>
                <w:sz w:val="20"/>
                <w:szCs w:val="20"/>
                <w:color w:val="auto"/>
              </w:rPr>
            </w:pPr>
            <w:r>
              <w:rPr>
                <w:rFonts w:ascii="Arial" w:cs="Arial" w:eastAsia="Arial" w:hAnsi="Arial"/>
                <w:sz w:val="18"/>
                <w:szCs w:val="18"/>
                <w:color w:val="auto"/>
              </w:rPr>
              <w:t>per share to new investors purchasing shares of Class A common stock in this offering.</w:t>
            </w:r>
          </w:p>
        </w:tc>
      </w:tr>
    </w:tbl>
    <w:p>
      <w:pPr>
        <w:spacing w:after="0" w:line="180" w:lineRule="exact"/>
        <w:rPr>
          <w:sz w:val="20"/>
          <w:szCs w:val="20"/>
          <w:color w:val="auto"/>
        </w:rPr>
      </w:pPr>
    </w:p>
    <w:p>
      <w:pPr>
        <w:ind w:left="120" w:right="180" w:firstLine="551"/>
        <w:spacing w:after="0" w:line="271" w:lineRule="auto"/>
        <w:rPr>
          <w:sz w:val="20"/>
          <w:szCs w:val="20"/>
          <w:color w:val="auto"/>
        </w:rPr>
      </w:pPr>
      <w:r>
        <w:rPr>
          <w:rFonts w:ascii="Arial" w:cs="Arial" w:eastAsia="Arial" w:hAnsi="Arial"/>
          <w:sz w:val="18"/>
          <w:szCs w:val="18"/>
          <w:color w:val="auto"/>
        </w:rPr>
        <w:t>Dilution per share to new investors is determined by subtracting pro forma as adjusted net tangible book value per share after this offering from the initial public offering price per share paid by new investors. The following table illustrates this dilution:</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4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 xml:space="preserve">$           </w:t>
            </w:r>
          </w:p>
        </w:tc>
      </w:tr>
      <w:tr>
        <w:trPr>
          <w:trHeight w:val="203"/>
        </w:trPr>
        <w:tc>
          <w:tcPr>
            <w:tcW w:w="8600" w:type="dxa"/>
            <w:vAlign w:val="bottom"/>
          </w:tcPr>
          <w:p>
            <w:pPr>
              <w:ind w:left="360"/>
              <w:spacing w:after="0" w:line="202" w:lineRule="exact"/>
              <w:rPr>
                <w:sz w:val="20"/>
                <w:szCs w:val="20"/>
                <w:color w:val="auto"/>
              </w:rPr>
            </w:pPr>
            <w:r>
              <w:rPr>
                <w:rFonts w:ascii="Arial" w:cs="Arial" w:eastAsia="Arial" w:hAnsi="Arial"/>
                <w:sz w:val="18"/>
                <w:szCs w:val="18"/>
                <w:color w:val="auto"/>
              </w:rPr>
              <w:t>Historical net tangible book deficit per share as of September 30, 2025</w:t>
            </w:r>
          </w:p>
        </w:tc>
        <w:tc>
          <w:tcPr>
            <w:tcW w:w="2420" w:type="dxa"/>
            <w:vAlign w:val="bottom"/>
          </w:tcPr>
          <w:p>
            <w:pPr>
              <w:ind w:left="200"/>
              <w:spacing w:after="0" w:line="202" w:lineRule="exact"/>
              <w:rPr>
                <w:sz w:val="20"/>
                <w:szCs w:val="20"/>
                <w:color w:val="auto"/>
              </w:rPr>
            </w:pPr>
            <w:r>
              <w:rPr>
                <w:rFonts w:ascii="Arial" w:cs="Arial" w:eastAsia="Arial" w:hAnsi="Arial"/>
                <w:sz w:val="18"/>
                <w:szCs w:val="18"/>
                <w:color w:val="auto"/>
              </w:rPr>
              <w:t xml:space="preserve">$           </w:t>
            </w:r>
          </w:p>
        </w:tc>
      </w:tr>
      <w:tr>
        <w:trPr>
          <w:trHeight w:val="203"/>
        </w:trPr>
        <w:tc>
          <w:tcPr>
            <w:tcW w:w="8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Increase per share attributable to the pro forma adjustments described above</w:t>
            </w:r>
          </w:p>
        </w:tc>
        <w:tc>
          <w:tcPr>
            <w:tcW w:w="2420" w:type="dxa"/>
            <w:vAlign w:val="bottom"/>
            <w:shd w:val="clear" w:color="auto" w:fill="CCEEFF"/>
          </w:tcPr>
          <w:p>
            <w:pPr>
              <w:spacing w:after="0"/>
              <w:rPr>
                <w:sz w:val="17"/>
                <w:szCs w:val="17"/>
                <w:color w:val="auto"/>
              </w:rPr>
            </w:pPr>
          </w:p>
        </w:tc>
      </w:tr>
      <w:tr>
        <w:trPr>
          <w:trHeight w:val="184"/>
        </w:trPr>
        <w:tc>
          <w:tcPr>
            <w:tcW w:w="8600" w:type="dxa"/>
            <w:vAlign w:val="bottom"/>
          </w:tcPr>
          <w:p>
            <w:pPr>
              <w:ind w:left="360"/>
              <w:spacing w:after="0" w:line="183" w:lineRule="exact"/>
              <w:rPr>
                <w:sz w:val="20"/>
                <w:szCs w:val="20"/>
                <w:color w:val="auto"/>
              </w:rPr>
            </w:pPr>
            <w:r>
              <w:rPr>
                <w:rFonts w:ascii="Arial" w:cs="Arial" w:eastAsia="Arial" w:hAnsi="Arial"/>
                <w:sz w:val="18"/>
                <w:szCs w:val="18"/>
                <w:color w:val="auto"/>
              </w:rPr>
              <w:t>Pro forma net tangible book value per share as of September 30, 2025, before giving effect to this</w:t>
            </w:r>
          </w:p>
        </w:tc>
        <w:tc>
          <w:tcPr>
            <w:tcW w:w="2420" w:type="dxa"/>
            <w:vAlign w:val="bottom"/>
          </w:tcPr>
          <w:p>
            <w:pPr>
              <w:spacing w:after="0"/>
              <w:rPr>
                <w:sz w:val="15"/>
                <w:szCs w:val="15"/>
                <w:color w:val="auto"/>
              </w:rPr>
            </w:pPr>
          </w:p>
        </w:tc>
      </w:tr>
      <w:tr>
        <w:trPr>
          <w:trHeight w:val="221"/>
        </w:trPr>
        <w:tc>
          <w:tcPr>
            <w:tcW w:w="8600" w:type="dxa"/>
            <w:vAlign w:val="bottom"/>
          </w:tcPr>
          <w:p>
            <w:pPr>
              <w:ind w:left="540"/>
              <w:spacing w:after="0"/>
              <w:rPr>
                <w:sz w:val="20"/>
                <w:szCs w:val="20"/>
                <w:color w:val="auto"/>
              </w:rPr>
            </w:pPr>
            <w:r>
              <w:rPr>
                <w:rFonts w:ascii="Arial" w:cs="Arial" w:eastAsia="Arial" w:hAnsi="Arial"/>
                <w:sz w:val="18"/>
                <w:szCs w:val="18"/>
                <w:color w:val="auto"/>
              </w:rPr>
              <w:t>offering</w:t>
            </w:r>
          </w:p>
        </w:tc>
        <w:tc>
          <w:tcPr>
            <w:tcW w:w="2420" w:type="dxa"/>
            <w:vAlign w:val="bottom"/>
          </w:tcPr>
          <w:p>
            <w:pPr>
              <w:spacing w:after="0"/>
              <w:rPr>
                <w:sz w:val="19"/>
                <w:szCs w:val="19"/>
                <w:color w:val="auto"/>
              </w:rPr>
            </w:pPr>
          </w:p>
        </w:tc>
      </w:tr>
      <w:tr>
        <w:trPr>
          <w:trHeight w:val="184"/>
        </w:trPr>
        <w:tc>
          <w:tcPr>
            <w:tcW w:w="8600" w:type="dxa"/>
            <w:vAlign w:val="bottom"/>
            <w:shd w:val="clear" w:color="auto" w:fill="CCEEFF"/>
          </w:tcPr>
          <w:p>
            <w:pPr>
              <w:ind w:left="360"/>
              <w:spacing w:after="0" w:line="183" w:lineRule="exact"/>
              <w:rPr>
                <w:sz w:val="20"/>
                <w:szCs w:val="20"/>
                <w:color w:val="auto"/>
              </w:rPr>
            </w:pPr>
            <w:r>
              <w:rPr>
                <w:rFonts w:ascii="Arial" w:cs="Arial" w:eastAsia="Arial" w:hAnsi="Arial"/>
                <w:sz w:val="18"/>
                <w:szCs w:val="18"/>
                <w:color w:val="auto"/>
              </w:rPr>
              <w:t>Increase in pro forma net tangible book value per share attributable to investors purchasing shares in</w:t>
            </w:r>
          </w:p>
        </w:tc>
        <w:tc>
          <w:tcPr>
            <w:tcW w:w="2420" w:type="dxa"/>
            <w:vAlign w:val="bottom"/>
            <w:shd w:val="clear" w:color="auto" w:fill="CCEEFF"/>
          </w:tcPr>
          <w:p>
            <w:pPr>
              <w:spacing w:after="0"/>
              <w:rPr>
                <w:sz w:val="15"/>
                <w:szCs w:val="15"/>
                <w:color w:val="auto"/>
              </w:rPr>
            </w:pPr>
          </w:p>
        </w:tc>
      </w:tr>
      <w:tr>
        <w:trPr>
          <w:trHeight w:val="221"/>
        </w:trPr>
        <w:tc>
          <w:tcPr>
            <w:tcW w:w="8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this offering</w:t>
            </w:r>
          </w:p>
        </w:tc>
        <w:tc>
          <w:tcPr>
            <w:tcW w:w="2420" w:type="dxa"/>
            <w:vAlign w:val="bottom"/>
            <w:shd w:val="clear" w:color="auto" w:fill="CCEEFF"/>
          </w:tcPr>
          <w:p>
            <w:pPr>
              <w:spacing w:after="0"/>
              <w:rPr>
                <w:sz w:val="19"/>
                <w:szCs w:val="19"/>
                <w:color w:val="auto"/>
              </w:rPr>
            </w:pPr>
          </w:p>
        </w:tc>
      </w:tr>
      <w:tr>
        <w:trPr>
          <w:trHeight w:val="203"/>
        </w:trPr>
        <w:tc>
          <w:tcPr>
            <w:tcW w:w="8600" w:type="dxa"/>
            <w:vAlign w:val="bottom"/>
          </w:tcPr>
          <w:p>
            <w:pPr>
              <w:spacing w:after="0" w:line="202" w:lineRule="exact"/>
              <w:rPr>
                <w:sz w:val="20"/>
                <w:szCs w:val="20"/>
                <w:color w:val="auto"/>
              </w:rPr>
            </w:pPr>
            <w:r>
              <w:rPr>
                <w:rFonts w:ascii="Arial" w:cs="Arial" w:eastAsia="Arial" w:hAnsi="Arial"/>
                <w:sz w:val="18"/>
                <w:szCs w:val="18"/>
                <w:color w:val="auto"/>
              </w:rPr>
              <w:t>Pro forma as adjusted net tangible book value per share after the closing of this offering</w:t>
            </w:r>
          </w:p>
        </w:tc>
        <w:tc>
          <w:tcPr>
            <w:tcW w:w="2420" w:type="dxa"/>
            <w:vAlign w:val="bottom"/>
          </w:tcPr>
          <w:p>
            <w:pPr>
              <w:spacing w:after="0"/>
              <w:rPr>
                <w:sz w:val="17"/>
                <w:szCs w:val="17"/>
                <w:color w:val="auto"/>
              </w:rPr>
            </w:pP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2420" w:type="dxa"/>
            <w:vAlign w:val="bottom"/>
            <w:shd w:val="clear" w:color="auto" w:fill="CCEEFF"/>
          </w:tcPr>
          <w:p>
            <w:pPr>
              <w:ind w:left="1400"/>
              <w:spacing w:after="0" w:line="202" w:lineRule="exact"/>
              <w:rPr>
                <w:sz w:val="20"/>
                <w:szCs w:val="20"/>
                <w:color w:val="auto"/>
              </w:rPr>
            </w:pPr>
            <w:r>
              <w:rPr>
                <w:rFonts w:ascii="Arial" w:cs="Arial" w:eastAsia="Arial" w:hAnsi="Arial"/>
                <w:sz w:val="18"/>
                <w:szCs w:val="18"/>
                <w:color w:val="auto"/>
              </w:rPr>
              <w:t>$</w:t>
            </w:r>
          </w:p>
        </w:tc>
      </w:tr>
      <w:tr>
        <w:trPr>
          <w:trHeight w:val="368"/>
        </w:trPr>
        <w:tc>
          <w:tcPr>
            <w:tcW w:w="8600" w:type="dxa"/>
            <w:vAlign w:val="bottom"/>
          </w:tcPr>
          <w:p>
            <w:pPr>
              <w:ind w:left="5400"/>
              <w:spacing w:after="0"/>
              <w:rPr>
                <w:sz w:val="20"/>
                <w:szCs w:val="20"/>
                <w:color w:val="auto"/>
              </w:rPr>
            </w:pPr>
            <w:r>
              <w:rPr>
                <w:rFonts w:ascii="Arial" w:cs="Arial" w:eastAsia="Arial" w:hAnsi="Arial"/>
                <w:sz w:val="18"/>
                <w:szCs w:val="18"/>
                <w:color w:val="auto"/>
              </w:rPr>
              <w:t>77</w:t>
            </w:r>
          </w:p>
        </w:tc>
        <w:tc>
          <w:tcPr>
            <w:tcW w:w="24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dilution information discussed above is illustrative only and may change based on, among other things, the actual initial public offering price and other terms of this offering, the actual tax withholding rates, as well as the actual amount of RSUs settled in connection with this offering. Each $1.00 increase (decrease) in the assumed initial public offering price of $        per share, the midpoint of the price range set forth on the cover page of this prospectus, would increase (decrease) our pro forma as adjusted net tangible book value per share after this offering by approximately $        per share, and increase (decrease) the dilution in the pro forma as adjusted net tangible book value per share to new investors by approximately $        per share, in each case, assuming that the number of shares of Class A common stock offered by us and the selling stockholders, as set forth on the cover page of this prospectus, remains the same and after deducting underwriting discounts and commissions and estimated offering expenses payable by us. Each increase (decrease) of 1.0 million shares in the number of shares of Class A common stock offered by us would increase (decrease) our pro forma as adjusted net tangible book value per share after the closing of this offering by approximately $        per share and increase (decrease) the dilution to investors participating in this offering by approximately $        per share, in each case assuming that the assumed initial public offering price remains the same, and after deducting underwriting discounts and commissions and estimated offering expenses payable by us.</w:t>
      </w:r>
    </w:p>
    <w:p>
      <w:pPr>
        <w:spacing w:after="0" w:line="365"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following table summarizes, on the pro forma as adjusted basis described above, as of September 30, 2025, the differences between the number of shares of our Class A and Class B common stock purchased from us by our existing stockholders and our Class A common stock purchased from us by new investors purchasing shares in this offering, the total consideration paid to us in cash, the average price per share paid by existing stockholders for shares of common stock issued prior to the closing of this offering, and the price to be paid by new investors for shares of Class A common stock in this offering. The calculation below is based on the assumed initial public offering estimated price of $        per share, the midpoint of the price range set forth on the cover page of the prospectus, before deducting underwriting discounts and commissions and estimated offering expenses payable by us.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2360" w:type="dxa"/>
            <w:vAlign w:val="bottom"/>
            <w:gridSpan w:val="4"/>
          </w:tcPr>
          <w:p>
            <w:pPr>
              <w:jc w:val="right"/>
              <w:ind w:right="750"/>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Pr>
          <w:p>
            <w:pPr>
              <w:spacing w:after="0"/>
              <w:rPr>
                <w:sz w:val="16"/>
                <w:szCs w:val="16"/>
                <w:color w:val="auto"/>
              </w:rPr>
            </w:pPr>
          </w:p>
        </w:tc>
        <w:tc>
          <w:tcPr>
            <w:tcW w:w="2500" w:type="dxa"/>
            <w:vAlign w:val="bottom"/>
            <w:gridSpan w:val="4"/>
          </w:tcPr>
          <w:p>
            <w:pPr>
              <w:jc w:val="right"/>
              <w:ind w:right="850"/>
              <w:spacing w:after="0"/>
              <w:rPr>
                <w:sz w:val="20"/>
                <w:szCs w:val="20"/>
                <w:color w:val="auto"/>
              </w:rPr>
            </w:pPr>
            <w:r>
              <w:rPr>
                <w:rFonts w:ascii="Arial" w:cs="Arial" w:eastAsia="Arial" w:hAnsi="Arial"/>
                <w:sz w:val="14"/>
                <w:szCs w:val="14"/>
                <w:b w:val="1"/>
                <w:bCs w:val="1"/>
                <w:color w:val="auto"/>
              </w:rPr>
              <w:t>Total Consideration</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restart"/>
          </w:tcPr>
          <w:p>
            <w:pPr>
              <w:jc w:val="center"/>
              <w:ind w:right="60"/>
              <w:spacing w:after="0" w:line="139" w:lineRule="exact"/>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92"/>
        </w:trPr>
        <w:tc>
          <w:tcPr>
            <w:tcW w:w="5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per</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1380" w:type="dxa"/>
            <w:vAlign w:val="bottom"/>
            <w:gridSpan w:val="2"/>
          </w:tcPr>
          <w:p>
            <w:pPr>
              <w:jc w:val="right"/>
              <w:ind w:right="630"/>
              <w:spacing w:after="0"/>
              <w:rPr>
                <w:sz w:val="20"/>
                <w:szCs w:val="20"/>
                <w:color w:val="auto"/>
              </w:rPr>
            </w:pPr>
            <w:r>
              <w:rPr>
                <w:rFonts w:ascii="Arial" w:cs="Arial" w:eastAsia="Arial" w:hAnsi="Arial"/>
                <w:sz w:val="14"/>
                <w:szCs w:val="14"/>
                <w:b w:val="1"/>
                <w:bCs w:val="1"/>
                <w:color w:val="auto"/>
              </w:rPr>
              <w:t>Percent</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380" w:type="dxa"/>
            <w:vAlign w:val="bottom"/>
            <w:gridSpan w:val="2"/>
          </w:tcPr>
          <w:p>
            <w:pPr>
              <w:jc w:val="right"/>
              <w:ind w:right="630"/>
              <w:spacing w:after="0"/>
              <w:rPr>
                <w:sz w:val="20"/>
                <w:szCs w:val="20"/>
                <w:color w:val="auto"/>
              </w:rPr>
            </w:pPr>
            <w:r>
              <w:rPr>
                <w:rFonts w:ascii="Arial" w:cs="Arial" w:eastAsia="Arial" w:hAnsi="Arial"/>
                <w:sz w:val="14"/>
                <w:szCs w:val="14"/>
                <w:b w:val="1"/>
                <w:bCs w:val="1"/>
                <w:color w:val="auto"/>
              </w:rPr>
              <w:t>Percent</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w:t>
            </w: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rPr>
              <w:t xml:space="preserve">           </w:t>
            </w:r>
          </w:p>
        </w:tc>
        <w:tc>
          <w:tcPr>
            <w:tcW w:w="600" w:type="dxa"/>
            <w:vAlign w:val="bottom"/>
            <w:tcBorders>
              <w:top w:val="single" w:sz="8" w:color="CCEEFF"/>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center"/>
              <w:ind w:right="2"/>
              <w:spacing w:after="0" w:line="196" w:lineRule="exact"/>
              <w:rPr>
                <w:sz w:val="20"/>
                <w:szCs w:val="20"/>
                <w:color w:val="auto"/>
              </w:rPr>
            </w:pPr>
            <w:r>
              <w:rPr>
                <w:rFonts w:ascii="Arial" w:cs="Arial" w:eastAsia="Arial" w:hAnsi="Arial"/>
                <w:sz w:val="18"/>
                <w:szCs w:val="18"/>
                <w:color w:val="auto"/>
              </w:rPr>
              <w:t xml:space="preserve">       </w:t>
            </w:r>
          </w:p>
        </w:tc>
        <w:tc>
          <w:tcPr>
            <w:tcW w:w="4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rPr>
              <w:t xml:space="preserve">           </w:t>
            </w:r>
          </w:p>
        </w:tc>
        <w:tc>
          <w:tcPr>
            <w:tcW w:w="600" w:type="dxa"/>
            <w:vAlign w:val="bottom"/>
            <w:tcBorders>
              <w:top w:val="single" w:sz="8" w:color="CCEEFF"/>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87"/>
              </w:rPr>
              <w:t>%</w:t>
            </w:r>
          </w:p>
        </w:tc>
        <w:tc>
          <w:tcPr>
            <w:tcW w:w="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gridSpan w:val="3"/>
          </w:tcPr>
          <w:p>
            <w:pPr>
              <w:spacing w:after="0" w:line="202" w:lineRule="exact"/>
              <w:rPr>
                <w:sz w:val="20"/>
                <w:szCs w:val="20"/>
                <w:color w:val="auto"/>
              </w:rPr>
            </w:pPr>
            <w:r>
              <w:rPr>
                <w:rFonts w:ascii="Arial" w:cs="Arial" w:eastAsia="Arial" w:hAnsi="Arial"/>
                <w:sz w:val="18"/>
                <w:szCs w:val="18"/>
                <w:color w:val="auto"/>
              </w:rPr>
              <w:t>New investors</w:t>
            </w: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6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100%</w:t>
            </w:r>
          </w:p>
        </w:tc>
        <w:tc>
          <w:tcPr>
            <w:tcW w:w="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Sales by the selling stockholders in this offering will cause the number of shares held by existing stockholders before this offering to be reduced to      shares, or     % of the total number of shares of our Class A common stock outstanding immediately after the closing of this offering, and will increase the number of shares held by new investors to      shares, or    % of the total number of shares of our common stock outstanding immediately after the completion of this offering.</w:t>
      </w:r>
    </w:p>
    <w:p>
      <w:pPr>
        <w:spacing w:after="0" w:line="174"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The number of shares of our Class A common stock and Class B common stock that will be outstanding after this offering is based on         shares of our Class A common stock and         shares of our Class B common stock outstanding as of September 30, 2025 after giving effect to (i) the reclassification of our outstanding common stock as Class A common stock, (ii) the Preferred Conversion,</w:t>
      </w:r>
    </w:p>
    <w:p>
      <w:pPr>
        <w:spacing w:after="0" w:line="2" w:lineRule="exact"/>
        <w:rPr>
          <w:sz w:val="20"/>
          <w:szCs w:val="20"/>
          <w:color w:val="auto"/>
        </w:rPr>
      </w:pPr>
    </w:p>
    <w:p>
      <w:pPr>
        <w:ind w:left="400" w:hanging="284"/>
        <w:spacing w:after="0"/>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Class B Stock Exchange, (iv) the RSU Net Settlement, and (v) the Warrant Exercise (each as defined below), and excludes:</w:t>
      </w:r>
    </w:p>
    <w:p>
      <w:pPr>
        <w:spacing w:after="0" w:line="99" w:lineRule="exact"/>
        <w:rPr>
          <w:rFonts w:ascii="Arial" w:cs="Arial" w:eastAsia="Arial" w:hAnsi="Arial"/>
          <w:sz w:val="18"/>
          <w:szCs w:val="18"/>
          <w:color w:val="auto"/>
        </w:rPr>
      </w:pPr>
    </w:p>
    <w:p>
      <w:pPr>
        <w:ind w:left="880" w:right="220" w:hanging="224"/>
        <w:spacing w:after="0" w:line="271" w:lineRule="auto"/>
        <w:tabs>
          <w:tab w:leader="none" w:pos="8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1,196,398 shares of Class A common stock issuable upon the exercise of stock options outstanding as of September 30, 2025 under our 2016 Plan with a weighted-average exercise price of $3.23 per share;</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5"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880" w:right="100" w:hanging="219"/>
        <w:spacing w:after="0" w:line="244" w:lineRule="auto"/>
        <w:tabs>
          <w:tab w:leader="none" w:pos="860" w:val="left"/>
        </w:tabs>
        <w:rPr>
          <w:sz w:val="20"/>
          <w:szCs w:val="20"/>
          <w:color w:val="auto"/>
        </w:rPr>
      </w:pPr>
      <w:r>
        <w:rPr>
          <w:rFonts w:ascii="Arial" w:cs="Arial" w:eastAsia="Arial" w:hAnsi="Arial"/>
          <w:sz w:val="18"/>
          <w:szCs w:val="18"/>
          <w:color w:val="auto"/>
        </w:rPr>
        <w:t>•</w:t>
        <w:tab/>
        <w:t>        shares of Class A common stock issuable upon the vesting and settlement of RSUs outstanding as of the date of this prospectus subject to service-based and liquidity event-based conditions, for which (i) the service-based condition was not satisfied as of such date and (ii) the liquidity event-based condition will be satisfied upon the effectiveness of the registration statement of which this prospectus forms a part, of which 3,708,269 shares will be exchangeable for an equal number of shares of Class B common stock at the election of our co-founders upon settlement;</w:t>
      </w:r>
    </w:p>
    <w:p>
      <w:pPr>
        <w:spacing w:after="0" w:line="82" w:lineRule="exact"/>
        <w:rPr>
          <w:sz w:val="20"/>
          <w:szCs w:val="20"/>
          <w:color w:val="auto"/>
        </w:rPr>
      </w:pPr>
    </w:p>
    <w:p>
      <w:pPr>
        <w:ind w:left="880" w:right="40" w:hanging="224"/>
        <w:spacing w:after="0" w:line="253"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1,235,991 shares of Class A common stock reserved for future issuance under our 2016 Plan as of September 30, 2025, which shares will cease to be available for issuance upon the effectiveness of the registration statement of which this prospectus forms a part;</w:t>
      </w:r>
    </w:p>
    <w:p>
      <w:pPr>
        <w:spacing w:after="0" w:line="74" w:lineRule="exact"/>
        <w:rPr>
          <w:rFonts w:ascii="Arial" w:cs="Arial" w:eastAsia="Arial" w:hAnsi="Arial"/>
          <w:sz w:val="18"/>
          <w:szCs w:val="18"/>
          <w:color w:val="auto"/>
        </w:rPr>
      </w:pPr>
    </w:p>
    <w:p>
      <w:pPr>
        <w:ind w:left="880" w:right="140" w:hanging="224"/>
        <w:spacing w:after="0" w:line="253"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548,489 shares of our Class A common stock issuable upon the exercise of outstanding warrants to purchase Class A common stock as of September 30, 2025 and not exercised prior to the effectiveness of the registration statement of which this prospectus forms a part, with a weighted-average exercise price of $12.92 per share;</w:t>
      </w:r>
    </w:p>
    <w:p>
      <w:pPr>
        <w:spacing w:after="0" w:line="74" w:lineRule="exact"/>
        <w:rPr>
          <w:sz w:val="20"/>
          <w:szCs w:val="20"/>
          <w:color w:val="auto"/>
        </w:rPr>
      </w:pPr>
    </w:p>
    <w:p>
      <w:pPr>
        <w:ind w:left="880" w:hanging="219"/>
        <w:spacing w:after="0" w:line="247" w:lineRule="auto"/>
        <w:tabs>
          <w:tab w:leader="none" w:pos="860" w:val="left"/>
        </w:tabs>
        <w:rPr>
          <w:sz w:val="20"/>
          <w:szCs w:val="20"/>
          <w:color w:val="auto"/>
        </w:rPr>
      </w:pPr>
      <w:r>
        <w:rPr>
          <w:rFonts w:ascii="Arial" w:cs="Arial" w:eastAsia="Arial" w:hAnsi="Arial"/>
          <w:sz w:val="18"/>
          <w:szCs w:val="18"/>
          <w:color w:val="auto"/>
        </w:rPr>
        <w:t>•</w:t>
        <w:tab/>
        <w:t>        shares of Class A common stock reserved for issuance under our 2026 Plan, plus any future increases in the number of shares of Class A common stock reserved for issuance thereunder, as more fully described in the section titled “Executive Compensation—Employee Benefit and Stock Plans—2026 Equity Incentive Plan,” which will become available for issuance upon the effectiveness of the registration statement of which this prospectus is a part; and</w:t>
      </w:r>
    </w:p>
    <w:p>
      <w:pPr>
        <w:spacing w:after="0" w:line="79" w:lineRule="exact"/>
        <w:rPr>
          <w:sz w:val="20"/>
          <w:szCs w:val="20"/>
          <w:color w:val="auto"/>
        </w:rPr>
      </w:pPr>
    </w:p>
    <w:p>
      <w:pPr>
        <w:ind w:left="660"/>
        <w:spacing w:after="0"/>
        <w:tabs>
          <w:tab w:leader="none" w:pos="860" w:val="left"/>
          <w:tab w:leader="none" w:pos="1620" w:val="left"/>
        </w:tabs>
        <w:rPr>
          <w:sz w:val="20"/>
          <w:szCs w:val="20"/>
          <w:color w:val="auto"/>
        </w:rPr>
      </w:pPr>
      <w:r>
        <w:rPr>
          <w:rFonts w:ascii="Arial" w:cs="Arial" w:eastAsia="Arial" w:hAnsi="Arial"/>
          <w:sz w:val="18"/>
          <w:szCs w:val="18"/>
          <w:color w:val="auto"/>
        </w:rPr>
        <w:t>•</w:t>
        <w:tab/>
        <w:t xml:space="preserve">          </w:t>
      </w:r>
      <w:r>
        <w:rPr>
          <w:sz w:val="20"/>
          <w:szCs w:val="20"/>
          <w:color w:val="auto"/>
        </w:rPr>
        <w:tab/>
      </w:r>
      <w:r>
        <w:rPr>
          <w:rFonts w:ascii="Arial" w:cs="Arial" w:eastAsia="Arial" w:hAnsi="Arial"/>
          <w:sz w:val="17"/>
          <w:szCs w:val="17"/>
          <w:color w:val="auto"/>
        </w:rPr>
        <w:t>shares of Class A common stock reserved for issuance under our 2026 ESPP, plus any future increases in the number</w:t>
      </w:r>
    </w:p>
    <w:p>
      <w:pPr>
        <w:spacing w:after="0" w:line="14" w:lineRule="exact"/>
        <w:rPr>
          <w:sz w:val="20"/>
          <w:szCs w:val="20"/>
          <w:color w:val="auto"/>
        </w:rPr>
      </w:pPr>
    </w:p>
    <w:p>
      <w:pPr>
        <w:jc w:val="both"/>
        <w:ind w:left="880" w:right="360"/>
        <w:spacing w:after="0" w:line="242" w:lineRule="auto"/>
        <w:rPr>
          <w:sz w:val="20"/>
          <w:szCs w:val="20"/>
          <w:color w:val="auto"/>
        </w:rPr>
      </w:pPr>
      <w:r>
        <w:rPr>
          <w:rFonts w:ascii="Arial" w:cs="Arial" w:eastAsia="Arial" w:hAnsi="Arial"/>
          <w:sz w:val="18"/>
          <w:szCs w:val="18"/>
          <w:color w:val="auto"/>
        </w:rPr>
        <w:t>of shares of Class A common stock reserved for issuance thereunder, as more fully described in the section titled “Executive Compensation—Employee Benefit and Stock Plans—2026 Employee Stock Purchase Plan,” which will become available for issuance upon the effectiveness of the registration statement of which this prospectus is a part.</w:t>
      </w:r>
    </w:p>
    <w:p>
      <w:pPr>
        <w:spacing w:after="0" w:line="179" w:lineRule="exact"/>
        <w:rPr>
          <w:sz w:val="20"/>
          <w:szCs w:val="20"/>
          <w:color w:val="auto"/>
        </w:rPr>
      </w:pPr>
    </w:p>
    <w:p>
      <w:pPr>
        <w:ind w:left="120" w:right="500" w:firstLine="551"/>
        <w:spacing w:after="0" w:line="271" w:lineRule="auto"/>
        <w:rPr>
          <w:sz w:val="20"/>
          <w:szCs w:val="20"/>
          <w:color w:val="auto"/>
        </w:rPr>
      </w:pPr>
      <w:r>
        <w:rPr>
          <w:rFonts w:ascii="Arial" w:cs="Arial" w:eastAsia="Arial" w:hAnsi="Arial"/>
          <w:sz w:val="18"/>
          <w:szCs w:val="18"/>
          <w:color w:val="auto"/>
        </w:rPr>
        <w:t>Our 2026 Plan and 2026 ESPP provide for annual automatic increases in the number of shares reserved thereunder. See the section titled “Executive Compensation—Employee Benefit and Stock Plans” for additional information.</w:t>
      </w:r>
    </w:p>
    <w:p>
      <w:pPr>
        <w:spacing w:after="0" w:line="15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To the extent any outstanding options are exercised, or any outstanding RSUs settle, or new stock options or RSUs are issued under our equity incentive plans, or we issue additional equity or convertible debt securities in the future, there will be further dilution to investors participating in this offering. If all outstanding options and RSUs under our 2016 Plan as of the date of this prospectus were exercised or settled, then our existing stockholders, including the holders of these securities would own approximately        % and our new investors would own approximately        % of the total number of shares of our Class A common stock and Class B common stock outstanding on the closing of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4" w:lineRule="exact"/>
        <w:rPr>
          <w:sz w:val="20"/>
          <w:szCs w:val="20"/>
          <w:color w:val="auto"/>
        </w:rPr>
      </w:pPr>
    </w:p>
    <w:p>
      <w:pPr>
        <w:ind w:left="120" w:right="160" w:firstLine="551"/>
        <w:spacing w:after="0" w:line="241"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section titled “Summary Consolidated Financial and Other Data” and the consolidated financial statements and related notes included elsewhere in this prospectus. Some of the information contained in this discussion and analysis includes forward-looking statements that involve risks and uncertainties. You should review the sections titled “Special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ind w:left="120" w:right="160" w:firstLine="551"/>
        <w:spacing w:after="0" w:line="242" w:lineRule="auto"/>
        <w:rPr>
          <w:sz w:val="20"/>
          <w:szCs w:val="20"/>
          <w:color w:val="auto"/>
        </w:rPr>
      </w:pPr>
      <w:r>
        <w:rPr>
          <w:rFonts w:ascii="Arial" w:cs="Arial" w:eastAsia="Arial" w:hAnsi="Arial"/>
          <w:sz w:val="18"/>
          <w:szCs w:val="18"/>
          <w:color w:val="auto"/>
        </w:rPr>
        <w:t>Ethos is a technology company transforming the life insurance industry. We have built a vertically integrated technology platform that makes life insurance accessible, affordable, and transparent for everyone. Since inception, we have activated over 480,000 policies, and as of September 30, 2025, we had over 10,000 active selling agents and several active carriers on our platform. Through our three-sided technology platform, we serve a growing ecosystem of consumers, agents, and carriers, each of which benefits from the scale, ease-of-use, and efficiency of our platform. This creates strong network effects that drive our continued growth. We serve the following constituents through our digital platform:</w:t>
      </w:r>
    </w:p>
    <w:p>
      <w:pPr>
        <w:spacing w:after="0" w:line="84" w:lineRule="exact"/>
        <w:rPr>
          <w:sz w:val="20"/>
          <w:szCs w:val="20"/>
          <w:color w:val="auto"/>
        </w:rPr>
      </w:pPr>
    </w:p>
    <w:p>
      <w:pPr>
        <w:ind w:left="880" w:right="20" w:hanging="224"/>
        <w:spacing w:after="0" w:line="253"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Consumers: </w:t>
      </w:r>
      <w:r>
        <w:rPr>
          <w:rFonts w:ascii="Arial" w:cs="Arial" w:eastAsia="Arial" w:hAnsi="Arial"/>
          <w:sz w:val="18"/>
          <w:szCs w:val="18"/>
          <w:color w:val="auto"/>
        </w:rPr>
        <w:t>We remove the friction from buying life insurance with a 100% digital application and underwriting process that</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transparent pricing, a few health questions driven by our proprietary underwriting engine instead of lengthy and invasive medical exams, and decisions in minutes for almost all consumers.</w:t>
      </w:r>
    </w:p>
    <w:p>
      <w:pPr>
        <w:spacing w:after="0" w:line="74" w:lineRule="exact"/>
        <w:rPr>
          <w:rFonts w:ascii="Arial" w:cs="Arial" w:eastAsia="Arial" w:hAnsi="Arial"/>
          <w:sz w:val="18"/>
          <w:szCs w:val="18"/>
          <w:color w:val="auto"/>
        </w:rPr>
      </w:pPr>
    </w:p>
    <w:p>
      <w:pPr>
        <w:ind w:left="880" w:hanging="224"/>
        <w:spacing w:after="0" w:line="261" w:lineRule="auto"/>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 xml:space="preserve">Agents: </w:t>
      </w:r>
      <w:r>
        <w:rPr>
          <w:rFonts w:ascii="Arial" w:cs="Arial" w:eastAsia="Arial" w:hAnsi="Arial"/>
          <w:sz w:val="17"/>
          <w:szCs w:val="17"/>
          <w:color w:val="auto"/>
        </w:rPr>
        <w:t>Our platform is designed to enable agents to sell more policies and get paid quickly across a broad portfolio of products.</w:t>
      </w:r>
      <w:r>
        <w:rPr>
          <w:rFonts w:ascii="Arial" w:cs="Arial" w:eastAsia="Arial" w:hAnsi="Arial"/>
          <w:sz w:val="17"/>
          <w:szCs w:val="17"/>
          <w:b w:val="1"/>
          <w:bCs w:val="1"/>
          <w:color w:val="auto"/>
        </w:rPr>
        <w:t xml:space="preserve"> </w:t>
      </w:r>
      <w:r>
        <w:rPr>
          <w:rFonts w:ascii="Arial" w:cs="Arial" w:eastAsia="Arial" w:hAnsi="Arial"/>
          <w:sz w:val="17"/>
          <w:szCs w:val="17"/>
          <w:color w:val="auto"/>
        </w:rPr>
        <w:t>We provide agents with an Agent OS that streamlines quoting, application submission, and policy management. Agents generate their own leads and refer customers to our platform, either through agent-assisted applications or dedicated microsites or links, and all Ethos policies sold through agents are ultimately activated on our platform. This reduces case management work and streamlines payments infrastructure, all of which substantially increase an agent’s time available to prospect and sell.</w:t>
      </w:r>
    </w:p>
    <w:p>
      <w:pPr>
        <w:spacing w:after="0" w:line="71" w:lineRule="exact"/>
        <w:rPr>
          <w:rFonts w:ascii="Arial" w:cs="Arial" w:eastAsia="Arial" w:hAnsi="Arial"/>
          <w:sz w:val="17"/>
          <w:szCs w:val="17"/>
          <w:color w:val="auto"/>
        </w:rPr>
      </w:pPr>
    </w:p>
    <w:p>
      <w:pPr>
        <w:ind w:left="880" w:hanging="224"/>
        <w:spacing w:after="0" w:line="253"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Carriers: </w:t>
      </w:r>
      <w:r>
        <w:rPr>
          <w:rFonts w:ascii="Arial" w:cs="Arial" w:eastAsia="Arial" w:hAnsi="Arial"/>
          <w:sz w:val="18"/>
          <w:szCs w:val="18"/>
          <w:color w:val="auto"/>
        </w:rPr>
        <w:t>We help life insurance carriers expand their consumer and agent reach in a manner designed to optimize risk selection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profitability, as carriers assume the insurance risk of the underlying policies. We do not assume balance sheet risk for the policies on our platform.</w:t>
      </w:r>
    </w:p>
    <w:p>
      <w:pPr>
        <w:spacing w:after="0" w:line="169"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Our technology platform is fully digital and vertically integrated. We simplify the insurance value chain from distribution to underwriting, activation, payments, and administration. Combining key elements of the insurance sales and administrative process into a singular platform enables us to build insurance products quickly, dynamically adjust underwriting and pricing, and rapidly iterate to deliver a delightful consumer and agent experience.</w:t>
      </w:r>
    </w:p>
    <w:p>
      <w:pPr>
        <w:spacing w:after="0" w:line="17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Our platform makes the application process faster and more accessible for consumers and agents while reducing errors, including by validating disclosures against third-party data in real-time. Our proprietary underwriting engine leverages predictive and real-time data acquired with the consent of the applicant to create a bespoke information graph that allows us to instantly assess risk and deliver quick, competitively priced policies with high approval rates. Once issued, our cloud-native policy administration system provides consumers with seamless servicing and billing. The unified, end-to-end nature of our platform enables us to collect and analyze granular data across the entire consumer and agent journey. We then identify patterns across cohorts to continuously optimize our underwriting and improve conversion and platform usability.</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technology platform is extensible, demonstrated by our ability to launch and scale new life insurance and estate planning products. This has enabled us to expand our offerings from just one product in 2019 to ten as of December 31, 2024. We have launched multiple Term Life Insurance, Whole Life Insurance, and Indexed Universal Life Insurance products, as well as Wills &amp; Estate Planning and Supplemental Health Insurance products. As a result, we have achieved significant scale with broad demographic and geographic distribution. We have activated over 480,000 policies, and these consumers come from a wide range of educational backgrounds, income levels, and ages, consistent with our mission of democratizing access to life insurance. Our technology platform continuously improves as we scale and collect data, which further refines underwriting accuracy, pricing efficiency, and our platform engagement strategy to create durable network effects.</w:t>
      </w:r>
    </w:p>
    <w:p>
      <w:pPr>
        <w:spacing w:after="0" w:line="180" w:lineRule="exact"/>
        <w:rPr>
          <w:sz w:val="20"/>
          <w:szCs w:val="20"/>
          <w:color w:val="auto"/>
        </w:rPr>
      </w:pPr>
    </w:p>
    <w:p>
      <w:pPr>
        <w:ind w:left="120" w:right="480" w:firstLine="551"/>
        <w:spacing w:after="0" w:line="271" w:lineRule="auto"/>
        <w:rPr>
          <w:sz w:val="20"/>
          <w:szCs w:val="20"/>
          <w:color w:val="auto"/>
        </w:rPr>
      </w:pPr>
      <w:r>
        <w:rPr>
          <w:rFonts w:ascii="Arial" w:cs="Arial" w:eastAsia="Arial" w:hAnsi="Arial"/>
          <w:sz w:val="18"/>
          <w:szCs w:val="18"/>
          <w:color w:val="auto"/>
        </w:rPr>
        <w:t>While we are in the early stages of capturing our market opportunity, we have made substantial progress in revolutionizing life insurance. Our key milestones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203835</wp:posOffset>
            </wp:positionV>
            <wp:extent cx="5109210" cy="24085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0921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We have balanced our portfolio with products that accommodate a broad range of applicants, spanning various ages, health classifications, and policy sizes, enabling us to serve a wide segment of the U.S. population, and others that allow us to address a variety of consumer needs. Our products also have different financial profiles, given they offer different coverage amounts and are designed to serve different user demographics across various age, health, and wealth bands. We aim to drive further growth by expanding the breadth and diversity of our product portfolio, which represents a key value proposition for both consumers and agents.</w:t>
      </w:r>
    </w:p>
    <w:p>
      <w:pPr>
        <w:spacing w:after="0" w:line="176"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Our products may be sold through our DTC or third-party channels, and we offer most of our products through both channels. Our DTC channel does not involve any third-party selling efforts, such as through agency partners. Consumers who purchase products through our DTC channel engage with our platform directly. We leverage our two channels to drive continued growth by capturing an increasingly broad set of consumer use cases and preferences. As a result, our product mix across our channels also fluctuates over time, and we expect it will continue to do so as we expand the breadth and diversity of our product portfolio to drive overall growth in activated policies.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Financial Model</w:t>
      </w:r>
    </w:p>
    <w:p>
      <w:pPr>
        <w:spacing w:after="0" w:line="102" w:lineRule="exact"/>
        <w:rPr>
          <w:sz w:val="20"/>
          <w:szCs w:val="20"/>
          <w:color w:val="auto"/>
        </w:rPr>
      </w:pPr>
    </w:p>
    <w:p>
      <w:pPr>
        <w:jc w:val="both"/>
        <w:ind w:left="120" w:right="640" w:firstLine="551"/>
        <w:spacing w:after="0" w:line="253" w:lineRule="auto"/>
        <w:rPr>
          <w:sz w:val="20"/>
          <w:szCs w:val="20"/>
          <w:color w:val="auto"/>
        </w:rPr>
      </w:pPr>
      <w:r>
        <w:rPr>
          <w:rFonts w:ascii="Arial" w:cs="Arial" w:eastAsia="Arial" w:hAnsi="Arial"/>
          <w:sz w:val="18"/>
          <w:szCs w:val="18"/>
          <w:color w:val="auto"/>
        </w:rPr>
        <w:t>We generate substantially all of our revenue from the expected lifetime commissions for activated policies. We receive such commission payments from the issuing carrier. After a policy is activated, we have no material additional or recurring performance obligations to the carrier.</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40" w:firstLine="551"/>
        <w:spacing w:after="0" w:line="266" w:lineRule="auto"/>
        <w:rPr>
          <w:sz w:val="20"/>
          <w:szCs w:val="20"/>
          <w:color w:val="auto"/>
        </w:rPr>
      </w:pPr>
      <w:r>
        <w:rPr>
          <w:rFonts w:ascii="Arial" w:cs="Arial" w:eastAsia="Arial" w:hAnsi="Arial"/>
          <w:sz w:val="17"/>
          <w:szCs w:val="17"/>
          <w:color w:val="auto"/>
        </w:rPr>
        <w:t>Our commissions for an activated policy are based on the commission rate, which is a percentage of the policy’s annual premium. Commission rates primarily vary by insurance product, policy duration, and product risk class. They are defined in our carrier contracts and reviewed by carriers on an annual basis. Commission rates have generally been stable or have increased as we have scaled, driven in part by the value we provide carriers by helping them efficiently acquire consumers, manage risk, and administer activated policies.</w:t>
      </w:r>
    </w:p>
    <w:p>
      <w:pPr>
        <w:spacing w:after="0" w:line="159"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We generally receive commissions over the life of an activated policy. Carriers pay us the majority of a policy’s lifetime commissions in the first year following activation, after which we generally receive commission payments monthly for the life of the policy. However, we recognize as revenue the expected lifetime value of commissions upfront at the time the policy is activated.</w:t>
      </w:r>
    </w:p>
    <w:p>
      <w:pPr>
        <w:spacing w:after="0" w:line="169"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adjust the amount of lifetime expected commission revenue recognized at the time of a policy’s activation using a persistency estimate, which refers to a percentage estimating the likelihood that the policy will remain active throughout its term. We derive the persistency estimate for the policy using our observed persistency data applicable to that policy as well as relevant industry persistency data. Because persistency estimates are based on observed persistency data, such estimates differ by product type and based on whether a policy is sold directly to the consumer or through our third-party channel. Persistency estimates are reviewed by our actuarial, finance, and accounting teams, as well as externally by third-party experts, including our financial auditors, and are adjusted as needed on a quarterly basis based on changes to observed persistency data and, where applicable, industry persistency data.</w:t>
      </w:r>
    </w:p>
    <w:p>
      <w:pPr>
        <w:spacing w:after="0" w:line="185"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If we adjust our persistency estimates for an activated policy during the policy term, we recognize an adjustment to revenue previously recorded for that difference. Observed persistency for policies of a particular product type changes over time as activated policies are terminated prior to the end of their terms. Policy terminations are primarily driven by either the consumer’s failure to pay or voluntary customer cancellations. From time to time, terminations may also result from findings in post-issue audits that we perform to validate digital underwriting information. Persistency has generally been stable or has improved on an individual product basis as we have enhanced our product experience and policy recommendation. However, we expect our persistency estimates to fluctuate in the future, including as we expand our product offerings, grow our carrier and agency relationships, and increase our activated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146050</wp:posOffset>
            </wp:positionV>
            <wp:extent cx="5212080" cy="27432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1208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40" w:firstLine="551"/>
        <w:spacing w:after="0" w:line="301" w:lineRule="auto"/>
        <w:rPr>
          <w:sz w:val="20"/>
          <w:szCs w:val="20"/>
          <w:color w:val="auto"/>
        </w:rPr>
      </w:pPr>
      <w:r>
        <w:rPr>
          <w:rFonts w:ascii="Arial" w:cs="Arial" w:eastAsia="Arial" w:hAnsi="Arial"/>
          <w:sz w:val="17"/>
          <w:szCs w:val="17"/>
          <w:color w:val="auto"/>
        </w:rPr>
        <w:t>For policies that are sold on our platform directly to consumers, we incur marketing as well as underwriting costs, and for policies that are sold through a third-party channel on our platform, we incur the costs of agent payments, as well as underwriting-related costs.</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GAAP Revenue vs. Cash Commissions</w:t>
      </w:r>
    </w:p>
    <w:p>
      <w:pPr>
        <w:spacing w:after="0" w:line="102"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Carriers pay us the majority of a policy’s lifetime commissions in the first year following activation, after which we generally receive commission payments monthly for the life of the policy. If a policy is terminated within the first year, all or a portion of the commission received is repaid to the carrier. This results in a difference between the timing of revenue recognition and operating cash inflows from commission payments, as illustrated in the diagram below, which is subject to change based on factors such as product mix. On average, roughly 77% of expected lifetime commissions associated with an activated policy are collected as cash during the first year following policy activation, while 89% are collected as cash by the fifth year following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180455" cy="19030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8045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We expect the percentage of lifetime commissions collected as cash in the first year following policy activation to fluctuate over time as we grow our activated policies and scale our business. See the section titled “Risk Factors—Risks Related to Our Business—We have a limited history operating our business at its current scale, scope, and complexity, which makes it difficult to plan for future operations and growth initiatives and predict future results” for a discussion of certain factors that may impact the timing of our cash flows from commissions.</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Agent Payments</w:t>
      </w:r>
    </w:p>
    <w:p>
      <w:pPr>
        <w:spacing w:after="0" w:line="102"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For a policy sold through an agent, the total agent payment is a percentage of the policy’s first year premium. We generally pay such amount the day after the policy is activated, and agents are not entitled to payments after the first year. If the policy terminates within the first year following activation, we are entitled to recover all or a portion of the total agent payment. If a policy terminates after the first year, we are generally not entitled to recover any portion of the agent payment.</w:t>
      </w:r>
    </w:p>
    <w:p>
      <w:pPr>
        <w:spacing w:after="0" w:line="17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Despite the actual timing of such agent payments, we recognize total agent payments in sales and marketing expense in the period of policy activation, net of the estimated amount that we expect to recover from agents in the first year after activation due to termination. We apply the same persistency used to recognize revenue for the policy in estimating this recovery amount. This may result in a difference between the timing of expense recognition for agent payments and the payment to or recoupment of cash associated with such agent payments. In a particular quarter during which a policy is activated, cash outflows for agent payments exceed expense recognized for those payments, since we receive any recouped cash amount of</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720"/>
        <w:spacing w:after="0" w:line="271" w:lineRule="auto"/>
        <w:rPr>
          <w:sz w:val="20"/>
          <w:szCs w:val="20"/>
          <w:color w:val="auto"/>
        </w:rPr>
      </w:pPr>
      <w:r>
        <w:rPr>
          <w:rFonts w:ascii="Arial" w:cs="Arial" w:eastAsia="Arial" w:hAnsi="Arial"/>
          <w:sz w:val="18"/>
          <w:szCs w:val="18"/>
          <w:color w:val="auto"/>
        </w:rPr>
        <w:t>agent payments on a delayed basis. In addition, as with commission revenue, we similarly recognize adjustments to our operating expenses from time to time upon adjustments to estimated persistency for policies sold through agents.</w:t>
      </w:r>
    </w:p>
    <w:p>
      <w:pPr>
        <w:spacing w:after="0" w:line="154" w:lineRule="exact"/>
        <w:rPr>
          <w:sz w:val="20"/>
          <w:szCs w:val="20"/>
          <w:color w:val="auto"/>
        </w:rPr>
      </w:pPr>
    </w:p>
    <w:p>
      <w:pPr>
        <w:jc w:val="both"/>
        <w:ind w:left="120" w:right="40" w:firstLine="551"/>
        <w:spacing w:after="0" w:line="275" w:lineRule="auto"/>
        <w:rPr>
          <w:sz w:val="20"/>
          <w:szCs w:val="20"/>
          <w:color w:val="auto"/>
        </w:rPr>
      </w:pPr>
      <w:r>
        <w:rPr>
          <w:rFonts w:ascii="Arial" w:cs="Arial" w:eastAsia="Arial" w:hAnsi="Arial"/>
          <w:sz w:val="17"/>
          <w:szCs w:val="17"/>
          <w:color w:val="auto"/>
        </w:rPr>
        <w:t>We also offer agents production-based incentives and rewards that we may elect to use from time to time, which we also recognize in sales and marketing expense. These expenses primarily relate to loyalty programs that reward agents for high volumes of business with strong persistency characteristics, agency incentive programs, and limited promotional campaigns recognizing top-performing agents.</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Business Metrics and Non-GAAP Financial Measures</w:t>
      </w:r>
    </w:p>
    <w:p>
      <w:pPr>
        <w:spacing w:after="0" w:line="104" w:lineRule="exact"/>
        <w:rPr>
          <w:sz w:val="20"/>
          <w:szCs w:val="20"/>
          <w:color w:val="auto"/>
        </w:rPr>
      </w:pPr>
    </w:p>
    <w:p>
      <w:pPr>
        <w:jc w:val="both"/>
        <w:ind w:left="120" w:right="460" w:firstLine="551"/>
        <w:spacing w:after="0" w:line="253"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business metrics and non-GAAP financial measures to help us evaluate our business, identify trends affecting our business, formulate business plans, and make strategic decisions.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28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2023</w:t>
            </w:r>
          </w:p>
        </w:tc>
        <w:tc>
          <w:tcPr>
            <w:tcW w:w="7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gridSpan w:val="2"/>
          </w:tcPr>
          <w:p>
            <w:pPr>
              <w:jc w:val="right"/>
              <w:ind w:right="108"/>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2024</w:t>
            </w:r>
          </w:p>
        </w:tc>
        <w:tc>
          <w:tcPr>
            <w:tcW w:w="1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Activated Policies</w:t>
            </w:r>
          </w:p>
        </w:tc>
        <w:tc>
          <w:tcPr>
            <w:tcW w:w="13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72</w:t>
            </w:r>
          </w:p>
        </w:tc>
        <w:tc>
          <w:tcPr>
            <w:tcW w:w="14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128</w:t>
            </w: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89</w:t>
            </w:r>
          </w:p>
        </w:tc>
        <w:tc>
          <w:tcPr>
            <w:tcW w:w="17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3"/>
              </w:rPr>
              <w:t>144</w:t>
            </w:r>
          </w:p>
        </w:tc>
        <w:tc>
          <w:tcPr>
            <w:tcW w:w="0" w:type="dxa"/>
            <w:vAlign w:val="bottom"/>
          </w:tcPr>
          <w:p>
            <w:pPr>
              <w:spacing w:after="0"/>
              <w:rPr>
                <w:sz w:val="1"/>
                <w:szCs w:val="1"/>
                <w:color w:val="auto"/>
              </w:rPr>
            </w:pPr>
          </w:p>
        </w:tc>
      </w:tr>
      <w:tr>
        <w:trPr>
          <w:trHeight w:val="239"/>
        </w:trPr>
        <w:tc>
          <w:tcPr>
            <w:tcW w:w="4000" w:type="dxa"/>
            <w:vAlign w:val="bottom"/>
          </w:tcPr>
          <w:p>
            <w:pPr>
              <w:spacing w:after="0"/>
              <w:rPr>
                <w:sz w:val="20"/>
                <w:szCs w:val="20"/>
                <w:color w:val="auto"/>
              </w:rPr>
            </w:pPr>
            <w:r>
              <w:rPr>
                <w:rFonts w:ascii="Arial" w:cs="Arial" w:eastAsia="Arial" w:hAnsi="Arial"/>
                <w:sz w:val="18"/>
                <w:szCs w:val="18"/>
                <w:color w:val="auto"/>
              </w:rPr>
              <w:t>Average Revenue Per Unit</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   2.2</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    2.0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5"/>
              <w:spacing w:after="0"/>
              <w:rPr>
                <w:sz w:val="20"/>
                <w:szCs w:val="20"/>
                <w:color w:val="auto"/>
              </w:rPr>
            </w:pPr>
            <w:r>
              <w:rPr>
                <w:rFonts w:ascii="Arial" w:cs="Arial" w:eastAsia="Arial" w:hAnsi="Arial"/>
                <w:sz w:val="18"/>
                <w:szCs w:val="18"/>
                <w:color w:val="auto"/>
              </w:rPr>
              <w:t>2.1</w:t>
            </w:r>
          </w:p>
        </w:tc>
        <w:tc>
          <w:tcPr>
            <w:tcW w:w="1740" w:type="dxa"/>
            <w:vAlign w:val="bottom"/>
          </w:tcPr>
          <w:p>
            <w:pPr>
              <w:jc w:val="right"/>
              <w:ind w:right="444"/>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504"/>
        </w:trPr>
        <w:tc>
          <w:tcPr>
            <w:tcW w:w="4000" w:type="dxa"/>
            <w:vAlign w:val="bottom"/>
          </w:tcPr>
          <w:p>
            <w:pPr>
              <w:spacing w:after="0"/>
              <w:rPr>
                <w:sz w:val="24"/>
                <w:szCs w:val="24"/>
                <w:color w:val="auto"/>
              </w:rPr>
            </w:pPr>
          </w:p>
        </w:tc>
        <w:tc>
          <w:tcPr>
            <w:tcW w:w="28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2023</w:t>
            </w:r>
          </w:p>
        </w:tc>
        <w:tc>
          <w:tcPr>
            <w:tcW w:w="7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2024</w:t>
            </w:r>
          </w:p>
        </w:tc>
        <w:tc>
          <w:tcPr>
            <w:tcW w:w="1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900" w:type="dxa"/>
            <w:vAlign w:val="bottom"/>
            <w:gridSpan w:val="5"/>
            <w:vMerge w:val="restart"/>
          </w:tcPr>
          <w:p>
            <w:pPr>
              <w:jc w:val="center"/>
              <w:ind w:left="88"/>
              <w:spacing w:after="0"/>
              <w:rPr>
                <w:sz w:val="20"/>
                <w:szCs w:val="20"/>
                <w:color w:val="auto"/>
              </w:rPr>
            </w:pPr>
            <w:r>
              <w:rPr>
                <w:rFonts w:ascii="Arial" w:cs="Arial" w:eastAsia="Arial" w:hAnsi="Arial"/>
                <w:sz w:val="14"/>
                <w:szCs w:val="14"/>
                <w:b w:val="1"/>
                <w:bCs w:val="1"/>
                <w:color w:val="auto"/>
              </w:rPr>
              <w:t>(in millions, except percentages)</w:t>
            </w:r>
          </w:p>
        </w:tc>
        <w:tc>
          <w:tcPr>
            <w:tcW w:w="1740" w:type="dxa"/>
            <w:vAlign w:val="bottom"/>
          </w:tcPr>
          <w:p>
            <w:pPr>
              <w:jc w:val="center"/>
              <w:ind w:right="764"/>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900" w:type="dxa"/>
            <w:vAlign w:val="bottom"/>
            <w:gridSpan w:val="5"/>
            <w:vMerge w:val="continue"/>
          </w:tcPr>
          <w:p>
            <w:pPr>
              <w:spacing w:after="0"/>
              <w:rPr>
                <w:sz w:val="11"/>
                <w:szCs w:val="11"/>
                <w:color w:val="auto"/>
              </w:rPr>
            </w:pPr>
          </w:p>
        </w:tc>
        <w:tc>
          <w:tcPr>
            <w:tcW w:w="1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3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154</w:t>
            </w:r>
          </w:p>
        </w:tc>
        <w:tc>
          <w:tcPr>
            <w:tcW w:w="14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248</w:t>
            </w: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183</w:t>
            </w:r>
          </w:p>
        </w:tc>
        <w:tc>
          <w:tcPr>
            <w:tcW w:w="17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3"/>
              </w:rPr>
              <w:t>273</w:t>
            </w:r>
          </w:p>
        </w:tc>
        <w:tc>
          <w:tcPr>
            <w:tcW w:w="0" w:type="dxa"/>
            <w:vAlign w:val="bottom"/>
          </w:tcPr>
          <w:p>
            <w:pPr>
              <w:spacing w:after="0"/>
              <w:rPr>
                <w:sz w:val="1"/>
                <w:szCs w:val="1"/>
                <w:color w:val="auto"/>
              </w:rPr>
            </w:pPr>
          </w:p>
        </w:tc>
      </w:tr>
      <w:tr>
        <w:trPr>
          <w:trHeight w:val="203"/>
        </w:trPr>
        <w:tc>
          <w:tcPr>
            <w:tcW w:w="400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Gross Margin</w:t>
            </w:r>
          </w:p>
        </w:tc>
        <w:tc>
          <w:tcPr>
            <w:tcW w:w="1340" w:type="dxa"/>
            <w:vAlign w:val="bottom"/>
            <w:gridSpan w:val="2"/>
          </w:tcPr>
          <w:p>
            <w:pPr>
              <w:jc w:val="right"/>
              <w:ind w:right="540"/>
              <w:spacing w:after="0" w:line="202" w:lineRule="exact"/>
              <w:rPr>
                <w:sz w:val="20"/>
                <w:szCs w:val="20"/>
                <w:color w:val="auto"/>
              </w:rPr>
            </w:pPr>
            <w:r>
              <w:rPr>
                <w:rFonts w:ascii="Arial" w:cs="Arial" w:eastAsia="Arial" w:hAnsi="Arial"/>
                <w:sz w:val="18"/>
                <w:szCs w:val="18"/>
                <w:i w:val="1"/>
                <w:iCs w:val="1"/>
                <w:color w:val="auto"/>
              </w:rPr>
              <w:t>96%</w:t>
            </w:r>
          </w:p>
        </w:tc>
        <w:tc>
          <w:tcPr>
            <w:tcW w:w="1460" w:type="dxa"/>
            <w:vAlign w:val="bottom"/>
            <w:gridSpan w:val="3"/>
          </w:tcPr>
          <w:p>
            <w:pPr>
              <w:jc w:val="right"/>
              <w:ind w:right="80"/>
              <w:spacing w:after="0" w:line="202" w:lineRule="exact"/>
              <w:rPr>
                <w:sz w:val="20"/>
                <w:szCs w:val="20"/>
                <w:color w:val="auto"/>
              </w:rPr>
            </w:pPr>
            <w:r>
              <w:rPr>
                <w:rFonts w:ascii="Arial" w:cs="Arial" w:eastAsia="Arial" w:hAnsi="Arial"/>
                <w:sz w:val="18"/>
                <w:szCs w:val="18"/>
                <w:i w:val="1"/>
                <w:iCs w:val="1"/>
                <w:color w:val="auto"/>
              </w:rPr>
              <w:t>97%</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97%</w:t>
            </w:r>
          </w:p>
        </w:tc>
        <w:tc>
          <w:tcPr>
            <w:tcW w:w="174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i w:val="1"/>
                <w:iCs w:val="1"/>
                <w:color w:val="auto"/>
              </w:rPr>
              <w:t>98%</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Contribution Profit</w:t>
            </w:r>
            <w:r>
              <w:rPr>
                <w:rFonts w:ascii="Arial" w:cs="Arial" w:eastAsia="Arial" w:hAnsi="Arial"/>
                <w:sz w:val="23"/>
                <w:szCs w:val="23"/>
                <w:color w:val="auto"/>
                <w:vertAlign w:val="superscript"/>
              </w:rPr>
              <w:t>(1)</w:t>
            </w:r>
          </w:p>
        </w:tc>
        <w:tc>
          <w:tcPr>
            <w:tcW w:w="13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51</w:t>
            </w:r>
          </w:p>
        </w:tc>
        <w:tc>
          <w:tcPr>
            <w:tcW w:w="14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105</w:t>
            </w: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76</w:t>
            </w:r>
          </w:p>
        </w:tc>
        <w:tc>
          <w:tcPr>
            <w:tcW w:w="17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3"/>
              </w:rPr>
              <w:t>115</w:t>
            </w:r>
          </w:p>
        </w:tc>
        <w:tc>
          <w:tcPr>
            <w:tcW w:w="0" w:type="dxa"/>
            <w:vAlign w:val="bottom"/>
          </w:tcPr>
          <w:p>
            <w:pPr>
              <w:spacing w:after="0"/>
              <w:rPr>
                <w:sz w:val="1"/>
                <w:szCs w:val="1"/>
                <w:color w:val="auto"/>
              </w:rPr>
            </w:pPr>
          </w:p>
        </w:tc>
      </w:tr>
      <w:tr>
        <w:trPr>
          <w:trHeight w:val="203"/>
        </w:trPr>
        <w:tc>
          <w:tcPr>
            <w:tcW w:w="400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Contribution Margin</w:t>
            </w:r>
            <w:r>
              <w:rPr>
                <w:rFonts w:ascii="Arial" w:cs="Arial" w:eastAsia="Arial" w:hAnsi="Arial"/>
                <w:sz w:val="18"/>
                <w:szCs w:val="18"/>
                <w:color w:val="auto"/>
                <w:vertAlign w:val="superscript"/>
              </w:rPr>
              <w:t>(1)</w:t>
            </w:r>
          </w:p>
        </w:tc>
        <w:tc>
          <w:tcPr>
            <w:tcW w:w="1340" w:type="dxa"/>
            <w:vAlign w:val="bottom"/>
            <w:gridSpan w:val="2"/>
          </w:tcPr>
          <w:p>
            <w:pPr>
              <w:jc w:val="right"/>
              <w:ind w:right="540"/>
              <w:spacing w:after="0" w:line="202" w:lineRule="exact"/>
              <w:rPr>
                <w:sz w:val="20"/>
                <w:szCs w:val="20"/>
                <w:color w:val="auto"/>
              </w:rPr>
            </w:pPr>
            <w:r>
              <w:rPr>
                <w:rFonts w:ascii="Arial" w:cs="Arial" w:eastAsia="Arial" w:hAnsi="Arial"/>
                <w:sz w:val="18"/>
                <w:szCs w:val="18"/>
                <w:i w:val="1"/>
                <w:iCs w:val="1"/>
                <w:color w:val="auto"/>
              </w:rPr>
              <w:t>32%</w:t>
            </w:r>
          </w:p>
        </w:tc>
        <w:tc>
          <w:tcPr>
            <w:tcW w:w="1460" w:type="dxa"/>
            <w:vAlign w:val="bottom"/>
            <w:gridSpan w:val="3"/>
          </w:tcPr>
          <w:p>
            <w:pPr>
              <w:jc w:val="right"/>
              <w:ind w:right="80"/>
              <w:spacing w:after="0" w:line="202" w:lineRule="exact"/>
              <w:rPr>
                <w:sz w:val="20"/>
                <w:szCs w:val="20"/>
                <w:color w:val="auto"/>
              </w:rPr>
            </w:pPr>
            <w:r>
              <w:rPr>
                <w:rFonts w:ascii="Arial" w:cs="Arial" w:eastAsia="Arial" w:hAnsi="Arial"/>
                <w:sz w:val="18"/>
                <w:szCs w:val="18"/>
                <w:i w:val="1"/>
                <w:iCs w:val="1"/>
                <w:color w:val="auto"/>
              </w:rPr>
              <w:t>41%</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40%</w:t>
            </w:r>
          </w:p>
        </w:tc>
        <w:tc>
          <w:tcPr>
            <w:tcW w:w="174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i w:val="1"/>
                <w:iCs w:val="1"/>
                <w:color w:val="auto"/>
              </w:rPr>
              <w:t>41%</w:t>
            </w: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2</w:t>
            </w:r>
          </w:p>
        </w:tc>
        <w:tc>
          <w:tcPr>
            <w:tcW w:w="14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49</w:t>
            </w: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39</w:t>
            </w:r>
          </w:p>
        </w:tc>
        <w:tc>
          <w:tcPr>
            <w:tcW w:w="17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400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Net Income Margin</w:t>
            </w:r>
          </w:p>
        </w:tc>
        <w:tc>
          <w:tcPr>
            <w:tcW w:w="1340" w:type="dxa"/>
            <w:vAlign w:val="bottom"/>
            <w:gridSpan w:val="2"/>
          </w:tcPr>
          <w:p>
            <w:pPr>
              <w:jc w:val="right"/>
              <w:ind w:right="540"/>
              <w:spacing w:after="0" w:line="202" w:lineRule="exact"/>
              <w:rPr>
                <w:sz w:val="20"/>
                <w:szCs w:val="20"/>
                <w:color w:val="auto"/>
              </w:rPr>
            </w:pPr>
            <w:r>
              <w:rPr>
                <w:rFonts w:ascii="Arial" w:cs="Arial" w:eastAsia="Arial" w:hAnsi="Arial"/>
                <w:sz w:val="18"/>
                <w:szCs w:val="18"/>
                <w:i w:val="1"/>
                <w:iCs w:val="1"/>
                <w:color w:val="auto"/>
              </w:rPr>
              <w:t>1%</w:t>
            </w:r>
          </w:p>
        </w:tc>
        <w:tc>
          <w:tcPr>
            <w:tcW w:w="1460" w:type="dxa"/>
            <w:vAlign w:val="bottom"/>
            <w:gridSpan w:val="3"/>
          </w:tcPr>
          <w:p>
            <w:pPr>
              <w:jc w:val="right"/>
              <w:ind w:right="80"/>
              <w:spacing w:after="0" w:line="202" w:lineRule="exact"/>
              <w:rPr>
                <w:sz w:val="20"/>
                <w:szCs w:val="20"/>
                <w:color w:val="auto"/>
              </w:rPr>
            </w:pPr>
            <w:r>
              <w:rPr>
                <w:rFonts w:ascii="Arial" w:cs="Arial" w:eastAsia="Arial" w:hAnsi="Arial"/>
                <w:sz w:val="18"/>
                <w:szCs w:val="18"/>
                <w:i w:val="1"/>
                <w:iCs w:val="1"/>
                <w:color w:val="auto"/>
              </w:rPr>
              <w:t>19%</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21%</w:t>
            </w:r>
          </w:p>
        </w:tc>
        <w:tc>
          <w:tcPr>
            <w:tcW w:w="174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i w:val="1"/>
                <w:iCs w:val="1"/>
                <w:color w:val="auto"/>
              </w:rPr>
              <w:t>17%</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Adjusted EBITDA</w:t>
            </w:r>
            <w:r>
              <w:rPr>
                <w:rFonts w:ascii="Arial" w:cs="Arial" w:eastAsia="Arial" w:hAnsi="Arial"/>
                <w:sz w:val="23"/>
                <w:szCs w:val="23"/>
                <w:color w:val="auto"/>
                <w:vertAlign w:val="superscript"/>
              </w:rPr>
              <w:t>(1)</w:t>
            </w:r>
          </w:p>
        </w:tc>
        <w:tc>
          <w:tcPr>
            <w:tcW w:w="13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7</w:t>
            </w:r>
          </w:p>
        </w:tc>
        <w:tc>
          <w:tcPr>
            <w:tcW w:w="14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58</w:t>
            </w: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43</w:t>
            </w:r>
          </w:p>
        </w:tc>
        <w:tc>
          <w:tcPr>
            <w:tcW w:w="17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8"/>
                <w:szCs w:val="18"/>
                <w:i w:val="1"/>
                <w:iCs w:val="1"/>
                <w:color w:val="auto"/>
              </w:rPr>
              <w:t>Adjusted EBITDA Margin</w:t>
            </w:r>
            <w:r>
              <w:rPr>
                <w:rFonts w:ascii="Arial" w:cs="Arial" w:eastAsia="Arial" w:hAnsi="Arial"/>
                <w:sz w:val="18"/>
                <w:szCs w:val="18"/>
                <w:color w:val="auto"/>
                <w:vertAlign w:val="superscript"/>
              </w:rPr>
              <w:t>(1)</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i w:val="1"/>
                <w:iCs w:val="1"/>
                <w:color w:val="auto"/>
              </w:rPr>
              <w:t>4%</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23%</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23%</w:t>
            </w:r>
          </w:p>
        </w:tc>
        <w:tc>
          <w:tcPr>
            <w:tcW w:w="174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64135</wp:posOffset>
            </wp:positionV>
            <wp:extent cx="7715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6" w:lineRule="exact"/>
        <w:rPr>
          <w:sz w:val="20"/>
          <w:szCs w:val="20"/>
          <w:color w:val="auto"/>
        </w:rPr>
      </w:pPr>
    </w:p>
    <w:p>
      <w:pPr>
        <w:ind w:left="660" w:right="200" w:hanging="544"/>
        <w:spacing w:after="0" w:line="24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Contribution Profit, Contribution Margin, Adjusted EBITDA and Adjusted EBITDA Margin are not calculated in accordance with GAAP. See below for more information regarding our use of Contribution Profit, Contribution Margin, Adjusted EBITDA and Adjusted EBITDA Margin and a reconciliation of Contribution Profit to Gross Profit, Contribution Margin to Gross Margin, Adjusted EBITDA to Net Income, and Adjusted EBITDA Margin to Net Income Margin, the most directly comparable financial measures calculated in accordance with GAAP.</w:t>
      </w:r>
    </w:p>
    <w:p>
      <w:pPr>
        <w:spacing w:after="0" w:line="176" w:lineRule="exact"/>
        <w:rPr>
          <w:sz w:val="20"/>
          <w:szCs w:val="20"/>
          <w:color w:val="auto"/>
        </w:rPr>
      </w:pPr>
    </w:p>
    <w:p>
      <w:pPr>
        <w:ind w:left="120" w:right="320" w:firstLine="551"/>
        <w:spacing w:after="0" w:line="253" w:lineRule="auto"/>
        <w:rPr>
          <w:sz w:val="20"/>
          <w:szCs w:val="20"/>
          <w:color w:val="auto"/>
        </w:rPr>
      </w:pPr>
      <w:r>
        <w:rPr>
          <w:rFonts w:ascii="Arial" w:cs="Arial" w:eastAsia="Arial" w:hAnsi="Arial"/>
          <w:sz w:val="18"/>
          <w:szCs w:val="18"/>
          <w:b w:val="1"/>
          <w:bCs w:val="1"/>
          <w:i w:val="1"/>
          <w:iCs w:val="1"/>
          <w:color w:val="auto"/>
        </w:rPr>
        <w:t xml:space="preserve">Activated Policies. </w:t>
      </w:r>
      <w:r>
        <w:rPr>
          <w:rFonts w:ascii="Arial" w:cs="Arial" w:eastAsia="Arial" w:hAnsi="Arial"/>
          <w:sz w:val="18"/>
          <w:szCs w:val="18"/>
          <w:color w:val="auto"/>
        </w:rPr>
        <w:t>We define activated policies as the number of policies issued on our platform over a given period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measurement. Activated policies have increased over time as we have expanded our DTC and third-party channels and added product offerings with existing and new carriers.</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The total number of activated policies in the year ended December 31, 2024 was 127,623, a 77% increase compared to the same period in 2023. The total number of activated policies in the year ended December 31, 2023 was 72,018. The total number of activated policies in the nine months ended September 30, 2025 was 143,625, a 61% increase compared to the same period in 2024. The total number of activated policies in the nine months ended September 30, 2024 was 89,108.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5186045" cy="22199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8604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b w:val="1"/>
          <w:bCs w:val="1"/>
          <w:i w:val="1"/>
          <w:iCs w:val="1"/>
          <w:color w:val="auto"/>
        </w:rPr>
        <w:t xml:space="preserve">Average Revenue Per Unit. </w:t>
      </w:r>
      <w:r>
        <w:rPr>
          <w:rFonts w:ascii="Arial" w:cs="Arial" w:eastAsia="Arial" w:hAnsi="Arial"/>
          <w:sz w:val="18"/>
          <w:szCs w:val="18"/>
          <w:color w:val="auto"/>
        </w:rPr>
        <w:t>We define average revenue per unit, or ARPU, as our total GAAP revenue for a given period, divided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total number of activated policies during the period.</w:t>
      </w:r>
    </w:p>
    <w:p>
      <w:pPr>
        <w:spacing w:after="0" w:line="154"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ARPU varies by channel, and relatedly by product, due to differences in premium amounts, negotiated commission rates, and persistency estimates. Premiums are influenced by factors such as coverage amount, policy duration, and risk level, all of which differ by product. Our third-party channel historically has a higher mix of our Whole Life insurance products, which typically have lower ARPU due to lower coverage amounts and commission rates. While ARPU fluctuates by channel and by product, we use total ARPU to evaluate our performance across channels and our overall growth.</w:t>
      </w:r>
    </w:p>
    <w:p>
      <w:pPr>
        <w:spacing w:after="0" w:line="176"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The DTC channel generated revenue of $119 million and $174 million, accounting for 75% and 68% of our total revenue for the years ended December 31, 2023 and 2024, respectively. The third-party channel generated revenue of $41 million and $81 million, accounting for 25% and 32% of our total revenue for the years ended December 31, 2023 and 2024, respectively. The DTC channel generated revenue of $135 million and $168 million, accounting for 72% and 61% of our total revenue for the nine months ended September 30, 2024 and 2025, respectively. The third-party channel generated revenue of $53 million and $109 million, accounting for 28% and 39% of our total revenue for the nine months ended September 30, 2024 and 2025, respectively. For additional information on revenue, see Note 3 to our audited consolidated financial statements included elsewhere in this prospectus.</w:t>
      </w:r>
    </w:p>
    <w:p>
      <w:pPr>
        <w:spacing w:after="0" w:line="185"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ARPU for the DTC channel increased by 3% in 2024 compared to 2023, while ARPU for the third-party channel decreased by 14% over the same period. ARPU for the DTC channel increased by 7% in the nine months ended September 30, 2025 compared to the nine months ended September 30, 2024, while ARPU for the third-party channel decreased by 4% over the same period. ARPU for the third-party channel accounted for a higher portion of total ARPU over these periods as we continued the scaling of our third-party channel and due to the third-party channel’s increasing contribution to overall revenue over these periods compared to the DTC channel.</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40"/>
          </w:cols>
          <w:pgMar w:left="320" w:top="455" w:right="5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60" w:firstLine="551"/>
        <w:spacing w:after="0" w:line="271" w:lineRule="auto"/>
        <w:rPr>
          <w:sz w:val="20"/>
          <w:szCs w:val="20"/>
          <w:color w:val="auto"/>
        </w:rPr>
      </w:pPr>
      <w:r>
        <w:rPr>
          <w:rFonts w:ascii="Arial" w:cs="Arial" w:eastAsia="Arial" w:hAnsi="Arial"/>
          <w:sz w:val="18"/>
          <w:szCs w:val="18"/>
          <w:color w:val="auto"/>
        </w:rPr>
        <w:t>ARPU in the year ended December 31, 2024 was $1,997, compared to $2,218 in the prior year. ARPU in the nine months ended September 30, 2025 was $1,932, compared to $2,114 in the prior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5186045" cy="22199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8604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b w:val="1"/>
          <w:bCs w:val="1"/>
          <w:i w:val="1"/>
          <w:iCs w:val="1"/>
          <w:color w:val="auto"/>
        </w:rPr>
        <w:t xml:space="preserve">Contribution Profit. </w:t>
      </w:r>
      <w:r>
        <w:rPr>
          <w:rFonts w:ascii="Arial" w:cs="Arial" w:eastAsia="Arial" w:hAnsi="Arial"/>
          <w:sz w:val="18"/>
          <w:szCs w:val="18"/>
          <w:color w:val="auto"/>
        </w:rPr>
        <w:t>We define Contribution Profit as our gross profit less sales and marketing expense, which includes agent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and underwriting costs for non-activated policies, plus stock-based compensation related to our employees and overhead costs allocated to sales and marketing expense. Gross profit is defined as revenue less cost of revenue. Cost of revenue primarily consists of underwriting costs associated with activated policies. Overhead costs allocated to sales and marketing expense include professional fees, technology expenses, and other related costs. Contribution Margin is calculated by dividing Contribution Profit for a period by revenue for the same period.</w:t>
      </w:r>
    </w:p>
    <w:p>
      <w:pPr>
        <w:spacing w:after="0" w:line="179"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Contribution Profit is primarily impacted by revenue as well as marketing costs, which consists of advertising spend on our website and agent payments for policies sold through our third-party channel. Both ARPU and marketing costs are impacted by changes in product and distribution channel mix. As a result, we expect Contribution Profit and Contribution Margin to fluctuate over time as we expand our product offerings and experience changes in distribution channel mix across periods.</w:t>
      </w:r>
    </w:p>
    <w:p>
      <w:pPr>
        <w:spacing w:after="0" w:line="174"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Contribution Profit increased from $51 million to $105 million from 2023 to 2024, representing a Contribution Margin improvement from 32% to 41%. Contribution Profit increased from $ 76 million to $115 million from the nine months ended September 30, 2024 to 2025, representing a Contribution Margin improvement from 40% to 41%. The increase in Contribution Profit and Contribution Margin from 2023 to 2024, and from the nine months ended September 30, 2024 to the same period in 2025, was primarily due to higher revenue and gross profit as a percentage of revenue.</w:t>
      </w:r>
    </w:p>
    <w:p>
      <w:pPr>
        <w:spacing w:after="0" w:line="176"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Within sales and marketing expense, agent payments increased by 120%, or from $25.1 million in 2023 to $55.1 million in 2024, resulting in agent payments as a percentage of third-party revenue increasing by six percentage points, from 62% in 2023 to 68% in 2024. Advertising expenses increased by only 13%, or from $55.9 million in 2023 to $63.4 million in 2024. As a result, advertising expense as a percentage of DTC revenue decreased by 11 percentage points, from 47% in 2023 to 36% in 2024, contributing to lower overall sales and marketing expense as a percentage of revenue in 2024 compared to 2023 and improvements in Contribution Margin.</w:t>
      </w:r>
    </w:p>
    <w:p>
      <w:pPr>
        <w:spacing w:after="0" w:line="176" w:lineRule="exact"/>
        <w:rPr>
          <w:sz w:val="20"/>
          <w:szCs w:val="20"/>
          <w:color w:val="auto"/>
        </w:rPr>
      </w:pPr>
    </w:p>
    <w:p>
      <w:pPr>
        <w:ind w:left="120" w:right="200" w:firstLine="551"/>
        <w:spacing w:after="0" w:line="253" w:lineRule="auto"/>
        <w:rPr>
          <w:sz w:val="20"/>
          <w:szCs w:val="20"/>
          <w:color w:val="auto"/>
        </w:rPr>
      </w:pPr>
      <w:r>
        <w:rPr>
          <w:rFonts w:ascii="Arial" w:cs="Arial" w:eastAsia="Arial" w:hAnsi="Arial"/>
          <w:sz w:val="18"/>
          <w:szCs w:val="18"/>
          <w:color w:val="auto"/>
        </w:rPr>
        <w:t>Agent payments increased by 69%, or from $37.3 million for the nine months ended September 30, 2024 to $63.1 million for the same period in 2025, resulting in agent payments as a percentage of third-party revenue decreasing by 13 percentage points, from 70% for the nine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months ended September 30, 2024 to 58% for the same period in 2025. Advertising expenses increased by 43%, or from $48.6 million for the nine months ended September 30, 2024 to $69.5 million for the same period in 2025, resulting in advertising expenses as a percentage of DTC revenue increasing by 5%, from 36% for the nine months ended September 30, 2024 to 41% for the same period in 2025. For the nine months ended September 30, 2025, the decrease in agent payments as a percentage of third-party revenue along with the higher contribution of third-party revenue to total revenue resulted in overall improvements in Contribution Margin compared with the nine months ended September 30, 2024.</w:t>
      </w:r>
    </w:p>
    <w:p>
      <w:pPr>
        <w:spacing w:after="0" w:line="179" w:lineRule="exact"/>
        <w:rPr>
          <w:sz w:val="20"/>
          <w:szCs w:val="20"/>
          <w:color w:val="auto"/>
        </w:rPr>
      </w:pPr>
    </w:p>
    <w:p>
      <w:pPr>
        <w:ind w:left="120" w:right="360" w:firstLine="551"/>
        <w:spacing w:after="0" w:line="271" w:lineRule="auto"/>
        <w:rPr>
          <w:sz w:val="20"/>
          <w:szCs w:val="20"/>
          <w:color w:val="auto"/>
        </w:rPr>
      </w:pPr>
      <w:r>
        <w:rPr>
          <w:rFonts w:ascii="Arial" w:cs="Arial" w:eastAsia="Arial" w:hAnsi="Arial"/>
          <w:sz w:val="18"/>
          <w:szCs w:val="18"/>
          <w:color w:val="auto"/>
        </w:rPr>
        <w:t>We expect Contribution Profit and Contribution Margin to fluctuate in the near term as we continue to invest in the growth of our business, and improve over the long term as we achieve greater scale and drive efficiency through operational improvements.</w:t>
      </w:r>
    </w:p>
    <w:p>
      <w:pPr>
        <w:spacing w:after="0" w:line="154"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We use Contribution Profit and Contribution Margin to evaluate our operating performance. We believe that Contribution Profit and Contribution Margin provide useful information to investors about our business and financial performance because they offer insight into how efficiently we activate new policies and ultimately revenue by accounting for the direct expenses associated with those activated policies.</w:t>
      </w:r>
    </w:p>
    <w:p>
      <w:pPr>
        <w:spacing w:after="0" w:line="174" w:lineRule="exact"/>
        <w:rPr>
          <w:sz w:val="20"/>
          <w:szCs w:val="20"/>
          <w:color w:val="auto"/>
        </w:rPr>
      </w:pPr>
    </w:p>
    <w:p>
      <w:pPr>
        <w:ind w:left="120" w:right="40" w:firstLine="551"/>
        <w:spacing w:after="0" w:line="257" w:lineRule="auto"/>
        <w:rPr>
          <w:sz w:val="20"/>
          <w:szCs w:val="20"/>
          <w:color w:val="auto"/>
        </w:rPr>
      </w:pPr>
      <w:r>
        <w:rPr>
          <w:rFonts w:ascii="Arial" w:cs="Arial" w:eastAsia="Arial" w:hAnsi="Arial"/>
          <w:sz w:val="17"/>
          <w:szCs w:val="17"/>
          <w:color w:val="auto"/>
        </w:rPr>
        <w:t>Contribution Profit and Contribution Margin should not be considered as alternatives to gross profit and gross margin, or any other measure of financial performance calculated and presented in accordance with GAAP. There are a number of limitations related to the use of Contribution Profit and Contribution Margin rather than gross profit and gross margin, which are the most directly comparable GAAP measures. They do not reflect our financial results in accordance with GAAP as they do not include the impact of certain expenses that are reflected in our consolidated statements of operations. In addition, other companies, including companies in our industry, may calculate Contribution Profit differently, which reduces its usefulness as a comparative measure. For these reasons, our Contribution Profit and Contribution Margin should be considered alongside, not as substitutes for or in isolation from, GAAP-based financial measures.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gross profit to Contribution Profit: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2023</w:t>
            </w:r>
          </w:p>
        </w:tc>
        <w:tc>
          <w:tcPr>
            <w:tcW w:w="11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r>
      <w:tr>
        <w:trPr>
          <w:trHeight w:val="156"/>
        </w:trPr>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208"/>
              <w:spacing w:after="0" w:line="155" w:lineRule="exact"/>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2"/>
        </w:trPr>
        <w:tc>
          <w:tcPr>
            <w:tcW w:w="4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120"/>
              <w:spacing w:after="0" w:line="202" w:lineRule="exact"/>
              <w:rPr>
                <w:sz w:val="20"/>
                <w:szCs w:val="20"/>
                <w:color w:val="auto"/>
              </w:rPr>
            </w:pPr>
            <w:r>
              <w:rPr>
                <w:rFonts w:ascii="Arial" w:cs="Arial" w:eastAsia="Arial" w:hAnsi="Arial"/>
                <w:sz w:val="18"/>
                <w:szCs w:val="18"/>
                <w:color w:val="auto"/>
              </w:rPr>
              <w:t>154</w:t>
            </w:r>
          </w:p>
        </w:tc>
        <w:tc>
          <w:tcPr>
            <w:tcW w:w="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$ 248</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183</w:t>
            </w:r>
          </w:p>
        </w:tc>
        <w:tc>
          <w:tcPr>
            <w:tcW w:w="16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$ 273</w:t>
            </w:r>
          </w:p>
        </w:tc>
      </w:tr>
      <w:tr>
        <w:trPr>
          <w:trHeight w:val="203"/>
        </w:trPr>
        <w:tc>
          <w:tcPr>
            <w:tcW w:w="49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Less: Sales and Marketing</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060"/>
              <w:spacing w:after="0" w:line="202" w:lineRule="exact"/>
              <w:rPr>
                <w:sz w:val="20"/>
                <w:szCs w:val="20"/>
                <w:color w:val="auto"/>
              </w:rPr>
            </w:pPr>
            <w:r>
              <w:rPr>
                <w:rFonts w:ascii="Arial" w:cs="Arial" w:eastAsia="Arial" w:hAnsi="Arial"/>
                <w:sz w:val="18"/>
                <w:szCs w:val="18"/>
                <w:color w:val="auto"/>
                <w:w w:val="99"/>
              </w:rPr>
              <w:t>(108)</w:t>
            </w:r>
          </w:p>
        </w:tc>
        <w:tc>
          <w:tcPr>
            <w:tcW w:w="5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(149)</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5"/>
              </w:rPr>
              <w:t>(109)</w:t>
            </w:r>
          </w:p>
        </w:tc>
        <w:tc>
          <w:tcPr>
            <w:tcW w:w="16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(165)</w:t>
            </w:r>
          </w:p>
        </w:tc>
      </w:tr>
      <w:tr>
        <w:trPr>
          <w:trHeight w:val="184"/>
        </w:trPr>
        <w:tc>
          <w:tcPr>
            <w:tcW w:w="4980" w:type="dxa"/>
            <w:vAlign w:val="bottom"/>
            <w:gridSpan w:val="3"/>
            <w:shd w:val="clear" w:color="auto" w:fill="CCEEFF"/>
          </w:tcPr>
          <w:p>
            <w:pPr>
              <w:ind w:left="180"/>
              <w:spacing w:after="0" w:line="183" w:lineRule="exact"/>
              <w:rPr>
                <w:sz w:val="20"/>
                <w:szCs w:val="20"/>
                <w:color w:val="auto"/>
              </w:rPr>
            </w:pPr>
            <w:r>
              <w:rPr>
                <w:rFonts w:ascii="Arial" w:cs="Arial" w:eastAsia="Arial" w:hAnsi="Arial"/>
                <w:sz w:val="18"/>
                <w:szCs w:val="18"/>
                <w:color w:val="auto"/>
              </w:rPr>
              <w:t>Add: Stock-based Compensation Allocated to Sales</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1"/>
        </w:trPr>
        <w:tc>
          <w:tcPr>
            <w:tcW w:w="28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80"/>
              <w:spacing w:after="0" w:line="221" w:lineRule="exact"/>
              <w:rPr>
                <w:sz w:val="20"/>
                <w:szCs w:val="20"/>
                <w:color w:val="auto"/>
              </w:rPr>
            </w:pPr>
            <w:r>
              <w:rPr>
                <w:rFonts w:ascii="Arial" w:cs="Arial" w:eastAsia="Arial" w:hAnsi="Arial"/>
                <w:sz w:val="17"/>
                <w:szCs w:val="17"/>
                <w:color w:val="auto"/>
              </w:rPr>
              <w:t>and Marketing</w:t>
            </w:r>
            <w:r>
              <w:rPr>
                <w:rFonts w:ascii="Arial" w:cs="Arial" w:eastAsia="Arial" w:hAnsi="Arial"/>
                <w:sz w:val="25"/>
                <w:szCs w:val="25"/>
                <w:color w:val="auto"/>
                <w:vertAlign w:val="superscript"/>
              </w:rPr>
              <w:t>(1)</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184"/>
        </w:trPr>
        <w:tc>
          <w:tcPr>
            <w:tcW w:w="4980" w:type="dxa"/>
            <w:vAlign w:val="bottom"/>
            <w:gridSpan w:val="3"/>
          </w:tcPr>
          <w:p>
            <w:pPr>
              <w:ind w:left="180"/>
              <w:spacing w:after="0" w:line="183" w:lineRule="exact"/>
              <w:rPr>
                <w:sz w:val="20"/>
                <w:szCs w:val="20"/>
                <w:color w:val="auto"/>
              </w:rPr>
            </w:pPr>
            <w:r>
              <w:rPr>
                <w:rFonts w:ascii="Arial" w:cs="Arial" w:eastAsia="Arial" w:hAnsi="Arial"/>
                <w:sz w:val="18"/>
                <w:szCs w:val="18"/>
                <w:color w:val="auto"/>
              </w:rPr>
              <w:t>Add: Professional Fees Allocated to Sales and</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1"/>
        </w:trPr>
        <w:tc>
          <w:tcPr>
            <w:tcW w:w="280" w:type="dxa"/>
            <w:vAlign w:val="bottom"/>
          </w:tcPr>
          <w:p>
            <w:pPr>
              <w:spacing w:after="0"/>
              <w:rPr>
                <w:sz w:val="19"/>
                <w:szCs w:val="19"/>
                <w:color w:val="auto"/>
              </w:rPr>
            </w:pPr>
          </w:p>
        </w:tc>
        <w:tc>
          <w:tcPr>
            <w:tcW w:w="4700" w:type="dxa"/>
            <w:vAlign w:val="bottom"/>
            <w:gridSpan w:val="2"/>
          </w:tcPr>
          <w:p>
            <w:pPr>
              <w:ind w:left="80"/>
              <w:spacing w:after="0"/>
              <w:rPr>
                <w:sz w:val="20"/>
                <w:szCs w:val="20"/>
                <w:color w:val="auto"/>
              </w:rPr>
            </w:pPr>
            <w:r>
              <w:rPr>
                <w:rFonts w:ascii="Arial" w:cs="Arial" w:eastAsia="Arial" w:hAnsi="Arial"/>
                <w:sz w:val="18"/>
                <w:szCs w:val="18"/>
                <w:color w:val="auto"/>
              </w:rPr>
              <w:t>Marketing</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120"/>
              <w:spacing w:after="0"/>
              <w:rPr>
                <w:sz w:val="20"/>
                <w:szCs w:val="20"/>
                <w:color w:val="auto"/>
              </w:rPr>
            </w:pPr>
            <w:r>
              <w:rPr>
                <w:rFonts w:ascii="Arial" w:cs="Arial" w:eastAsia="Arial" w:hAnsi="Arial"/>
                <w:sz w:val="18"/>
                <w:szCs w:val="18"/>
                <w:color w:val="auto"/>
              </w:rPr>
              <w:t>1</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r>
      <w:tr>
        <w:trPr>
          <w:trHeight w:val="184"/>
        </w:trPr>
        <w:tc>
          <w:tcPr>
            <w:tcW w:w="4980" w:type="dxa"/>
            <w:vAlign w:val="bottom"/>
            <w:gridSpan w:val="3"/>
            <w:shd w:val="clear" w:color="auto" w:fill="CCEEFF"/>
          </w:tcPr>
          <w:p>
            <w:pPr>
              <w:ind w:left="180"/>
              <w:spacing w:after="0" w:line="183" w:lineRule="exact"/>
              <w:rPr>
                <w:sz w:val="20"/>
                <w:szCs w:val="20"/>
                <w:color w:val="auto"/>
              </w:rPr>
            </w:pPr>
            <w:r>
              <w:rPr>
                <w:rFonts w:ascii="Arial" w:cs="Arial" w:eastAsia="Arial" w:hAnsi="Arial"/>
                <w:sz w:val="18"/>
                <w:szCs w:val="18"/>
                <w:color w:val="auto"/>
              </w:rPr>
              <w:t>Add: Technology Expenses Allocated to Sales and</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1"/>
        </w:trPr>
        <w:tc>
          <w:tcPr>
            <w:tcW w:w="28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Marketing</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03"/>
        </w:trPr>
        <w:tc>
          <w:tcPr>
            <w:tcW w:w="49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Add: Other Expenses Allocated to Sales and Marketing</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16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w:t>
            </w:r>
          </w:p>
        </w:tc>
      </w:tr>
      <w:tr>
        <w:trPr>
          <w:trHeight w:val="27"/>
        </w:trPr>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Contribution Profit</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120"/>
              <w:spacing w:after="0" w:line="202" w:lineRule="exact"/>
              <w:rPr>
                <w:sz w:val="20"/>
                <w:szCs w:val="20"/>
                <w:color w:val="auto"/>
              </w:rPr>
            </w:pPr>
            <w:r>
              <w:rPr>
                <w:rFonts w:ascii="Arial" w:cs="Arial" w:eastAsia="Arial" w:hAnsi="Arial"/>
                <w:sz w:val="18"/>
                <w:szCs w:val="18"/>
                <w:color w:val="auto"/>
              </w:rPr>
              <w:t>51</w:t>
            </w:r>
          </w:p>
        </w:tc>
        <w:tc>
          <w:tcPr>
            <w:tcW w:w="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$ 105</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76</w:t>
            </w:r>
          </w:p>
        </w:tc>
        <w:tc>
          <w:tcPr>
            <w:tcW w:w="16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$ 115</w:t>
            </w:r>
          </w:p>
        </w:tc>
      </w:tr>
      <w:tr>
        <w:trPr>
          <w:trHeight w:val="135"/>
        </w:trPr>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3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54"/>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4700" w:type="dxa"/>
            <w:vAlign w:val="bottom"/>
            <w:gridSpan w:val="2"/>
          </w:tcPr>
          <w:p>
            <w:pPr>
              <w:ind w:left="260"/>
              <w:spacing w:after="0"/>
              <w:rPr>
                <w:sz w:val="20"/>
                <w:szCs w:val="20"/>
                <w:color w:val="auto"/>
              </w:rPr>
            </w:pPr>
            <w:r>
              <w:rPr>
                <w:rFonts w:ascii="Arial" w:cs="Arial" w:eastAsia="Arial" w:hAnsi="Arial"/>
                <w:sz w:val="18"/>
                <w:szCs w:val="18"/>
                <w:color w:val="auto"/>
              </w:rPr>
              <w:t>Such expenses relate to our employees.</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351"/>
        </w:trPr>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20" w:type="dxa"/>
            <w:vAlign w:val="bottom"/>
            <w:gridSpan w:val="2"/>
          </w:tcPr>
          <w:p>
            <w:pPr>
              <w:jc w:val="right"/>
              <w:ind w:right="28"/>
              <w:spacing w:after="0"/>
              <w:rPr>
                <w:sz w:val="20"/>
                <w:szCs w:val="20"/>
                <w:color w:val="auto"/>
              </w:rPr>
            </w:pPr>
            <w:r>
              <w:rPr>
                <w:rFonts w:ascii="Arial" w:cs="Arial" w:eastAsia="Arial" w:hAnsi="Arial"/>
                <w:sz w:val="18"/>
                <w:szCs w:val="18"/>
                <w:color w:val="auto"/>
              </w:rPr>
              <w:t>87</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5186045" cy="47320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86045" cy="4732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We define Adjusted EBITDA as our net income excluding interest expense, interest income net,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depreciation and amortization, and stock-based compensation expense as set forth in the table below. Adjusted EBITDA Margin is calculated by dividing Adjusted EBITDA for a period by revenue for the same period. We use Adjusted EBITDA and Adjusted EBITDA Margin to assess performance, to inform the preparation of our annual operating budget and quarterly forecasts, to evaluate the effectiveness of our business strategies, and to assist our board of directors in monitoring our business and financial performance. We believe that Adjusted EBITDA and Adjusted EBITDA Margin provide useful information to investors about our business and financial performance, enhance their overall understanding of our past performance and future prospects, including by providing consistency and comparability with our past financial performance, and allow for greater transparency with respect to measures used by our management in their financial and operational decision making. In addition, we believe Adjusted EBITDA is widely used by investors, securities analysts, and other parties in evaluating companies in our industry as a measure of operational performance.</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Adjusted EBITDA increased from $7 million to $58 million from 2023 to 2024, representing an Adjusted EBITDA Margin improvement from 4% to 23%. Adjusted EBITDA increased from $43 million to $63 million from the nine months ended September 30, 2024 to 2025, representing an Adjusted EBITDA Margin of 23% for both periods. The increase in Adjusted EBITDA and Adjusted EBITDA Margin from 2023 to 2024 and the increase in Adjusted EBITDA from the nine months ended September 30, 2024 to the nine months ended September 30, 2025 was primarily due to the growth in net income. We expect Adjusted EBITDA and Adjusted EBITDA Margin to fluctuate in the near term as we continue to invest in our business and improve over the long term as we achieve greater scale in our business and efficiencies in our operating expenses.</w:t>
      </w:r>
    </w:p>
    <w:p>
      <w:pPr>
        <w:spacing w:after="0" w:line="185" w:lineRule="exact"/>
        <w:rPr>
          <w:sz w:val="20"/>
          <w:szCs w:val="20"/>
          <w:color w:val="auto"/>
        </w:rPr>
      </w:pPr>
    </w:p>
    <w:p>
      <w:pPr>
        <w:ind w:left="120" w:right="280" w:firstLine="551"/>
        <w:spacing w:after="0" w:line="247" w:lineRule="auto"/>
        <w:rPr>
          <w:sz w:val="20"/>
          <w:szCs w:val="20"/>
          <w:color w:val="auto"/>
        </w:rPr>
      </w:pPr>
      <w:r>
        <w:rPr>
          <w:rFonts w:ascii="Arial" w:cs="Arial" w:eastAsia="Arial" w:hAnsi="Arial"/>
          <w:sz w:val="18"/>
          <w:szCs w:val="18"/>
          <w:color w:val="auto"/>
        </w:rPr>
        <w:t>Adjusted EBITDA and Adjusted EBITDA Margin should not be considered as alternatives to net income and net income as a percentage of revenue, or any other measure of financial performance calculated and presented in accordance with GAAP. There are a number of limitations related to the use of Adjusted EBITDA and Adjusted EBITDA Margin rather than net income and net income as a percentage of revenue, which are the most directly comparable GAAP measures.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Adjusted EBITDA to net income for the periods presented: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4"/>
                <w:szCs w:val="14"/>
                <w:color w:val="auto"/>
              </w:rPr>
            </w:pPr>
          </w:p>
        </w:tc>
        <w:tc>
          <w:tcPr>
            <w:tcW w:w="19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2024</w:t>
            </w:r>
          </w:p>
        </w:tc>
        <w:tc>
          <w:tcPr>
            <w:tcW w:w="4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5"/>
          </w:tcPr>
          <w:p>
            <w:pPr>
              <w:jc w:val="right"/>
              <w:ind w:right="920"/>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1,689</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48,832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39,284</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46,590</w:t>
            </w:r>
          </w:p>
        </w:tc>
        <w:tc>
          <w:tcPr>
            <w:tcW w:w="0" w:type="dxa"/>
            <w:vAlign w:val="bottom"/>
          </w:tcPr>
          <w:p>
            <w:pPr>
              <w:spacing w:after="0"/>
              <w:rPr>
                <w:sz w:val="1"/>
                <w:szCs w:val="1"/>
                <w:color w:val="auto"/>
              </w:rPr>
            </w:pPr>
          </w:p>
        </w:tc>
      </w:tr>
      <w:tr>
        <w:trPr>
          <w:trHeight w:val="203"/>
        </w:trPr>
        <w:tc>
          <w:tcPr>
            <w:tcW w:w="4080" w:type="dxa"/>
            <w:vAlign w:val="bottom"/>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723</w:t>
            </w:r>
          </w:p>
        </w:tc>
        <w:tc>
          <w:tcPr>
            <w:tcW w:w="18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595</w:t>
            </w:r>
          </w:p>
        </w:tc>
        <w:tc>
          <w:tcPr>
            <w:tcW w:w="120" w:type="dxa"/>
            <w:vAlign w:val="bottom"/>
          </w:tcPr>
          <w:p>
            <w:pPr>
              <w:spacing w:after="0"/>
              <w:rPr>
                <w:sz w:val="17"/>
                <w:szCs w:val="17"/>
                <w:color w:val="auto"/>
              </w:rPr>
            </w:pPr>
          </w:p>
        </w:tc>
        <w:tc>
          <w:tcPr>
            <w:tcW w:w="10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457</w:t>
            </w:r>
          </w:p>
        </w:tc>
        <w:tc>
          <w:tcPr>
            <w:tcW w:w="140" w:type="dxa"/>
            <w:vAlign w:val="bottom"/>
          </w:tcPr>
          <w:p>
            <w:pPr>
              <w:spacing w:after="0"/>
              <w:rPr>
                <w:sz w:val="17"/>
                <w:szCs w:val="17"/>
                <w:color w:val="auto"/>
              </w:rPr>
            </w:pP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(5,792)</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(5,599)</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(4,277)</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03"/>
        </w:trPr>
        <w:tc>
          <w:tcPr>
            <w:tcW w:w="4080" w:type="dxa"/>
            <w:vAlign w:val="bottom"/>
          </w:tcPr>
          <w:p>
            <w:pPr>
              <w:ind w:left="360"/>
              <w:spacing w:after="0" w:line="202" w:lineRule="exact"/>
              <w:rPr>
                <w:sz w:val="20"/>
                <w:szCs w:val="20"/>
                <w:color w:val="auto"/>
              </w:rPr>
            </w:pPr>
            <w:r>
              <w:rPr>
                <w:rFonts w:ascii="Arial" w:cs="Arial" w:eastAsia="Arial" w:hAnsi="Arial"/>
                <w:sz w:val="18"/>
                <w:szCs w:val="18"/>
                <w:color w:val="auto"/>
              </w:rPr>
              <w:t>Income tax expense</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586</w:t>
            </w:r>
          </w:p>
        </w:tc>
        <w:tc>
          <w:tcPr>
            <w:tcW w:w="18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5,104</w:t>
            </w:r>
          </w:p>
        </w:tc>
        <w:tc>
          <w:tcPr>
            <w:tcW w:w="120" w:type="dxa"/>
            <w:vAlign w:val="bottom"/>
          </w:tcPr>
          <w:p>
            <w:pPr>
              <w:spacing w:after="0"/>
              <w:rPr>
                <w:sz w:val="17"/>
                <w:szCs w:val="17"/>
                <w:color w:val="auto"/>
              </w:rPr>
            </w:pPr>
          </w:p>
        </w:tc>
        <w:tc>
          <w:tcPr>
            <w:tcW w:w="10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942</w:t>
            </w:r>
          </w:p>
        </w:tc>
        <w:tc>
          <w:tcPr>
            <w:tcW w:w="140" w:type="dxa"/>
            <w:vAlign w:val="bottom"/>
          </w:tcPr>
          <w:p>
            <w:pPr>
              <w:spacing w:after="0"/>
              <w:rPr>
                <w:sz w:val="17"/>
                <w:szCs w:val="17"/>
                <w:color w:val="auto"/>
              </w:rPr>
            </w:pP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2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5,713</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5,438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4,169</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Arial" w:cs="Arial" w:eastAsia="Arial" w:hAnsi="Arial"/>
                <w:sz w:val="18"/>
                <w:szCs w:val="18"/>
                <w:color w:val="auto"/>
              </w:rPr>
              <w:t>EBITDA</w:t>
            </w:r>
          </w:p>
        </w:tc>
        <w:tc>
          <w:tcPr>
            <w:tcW w:w="2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54,370</w:t>
            </w: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40,575</w:t>
            </w: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Stock-based compensation</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3,607</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3,166</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2,269</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10,564</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Arial" w:cs="Arial" w:eastAsia="Arial" w:hAnsi="Arial"/>
                <w:sz w:val="18"/>
                <w:szCs w:val="18"/>
                <w:color w:val="auto"/>
              </w:rPr>
              <w:t>Adjusted EBITDA</w:t>
            </w:r>
          </w:p>
        </w:tc>
        <w:tc>
          <w:tcPr>
            <w:tcW w:w="24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6,526</w:t>
            </w:r>
          </w:p>
        </w:tc>
        <w:tc>
          <w:tcPr>
            <w:tcW w:w="4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57,536</w:t>
            </w:r>
          </w:p>
        </w:tc>
        <w:tc>
          <w:tcPr>
            <w:tcW w:w="4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42,844</w:t>
            </w:r>
          </w:p>
        </w:tc>
        <w:tc>
          <w:tcPr>
            <w:tcW w:w="4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63,191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400" w:type="dxa"/>
            <w:vAlign w:val="bottom"/>
            <w:vMerge w:val="restart"/>
          </w:tcPr>
          <w:p>
            <w:pPr>
              <w:jc w:val="right"/>
              <w:ind w:right="79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0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360" w:firstLine="551"/>
        <w:spacing w:after="0" w:line="253" w:lineRule="auto"/>
        <w:rPr>
          <w:sz w:val="20"/>
          <w:szCs w:val="20"/>
          <w:color w:val="auto"/>
        </w:rPr>
      </w:pPr>
      <w:r>
        <w:rPr>
          <w:rFonts w:ascii="Arial" w:cs="Arial" w:eastAsia="Arial" w:hAnsi="Arial"/>
          <w:sz w:val="18"/>
          <w:szCs w:val="18"/>
          <w:color w:val="auto"/>
        </w:rPr>
        <w:t>In addition, other companies, including companies in our industry, may calculate Adjusted EBITDA differently, which reduces its usefulness as a comparative measure. Because of these limitations, our Adjusted EBITDA and Adjusted EBITDA Margin should be considered in addition to, not as substitutes for, or in isolation from, measures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136525</wp:posOffset>
            </wp:positionV>
            <wp:extent cx="5212080" cy="52889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12080" cy="5288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04"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b w:val="1"/>
          <w:bCs w:val="1"/>
          <w:i w:val="1"/>
          <w:iCs w:val="1"/>
          <w:color w:val="auto"/>
        </w:rPr>
        <w:t xml:space="preserve">Cost-Effectively Activating New Policies. </w:t>
      </w:r>
      <w:r>
        <w:rPr>
          <w:rFonts w:ascii="Arial" w:cs="Arial" w:eastAsia="Arial" w:hAnsi="Arial"/>
          <w:sz w:val="18"/>
          <w:szCs w:val="18"/>
          <w:color w:val="auto"/>
        </w:rPr>
        <w:t>Our continued growth is dependent on cost-effectively activating new policies.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reach consumers by investing in direct marketing and agent payments. Our direct marketing is diversified and includes affiliate marketing, search engine marketing, social media advertising, TV advertising, and others. We dynamically adjust our direct marketing on a daily basis to optimize our acquisition strategy. Spending to activate a new policy is governed by our</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160"/>
        <w:spacing w:after="0" w:line="253" w:lineRule="auto"/>
        <w:rPr>
          <w:sz w:val="20"/>
          <w:szCs w:val="20"/>
          <w:color w:val="auto"/>
        </w:rPr>
      </w:pPr>
      <w:r>
        <w:rPr>
          <w:rFonts w:ascii="Arial" w:cs="Arial" w:eastAsia="Arial" w:hAnsi="Arial"/>
          <w:sz w:val="18"/>
          <w:szCs w:val="18"/>
          <w:color w:val="auto"/>
        </w:rPr>
        <w:t>payback period, which we define as the number of months it takes for the cash commissions received to offset advertising spend and agent payments, as well as underwriting, sales team and payment processing costs. As of September 30, 2025, our average payback period was within two months.</w:t>
      </w:r>
    </w:p>
    <w:p>
      <w:pPr>
        <w:spacing w:after="0" w:line="169"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We assess the effectiveness of agents by monitoring their sales productivity over time. The chart below reflects the cumulative policies sold per agent by cohort, with each cohort consisting of all agents who sold their first policy on our platform in a given fiscal quarter. In turn, cohorts include agents who have ceased selling policies on our platform. Overall, agents within each cohort consistently become more productive, as demonstrated by the increase in cumulative activated policies sold per agent by cohort over time. Since 2022, the number of agents on our platform has grown at an annual rate of 35% net of agent departures, or churn, while revenue per agent has increased at an annual rate of 27% over the same time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219710</wp:posOffset>
            </wp:positionV>
            <wp:extent cx="5212080" cy="3745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2080" cy="374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00"/>
          </w:cols>
          <w:pgMar w:left="320" w:top="455" w:right="6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217170</wp:posOffset>
            </wp:positionV>
            <wp:extent cx="5212080" cy="49206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2080" cy="4920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firstLine="551"/>
        <w:spacing w:after="0"/>
        <w:rPr>
          <w:sz w:val="20"/>
          <w:szCs w:val="20"/>
          <w:color w:val="auto"/>
        </w:rPr>
      </w:pPr>
      <w:r>
        <w:rPr>
          <w:rFonts w:ascii="Arial" w:cs="Arial" w:eastAsia="Arial" w:hAnsi="Arial"/>
          <w:sz w:val="18"/>
          <w:szCs w:val="18"/>
          <w:b w:val="1"/>
          <w:bCs w:val="1"/>
          <w:i w:val="1"/>
          <w:iCs w:val="1"/>
          <w:color w:val="auto"/>
        </w:rPr>
        <w:t xml:space="preserve">Agent Recruitment and Retention. </w:t>
      </w:r>
      <w:r>
        <w:rPr>
          <w:rFonts w:ascii="Arial" w:cs="Arial" w:eastAsia="Arial" w:hAnsi="Arial"/>
          <w:sz w:val="18"/>
          <w:szCs w:val="18"/>
          <w:color w:val="auto"/>
        </w:rPr>
        <w:t>We onboard new agents to our platform primarily through our network of agencies. As such,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critical that we maintain strong relationships with existing agencies, establish new relationships, and enhance the productivity of agents to support agent retention. We intend to continue investing in our platform to make it increasingly attractive to agencies and their agents, primarily by adding features and functionalities that help agencies recruit more agents, enhance agent efficiency, boost overall productivity, and improve the consumer experience. In addition, as we continue to scale our third-party channel, we have taken, and expect to continue to take, actions to improve the persistency of policies sold by these agents, including by terminating agents who do not meet our heightened sales and underwriting standards.</w:t>
      </w:r>
    </w:p>
    <w:p>
      <w:pPr>
        <w:spacing w:after="0" w:line="185" w:lineRule="exact"/>
        <w:rPr>
          <w:sz w:val="20"/>
          <w:szCs w:val="20"/>
          <w:color w:val="auto"/>
        </w:rPr>
      </w:pPr>
    </w:p>
    <w:p>
      <w:pPr>
        <w:ind w:left="120" w:right="360" w:firstLine="551"/>
        <w:spacing w:after="0" w:line="253" w:lineRule="auto"/>
        <w:rPr>
          <w:sz w:val="20"/>
          <w:szCs w:val="20"/>
          <w:color w:val="auto"/>
        </w:rPr>
      </w:pPr>
      <w:r>
        <w:rPr>
          <w:rFonts w:ascii="Arial" w:cs="Arial" w:eastAsia="Arial" w:hAnsi="Arial"/>
          <w:sz w:val="18"/>
          <w:szCs w:val="18"/>
          <w:b w:val="1"/>
          <w:bCs w:val="1"/>
          <w:i w:val="1"/>
          <w:iCs w:val="1"/>
          <w:color w:val="auto"/>
        </w:rPr>
        <w:t xml:space="preserve">Life Insurance Pricing. </w:t>
      </w:r>
      <w:r>
        <w:rPr>
          <w:rFonts w:ascii="Arial" w:cs="Arial" w:eastAsia="Arial" w:hAnsi="Arial"/>
          <w:sz w:val="18"/>
          <w:szCs w:val="18"/>
          <w:color w:val="auto"/>
        </w:rPr>
        <w:t>Life insurance pricing impacts purchasing and agent selling behavior. Pricing is primarily influenced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factors such as health, lifestyle, coverage amount, and policy type. Carriers may adjust pricing in response to shifts in mortality assumptions, interest rates, capital markets, reinsurance costs, inflation, and regulatory changes. We mitigate pricing risk through a</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diversified product portfolio and a broad mix of carriers, enabling us to offer competitive rates across a wide range of consumer profiles.</w:t>
      </w:r>
    </w:p>
    <w:p>
      <w:pPr>
        <w:spacing w:after="0" w:line="212"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b w:val="1"/>
          <w:bCs w:val="1"/>
          <w:i w:val="1"/>
          <w:iCs w:val="1"/>
          <w:color w:val="auto"/>
        </w:rPr>
        <w:t>Evolving Channel and Product Mix</w:t>
      </w:r>
      <w:r>
        <w:rPr>
          <w:rFonts w:ascii="Arial" w:cs="Arial" w:eastAsia="Arial" w:hAnsi="Arial"/>
          <w:sz w:val="18"/>
          <w:szCs w:val="18"/>
          <w:color w:val="auto"/>
        </w:rPr>
        <w:t>. We leverage our two distribution channels to optimize for increased demand on our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demand through each channel is impacted by multiple factors, including product mix, which we evaluate holistically when implementing this channel strategy. In addition, though we prioritize overall expansion of our product portfolio, our product mix impacts our growth and results of operations. Our revenue and ARPU are impacted by premium amounts, commission rates, and persistency estimates, all of which differ by product. Certain of our products, such as Whole Life Insurance, tend to have lower coverage amounts and commission rates, resulting in lower ARPU.</w:t>
      </w:r>
    </w:p>
    <w:p>
      <w:pPr>
        <w:spacing w:after="0" w:line="179"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Further, because we offer most of our products through both channels, including Term Life Insurance, Whole Life Insurance, and Indexed Universal Life Insurance, our strategy and shifts in consumer insurance purchasing patterns and trends also drive fluctuations in product mix by channel, which impacts our results of operations. Certain of our products, such as Whole Life Insurance, have historically been sold primarily through our third-party channel due to various factors, including preferences and demographics of the target consumers for such products as well as sales strategies and priorities of our agency partners. In addition, our sales and marketing expense and Contribution Margin are impacted by our channel mix, as described further under the section titled “—Key Business Metrics and Non-GAAP Financial Measures–Contribution Profit.”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we expect revenue, activated policies, and profitability to continue to be impacted by our evolving channel and product</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mix.</w:t>
      </w:r>
    </w:p>
    <w:p>
      <w:pPr>
        <w:spacing w:after="0" w:line="194" w:lineRule="exact"/>
        <w:rPr>
          <w:sz w:val="20"/>
          <w:szCs w:val="20"/>
          <w:color w:val="auto"/>
        </w:rPr>
      </w:pPr>
    </w:p>
    <w:p>
      <w:pPr>
        <w:ind w:left="120" w:right="40" w:firstLine="551"/>
        <w:spacing w:after="0" w:line="259" w:lineRule="auto"/>
        <w:rPr>
          <w:sz w:val="20"/>
          <w:szCs w:val="20"/>
          <w:color w:val="auto"/>
        </w:rPr>
      </w:pPr>
      <w:r>
        <w:rPr>
          <w:rFonts w:ascii="Arial" w:cs="Arial" w:eastAsia="Arial" w:hAnsi="Arial"/>
          <w:sz w:val="17"/>
          <w:szCs w:val="17"/>
          <w:b w:val="1"/>
          <w:bCs w:val="1"/>
          <w:i w:val="1"/>
          <w:iCs w:val="1"/>
          <w:color w:val="auto"/>
        </w:rPr>
        <w:t xml:space="preserve">Strategic Carrier Relationships. </w:t>
      </w:r>
      <w:r>
        <w:rPr>
          <w:rFonts w:ascii="Arial" w:cs="Arial" w:eastAsia="Arial" w:hAnsi="Arial"/>
          <w:sz w:val="17"/>
          <w:szCs w:val="17"/>
          <w:color w:val="auto"/>
        </w:rPr>
        <w:t>Maintaining our active carrier relationships and establishing new carrier relationships are critical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our continued growth. For our top three carriers by distribution, who are also our longest tenured carriers, we were their largest source of life distribution in 2024. However, we still have significant opportunities to increase our share, as we accounted for a minority of these top three carriers’ life insurance premiums in 2024. Our existing carriers have a significant growth opportunity, as the life insurance market remains highly fragmented, with numerous carriers competing for market share. Beyond our current relationships, we intend to selectively work with new carriers, primarily to facilitate new product introductions and further diversify our positions within our existing carrier base.</w:t>
      </w:r>
    </w:p>
    <w:p>
      <w:pPr>
        <w:spacing w:after="0" w:line="165" w:lineRule="exact"/>
        <w:rPr>
          <w:sz w:val="20"/>
          <w:szCs w:val="20"/>
          <w:color w:val="auto"/>
        </w:rPr>
      </w:pPr>
    </w:p>
    <w:p>
      <w:pPr>
        <w:ind w:left="120" w:firstLine="551"/>
        <w:spacing w:after="0"/>
        <w:rPr>
          <w:sz w:val="20"/>
          <w:szCs w:val="20"/>
          <w:color w:val="auto"/>
        </w:rPr>
      </w:pPr>
      <w:r>
        <w:rPr>
          <w:rFonts w:ascii="Arial" w:cs="Arial" w:eastAsia="Arial" w:hAnsi="Arial"/>
          <w:sz w:val="18"/>
          <w:szCs w:val="18"/>
          <w:b w:val="1"/>
          <w:bCs w:val="1"/>
          <w:i w:val="1"/>
          <w:iCs w:val="1"/>
          <w:color w:val="auto"/>
        </w:rPr>
        <w:t>Increasing Products on Our Platform.</w:t>
      </w:r>
      <w:r>
        <w:rPr>
          <w:rFonts w:ascii="Arial" w:cs="Arial" w:eastAsia="Arial" w:hAnsi="Arial"/>
          <w:sz w:val="18"/>
          <w:szCs w:val="18"/>
          <w:color w:val="auto"/>
        </w:rPr>
        <w:t xml:space="preserve">  The breadth and diversity of our existing products are a key value proposition for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and agents. Moreover, our platform is extensible, as demonstrated by our successful track record in launching and scaling new insurance and estate planning products. Our growing expertise in product launches, informed by our growing experience through numerous past product launches and continuous improvements in our third-party channel, has enhanced our efficiency. For instance, while it initially took 24 months to reach $20 million in run-rate annual premium with our Term Life Insurance product launched in 2019, a more recent product achieved the same milestone in just 15 months. We intend to continue investing in new product development, leveraging our increasing efficiency to drive further growth.</w:t>
      </w:r>
    </w:p>
    <w:p>
      <w:pPr>
        <w:spacing w:after="0" w:line="185" w:lineRule="exact"/>
        <w:rPr>
          <w:sz w:val="20"/>
          <w:szCs w:val="20"/>
          <w:color w:val="auto"/>
        </w:rPr>
      </w:pPr>
    </w:p>
    <w:p>
      <w:pPr>
        <w:ind w:left="120" w:right="260" w:firstLine="551"/>
        <w:spacing w:after="0" w:line="247" w:lineRule="auto"/>
        <w:rPr>
          <w:sz w:val="20"/>
          <w:szCs w:val="20"/>
          <w:color w:val="auto"/>
        </w:rPr>
      </w:pPr>
      <w:r>
        <w:rPr>
          <w:rFonts w:ascii="Arial" w:cs="Arial" w:eastAsia="Arial" w:hAnsi="Arial"/>
          <w:sz w:val="18"/>
          <w:szCs w:val="18"/>
          <w:b w:val="1"/>
          <w:bCs w:val="1"/>
          <w:i w:val="1"/>
          <w:iCs w:val="1"/>
          <w:color w:val="auto"/>
        </w:rPr>
        <w:t>Persistency.</w:t>
      </w:r>
      <w:r>
        <w:rPr>
          <w:rFonts w:ascii="Arial" w:cs="Arial" w:eastAsia="Arial" w:hAnsi="Arial"/>
          <w:sz w:val="18"/>
          <w:szCs w:val="18"/>
          <w:color w:val="auto"/>
        </w:rPr>
        <w:t xml:space="preserve">   Our results of operations, including our revenue growth trends, are impacted by changes in our persistency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estimates. Several factors have resulted in, and may in the future result in, fluctuations in our persistency estimates, including growth in activated policies, new carrier relationships, introductions of new products on our platform, changes in our product mix, and changes in observed persistency in the life insurance industry.</w:t>
      </w:r>
    </w:p>
    <w:p>
      <w:pPr>
        <w:spacing w:after="0" w:line="174"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b w:val="1"/>
          <w:bCs w:val="1"/>
          <w:i w:val="1"/>
          <w:iCs w:val="1"/>
          <w:color w:val="auto"/>
        </w:rPr>
        <w:t xml:space="preserve">Operating Leverage.  </w:t>
      </w:r>
      <w:r>
        <w:rPr>
          <w:rFonts w:ascii="Arial" w:cs="Arial" w:eastAsia="Arial" w:hAnsi="Arial"/>
          <w:sz w:val="18"/>
          <w:szCs w:val="18"/>
          <w:color w:val="auto"/>
        </w:rPr>
        <w:t>Our platform benefits from operating leverage, allowing our business to scale efficiently as we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policy activations and launch new products. Several of our costs, including our general and administrative costs, are not directly tied to the number of activated policies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color w:val="auto"/>
        </w:rPr>
        <w:t>in a given period. As a result, we generate more revenue relative to our cost base as we grow. Each incremental product launch also becomes more cost-effective, leveraging our robust underwriting capabilities, digital platform, and established distribution channels with minimal additional overhead.</w:t>
      </w:r>
    </w:p>
    <w:p>
      <w:pPr>
        <w:spacing w:after="0" w:line="169" w:lineRule="exact"/>
        <w:rPr>
          <w:sz w:val="20"/>
          <w:szCs w:val="20"/>
          <w:color w:val="auto"/>
        </w:rPr>
      </w:pPr>
    </w:p>
    <w:p>
      <w:pPr>
        <w:ind w:left="120" w:right="240" w:firstLine="551"/>
        <w:spacing w:after="0" w:line="244" w:lineRule="auto"/>
        <w:rPr>
          <w:sz w:val="20"/>
          <w:szCs w:val="20"/>
          <w:color w:val="auto"/>
        </w:rPr>
      </w:pPr>
      <w:r>
        <w:rPr>
          <w:rFonts w:ascii="Arial" w:cs="Arial" w:eastAsia="Arial" w:hAnsi="Arial"/>
          <w:sz w:val="18"/>
          <w:szCs w:val="18"/>
          <w:b w:val="1"/>
          <w:bCs w:val="1"/>
          <w:i w:val="1"/>
          <w:iCs w:val="1"/>
          <w:color w:val="auto"/>
        </w:rPr>
        <w:t>Investment in Technology Platform.</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prioritized investments in automation, our data moat, and data analytics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optimize policy approvals and pricing while enriching the customer journey. Our commitment to digitizing the life insurance process is evident in our continued development of digital infrastructure, such as enhancing features on our website and in our agent portal. Our significant investment in proprietary technology is key to advancing our underwriting capabilities and may cause our operating results to fluctuate.</w:t>
      </w:r>
    </w:p>
    <w:p>
      <w:pPr>
        <w:spacing w:after="0" w:line="176"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b w:val="1"/>
          <w:bCs w:val="1"/>
          <w:i w:val="1"/>
          <w:iCs w:val="1"/>
          <w:color w:val="auto"/>
        </w:rPr>
        <w:t>Seasonality.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Seasonality can impact our activated policies patterns, influencing acquisition volume, costs, and conversion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March 31 have historically been our strongest quarter of activated policies, as consumer demand for life insurance is elevated by factors such as annual financial planning cycles that typically occur post-New Year. During this period, digital marketing costs tend to be lower relative to other periods, allowing us to efficiently invest more in direct marketing.</w:t>
      </w:r>
    </w:p>
    <w:p>
      <w:pPr>
        <w:spacing w:after="0" w:line="17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b w:val="1"/>
          <w:bCs w:val="1"/>
          <w:i w:val="1"/>
          <w:iCs w:val="1"/>
          <w:color w:val="auto"/>
        </w:rPr>
        <w:t xml:space="preserve">Macroeconomic and Regulatory Trends.  </w:t>
      </w:r>
      <w:r>
        <w:rPr>
          <w:rFonts w:ascii="Arial" w:cs="Arial" w:eastAsia="Arial" w:hAnsi="Arial"/>
          <w:sz w:val="18"/>
          <w:szCs w:val="18"/>
          <w:color w:val="auto"/>
        </w:rPr>
        <w:t>Macroeconomic factors, including a high interest rate environment, equity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returns, and a tight labor market impact the financial services and life insurance industries. Moreover, changes in the tax code (demand for insurance for tax planning purposes) or on capital reserving requirements (such as the approval of the principles-based reserving regime in 2017) impact the demand for the life insurance products we offer and the profitability of the carriers with whom we work. These macroeconomic and regulatory factors have the potential to affect demand for our underwriting and distribution services.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ind w:left="120" w:right="140" w:firstLine="551"/>
        <w:spacing w:after="0" w:line="242" w:lineRule="auto"/>
        <w:rPr>
          <w:sz w:val="20"/>
          <w:szCs w:val="20"/>
          <w:color w:val="auto"/>
        </w:rPr>
      </w:pPr>
      <w:r>
        <w:rPr>
          <w:rFonts w:ascii="Arial" w:cs="Arial" w:eastAsia="Arial" w:hAnsi="Arial"/>
          <w:sz w:val="18"/>
          <w:szCs w:val="18"/>
          <w:color w:val="auto"/>
        </w:rPr>
        <w:t>We primarily generate revenue through commissions paid by carriers from policies activated and sold through our platform as well as from our provision of third-party administrator, or TPA, services for such policies. Our commission revenue is recognized upfront upon delivering new policyholders to carriers, and we have no material additional obligations post-sale. Our revenue for an activated policy includes both the first-year commission and renewal commissions, both of which require significant judgment in applying a persistency estimate. In future periods following policy activation, we recognize in-period adjustments in revenue as the applicable persistency estimates are updated.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102" w:lineRule="exact"/>
        <w:rPr>
          <w:sz w:val="20"/>
          <w:szCs w:val="20"/>
          <w:color w:val="auto"/>
        </w:rPr>
      </w:pPr>
    </w:p>
    <w:p>
      <w:pPr>
        <w:ind w:left="120" w:right="200" w:firstLine="551"/>
        <w:spacing w:after="0" w:line="271" w:lineRule="auto"/>
        <w:rPr>
          <w:sz w:val="20"/>
          <w:szCs w:val="20"/>
          <w:color w:val="auto"/>
        </w:rPr>
      </w:pPr>
      <w:r>
        <w:rPr>
          <w:rFonts w:ascii="Arial" w:cs="Arial" w:eastAsia="Arial" w:hAnsi="Arial"/>
          <w:sz w:val="18"/>
          <w:szCs w:val="18"/>
          <w:color w:val="auto"/>
        </w:rPr>
        <w:t>Our costs and expenses consist of sales and marketing, general and administrative expenses, technology costs, cost of revenue, and depreciation and amortization.</w:t>
      </w:r>
    </w:p>
    <w:p>
      <w:pPr>
        <w:spacing w:after="0" w:line="154" w:lineRule="exact"/>
        <w:rPr>
          <w:sz w:val="20"/>
          <w:szCs w:val="20"/>
          <w:color w:val="auto"/>
        </w:rPr>
      </w:pPr>
    </w:p>
    <w:p>
      <w:pPr>
        <w:ind w:left="120" w:right="160" w:firstLine="551"/>
        <w:spacing w:after="0" w:line="266" w:lineRule="auto"/>
        <w:rPr>
          <w:sz w:val="20"/>
          <w:szCs w:val="20"/>
          <w:color w:val="auto"/>
        </w:rPr>
      </w:pPr>
      <w:r>
        <w:rPr>
          <w:rFonts w:ascii="Arial" w:cs="Arial" w:eastAsia="Arial" w:hAnsi="Arial"/>
          <w:sz w:val="17"/>
          <w:szCs w:val="17"/>
          <w:color w:val="auto"/>
        </w:rPr>
        <w:t>In the quarter in which this offering is completed, we expect to recognize approximately $        of stock-based compensation expense associated with the satisfaction of the liquidity event-based vesting condition for outstanding RSUs, for which the service-based vesting conditions have been fully or partially satisfied on or before the pricing of this offering. As such, we expect to incur a net loss for the quarter and year in which this offering is completed, primarily as a result of recognition of this stock-based compensation amount.</w:t>
      </w:r>
    </w:p>
    <w:p>
      <w:pPr>
        <w:spacing w:after="0" w:line="159" w:lineRule="exact"/>
        <w:rPr>
          <w:sz w:val="20"/>
          <w:szCs w:val="20"/>
          <w:color w:val="auto"/>
        </w:rPr>
      </w:pPr>
    </w:p>
    <w:p>
      <w:pPr>
        <w:ind w:left="120" w:right="160" w:firstLine="551"/>
        <w:spacing w:after="0" w:line="247" w:lineRule="auto"/>
        <w:rPr>
          <w:sz w:val="20"/>
          <w:szCs w:val="20"/>
          <w:color w:val="auto"/>
        </w:rPr>
      </w:pPr>
      <w:r>
        <w:rPr>
          <w:rFonts w:ascii="Arial" w:cs="Arial" w:eastAsia="Arial" w:hAnsi="Arial"/>
          <w:sz w:val="18"/>
          <w:szCs w:val="18"/>
          <w:color w:val="auto"/>
        </w:rPr>
        <w:t>We also expect to incur additional stock-based compensation expense in future periods across certain of the costs and expenses categories below as additional RSUs meet their service-based vesting conditions, calculated using the accelerated attribution method for RSUs with a liquidity event-based vesting condition and using the straight-line method for RSUs granted following the closing of this offering and without a liquidity event-based vesting condition.</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and Marketing</w:t>
      </w:r>
    </w:p>
    <w:p>
      <w:pPr>
        <w:spacing w:after="0" w:line="102"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Sales and marketing expenses primarily consists of our advertising expenses, agent payments, underwriting costs for non-activated policies, and overhead costs allocated on a headcount basis. Sales and marketing expenses also consist of salaries, stock-based compensation expense, employee benefits, bonuses, and commissions for sales and marketing employees and contractors.</w:t>
      </w:r>
    </w:p>
    <w:p>
      <w:pPr>
        <w:spacing w:after="0" w:line="169"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color w:val="auto"/>
        </w:rPr>
        <w:t>We expect sales and marketing expenses to increase on an absolute dollar basis and vary from period to period as a percentage of revenue as we increase our sales and marketing personnel and continue to expand our customer engagement.</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w:t>
      </w:r>
    </w:p>
    <w:p>
      <w:pPr>
        <w:spacing w:after="0" w:line="102"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General and administrative expenses consist of salaries, stock-based compensation expense, employee benefits, and bonuses for executive, finance, accounting, legal, human resources, actuarial, and administrative support. General and administrative expenses also include legal, accounting, other third-party professional services, other miscellaneous expenses, and overhead costs allocated on a headcount basis.</w:t>
      </w:r>
    </w:p>
    <w:p>
      <w:pPr>
        <w:spacing w:after="0" w:line="174" w:lineRule="exact"/>
        <w:rPr>
          <w:sz w:val="20"/>
          <w:szCs w:val="20"/>
          <w:color w:val="auto"/>
        </w:rPr>
      </w:pPr>
    </w:p>
    <w:p>
      <w:pPr>
        <w:ind w:left="120" w:right="660" w:firstLine="551"/>
        <w:spacing w:after="0" w:line="301" w:lineRule="auto"/>
        <w:rPr>
          <w:sz w:val="20"/>
          <w:szCs w:val="20"/>
          <w:color w:val="auto"/>
        </w:rPr>
      </w:pPr>
      <w:r>
        <w:rPr>
          <w:rFonts w:ascii="Arial" w:cs="Arial" w:eastAsia="Arial" w:hAnsi="Arial"/>
          <w:sz w:val="17"/>
          <w:szCs w:val="17"/>
          <w:color w:val="auto"/>
        </w:rPr>
        <w:t>We expect general and administrative expenses to increase on an absolute dollar basis and vary from period to period as a percentage of revenue as we grow our operations and incur additional expenses associated with operating as a public company.</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Technology (Exclusive of Amortization)</w:t>
      </w:r>
    </w:p>
    <w:p>
      <w:pPr>
        <w:spacing w:after="0" w:line="102"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Technology (exclusive of amortization) expenses primarily consist of salaries, stock-based compensation expense, employee benefits, and bonuses for salaried employees and contractors engaged in the design, development, maintenance, and testing of our platform including our websites, mobile applications and other products. Technology expenses also include overhead costs allocated on a headcount basis but do not include amortization of capitalized website and software development costs.</w:t>
      </w:r>
    </w:p>
    <w:p>
      <w:pPr>
        <w:spacing w:after="0" w:line="174"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We expect technology expenses to continue to increase on an absolute dollar basis and vary from period to period as a percent of revenue as we continue investing in our technology platform to support future growth.</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Revenue</w:t>
      </w:r>
    </w:p>
    <w:p>
      <w:pPr>
        <w:spacing w:after="0" w:line="102" w:lineRule="exact"/>
        <w:rPr>
          <w:sz w:val="20"/>
          <w:szCs w:val="20"/>
          <w:color w:val="auto"/>
        </w:rPr>
      </w:pPr>
    </w:p>
    <w:p>
      <w:pPr>
        <w:ind w:left="120" w:right="320" w:firstLine="551"/>
        <w:spacing w:after="0" w:line="271" w:lineRule="auto"/>
        <w:rPr>
          <w:sz w:val="20"/>
          <w:szCs w:val="20"/>
          <w:color w:val="auto"/>
        </w:rPr>
      </w:pPr>
      <w:r>
        <w:rPr>
          <w:rFonts w:ascii="Arial" w:cs="Arial" w:eastAsia="Arial" w:hAnsi="Arial"/>
          <w:sz w:val="18"/>
          <w:szCs w:val="18"/>
          <w:color w:val="auto"/>
        </w:rPr>
        <w:t>Cost of revenue represents the direct costs associated with fulfilling our obligations to our carriers for the activation of insurance policies and primarily consists of underwriting costs incurred by activated policies in the application process.</w:t>
      </w:r>
    </w:p>
    <w:p>
      <w:pPr>
        <w:spacing w:after="0" w:line="154" w:lineRule="exact"/>
        <w:rPr>
          <w:sz w:val="20"/>
          <w:szCs w:val="20"/>
          <w:color w:val="auto"/>
        </w:rPr>
      </w:pPr>
    </w:p>
    <w:p>
      <w:pPr>
        <w:ind w:left="120" w:right="200" w:firstLine="551"/>
        <w:spacing w:after="0" w:line="271" w:lineRule="auto"/>
        <w:rPr>
          <w:sz w:val="20"/>
          <w:szCs w:val="20"/>
          <w:color w:val="auto"/>
        </w:rPr>
      </w:pPr>
      <w:r>
        <w:rPr>
          <w:rFonts w:ascii="Arial" w:cs="Arial" w:eastAsia="Arial" w:hAnsi="Arial"/>
          <w:sz w:val="18"/>
          <w:szCs w:val="18"/>
          <w:color w:val="auto"/>
        </w:rPr>
        <w:t>We expect that cost of revenue will increase on an absolute dollar basis for the foreseeable future as we continue to grow and be relatively consistent period to period as a percentage of revenue.</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Depreciation and Amortization</w:t>
      </w:r>
    </w:p>
    <w:p>
      <w:pPr>
        <w:spacing w:after="0" w:line="102" w:lineRule="exact"/>
        <w:rPr>
          <w:sz w:val="20"/>
          <w:szCs w:val="20"/>
          <w:color w:val="auto"/>
        </w:rPr>
      </w:pPr>
    </w:p>
    <w:p>
      <w:pPr>
        <w:ind w:left="120" w:right="160" w:firstLine="551"/>
        <w:spacing w:after="0" w:line="253" w:lineRule="auto"/>
        <w:rPr>
          <w:sz w:val="20"/>
          <w:szCs w:val="20"/>
          <w:color w:val="auto"/>
        </w:rPr>
      </w:pPr>
      <w:r>
        <w:rPr>
          <w:rFonts w:ascii="Arial" w:cs="Arial" w:eastAsia="Arial" w:hAnsi="Arial"/>
          <w:sz w:val="18"/>
          <w:szCs w:val="18"/>
          <w:color w:val="auto"/>
        </w:rPr>
        <w:t>Depreciation and amortization expenses relate to property and equipment, website and software development costs, as well as acquisition-related and other acquired intangible assets. We record depreciation and amortization using the straight-line method over the estimated useful life of the assets.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2" w:lineRule="exact"/>
        <w:rPr>
          <w:sz w:val="20"/>
          <w:szCs w:val="20"/>
          <w:color w:val="auto"/>
        </w:rPr>
      </w:pPr>
    </w:p>
    <w:p>
      <w:pPr>
        <w:ind w:left="120" w:right="380" w:firstLine="551"/>
        <w:spacing w:after="0" w:line="253" w:lineRule="auto"/>
        <w:rPr>
          <w:sz w:val="20"/>
          <w:szCs w:val="20"/>
          <w:color w:val="auto"/>
        </w:rPr>
      </w:pPr>
      <w:r>
        <w:rPr>
          <w:rFonts w:ascii="Arial" w:cs="Arial" w:eastAsia="Arial" w:hAnsi="Arial"/>
          <w:sz w:val="18"/>
          <w:szCs w:val="18"/>
          <w:color w:val="auto"/>
        </w:rPr>
        <w:t>Interest expense consists of interest costs associated with the sale of commissions receivable. For a portion of our policies, we have at times entered into arrangements in which we sell the rights to a portion of future commissions in exchange for upfront cash payments to unaffiliated entities. The cost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of these arrangements, or the difference between the purchase price and the foregone future commissions for years sold, is recorded as a Loss on Sale in the period in which the policies are sold. During the year ended December 31, 2024, we only used this arrangement for one of our Term Life Insurance products as described further in “—Critical Accounting Policies and Estimates—Liabilities Related to Sale of Commissions Receivable” and in Note 11 to our consolidated financial statements. We impute interest on the unamortized portion of the liability for the sale of commissions receivable using the effective interest method, which is based on forecasted payments expected to be made over the term of the agreements.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02" w:lineRule="exact"/>
        <w:rPr>
          <w:sz w:val="20"/>
          <w:szCs w:val="20"/>
          <w:color w:val="auto"/>
        </w:rPr>
      </w:pPr>
    </w:p>
    <w:p>
      <w:pPr>
        <w:ind w:left="120" w:right="300" w:firstLine="551"/>
        <w:spacing w:after="0" w:line="271" w:lineRule="auto"/>
        <w:rPr>
          <w:sz w:val="20"/>
          <w:szCs w:val="20"/>
          <w:color w:val="auto"/>
        </w:rPr>
      </w:pPr>
      <w:r>
        <w:rPr>
          <w:rFonts w:ascii="Arial" w:cs="Arial" w:eastAsia="Arial" w:hAnsi="Arial"/>
          <w:sz w:val="18"/>
          <w:szCs w:val="18"/>
          <w:color w:val="auto"/>
        </w:rPr>
        <w:t>Interest income consists of income earned on our short-term investments included in cash and cash equivalents and marketable securities.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net consists of income from subleasing office space along with income from credit card rewards.</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2" w:lineRule="exact"/>
        <w:rPr>
          <w:sz w:val="20"/>
          <w:szCs w:val="20"/>
          <w:color w:val="auto"/>
        </w:rPr>
      </w:pPr>
    </w:p>
    <w:p>
      <w:pPr>
        <w:ind w:left="120" w:right="380" w:firstLine="551"/>
        <w:spacing w:after="0" w:line="247" w:lineRule="auto"/>
        <w:rPr>
          <w:sz w:val="20"/>
          <w:szCs w:val="20"/>
          <w:color w:val="auto"/>
        </w:rPr>
      </w:pPr>
      <w:r>
        <w:rPr>
          <w:rFonts w:ascii="Arial" w:cs="Arial" w:eastAsia="Arial" w:hAnsi="Arial"/>
          <w:sz w:val="18"/>
          <w:szCs w:val="18"/>
          <w:color w:val="auto"/>
        </w:rPr>
        <w:t>Provision for income taxes consists of federal and state income taxes in the United States and income taxes in certain foreign jurisdictions, deferred income taxes reflecting the net tax effects of temporary differences between the carrying amounts of assets and liabilities for financial reporting purposes and the amounts used for income tax purposes, and the realization of net operating loss carryforwards.</w:t>
      </w:r>
    </w:p>
    <w:p>
      <w:pPr>
        <w:spacing w:after="0" w:line="174"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 xml:space="preserve">We account for uncertain tax positions in accordance with Accounting Standards Codification, or ASC, 740-10,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Uncertainty in Income Taxes</w:t>
      </w:r>
      <w:r>
        <w:rPr>
          <w:rFonts w:ascii="Arial" w:cs="Arial" w:eastAsia="Arial" w:hAnsi="Arial"/>
          <w:sz w:val="18"/>
          <w:szCs w:val="18"/>
          <w:color w:val="auto"/>
        </w:rPr>
        <w:t>. We recognize the tax effects of an uncertain tax position only if it is more likely than not to be sustained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solely on its technical merits as of the reporting date and only in an amount more likely than not to be sustained upon review by the tax authorities. Interest and penalties related to uncertain tax positions are classified in the consolidated financial statements as income tax expense.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results of operations for the periods presented in dollars and as a percentage of our revenue:</w:t>
      </w:r>
    </w:p>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20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0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44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780" w:type="dxa"/>
            <w:vAlign w:val="bottom"/>
            <w:tcBorders>
              <w:top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159"/>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tcPr>
          <w:p>
            <w:pPr>
              <w:jc w:val="right"/>
              <w:ind w:right="164"/>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3"/>
                <w:szCs w:val="13"/>
                <w:color w:val="auto"/>
              </w:rPr>
            </w:pPr>
          </w:p>
        </w:tc>
      </w:tr>
      <w:tr>
        <w:trPr>
          <w:trHeight w:val="146"/>
        </w:trPr>
        <w:tc>
          <w:tcPr>
            <w:tcW w:w="44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Borders>
              <w:top w:val="single" w:sz="8" w:color="auto"/>
            </w:tcBorders>
            <w:gridSpan w:val="4"/>
          </w:tcPr>
          <w:p>
            <w:pPr>
              <w:jc w:val="center"/>
              <w:spacing w:after="0" w:line="147"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2"/>
                <w:szCs w:val="12"/>
                <w:color w:val="auto"/>
              </w:rPr>
            </w:pPr>
          </w:p>
        </w:tc>
      </w:tr>
      <w:tr>
        <w:trPr>
          <w:trHeight w:val="171"/>
        </w:trPr>
        <w:tc>
          <w:tcPr>
            <w:tcW w:w="4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ind w:left="4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400" w:type="dxa"/>
            <w:vAlign w:val="bottom"/>
          </w:tcPr>
          <w:p>
            <w:pPr>
              <w:ind w:left="360"/>
              <w:spacing w:after="0" w:line="202" w:lineRule="exact"/>
              <w:rPr>
                <w:sz w:val="20"/>
                <w:szCs w:val="20"/>
                <w:color w:val="auto"/>
              </w:rPr>
            </w:pPr>
            <w:r>
              <w:rPr>
                <w:rFonts w:ascii="Arial" w:cs="Arial" w:eastAsia="Arial" w:hAnsi="Arial"/>
                <w:sz w:val="18"/>
                <w:szCs w:val="18"/>
                <w:color w:val="auto"/>
              </w:rPr>
              <w:t>Commission</w:t>
            </w:r>
          </w:p>
        </w:tc>
        <w:tc>
          <w:tcPr>
            <w:tcW w:w="34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$ 159,754</w:t>
            </w:r>
          </w:p>
        </w:tc>
        <w:tc>
          <w:tcPr>
            <w:tcW w:w="11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$ 254,926</w:t>
            </w:r>
          </w:p>
        </w:tc>
        <w:tc>
          <w:tcPr>
            <w:tcW w:w="10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$ 188,402</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$ 277,531</w:t>
            </w:r>
          </w:p>
        </w:tc>
      </w:tr>
      <w:tr>
        <w:trPr>
          <w:trHeight w:val="27"/>
        </w:trPr>
        <w:tc>
          <w:tcPr>
            <w:tcW w:w="4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24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159,754</w:t>
            </w:r>
          </w:p>
        </w:tc>
        <w:tc>
          <w:tcPr>
            <w:tcW w:w="11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254,926</w:t>
            </w:r>
          </w:p>
        </w:tc>
        <w:tc>
          <w:tcPr>
            <w:tcW w:w="108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188,402</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277,531</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Costs and expenses:</w:t>
            </w:r>
          </w:p>
        </w:tc>
        <w:tc>
          <w:tcPr>
            <w:tcW w:w="2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Sales and marketing</w:t>
            </w:r>
          </w:p>
        </w:tc>
        <w:tc>
          <w:tcPr>
            <w:tcW w:w="34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107,531</w:t>
            </w:r>
          </w:p>
        </w:tc>
        <w:tc>
          <w:tcPr>
            <w:tcW w:w="11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148,664</w:t>
            </w:r>
          </w:p>
        </w:tc>
        <w:tc>
          <w:tcPr>
            <w:tcW w:w="108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108,578</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165,205</w:t>
            </w:r>
          </w:p>
        </w:tc>
      </w:tr>
      <w:tr>
        <w:trPr>
          <w:trHeight w:val="203"/>
        </w:trPr>
        <w:tc>
          <w:tcPr>
            <w:tcW w:w="440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34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21,231</w:t>
            </w:r>
          </w:p>
        </w:tc>
        <w:tc>
          <w:tcPr>
            <w:tcW w:w="11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22,417</w:t>
            </w:r>
          </w:p>
        </w:tc>
        <w:tc>
          <w:tcPr>
            <w:tcW w:w="10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17,674</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30,414</w:t>
            </w:r>
          </w:p>
        </w:tc>
      </w:tr>
      <w:tr>
        <w:trPr>
          <w:trHeight w:val="203"/>
        </w:trPr>
        <w:tc>
          <w:tcPr>
            <w:tcW w:w="4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Technology (exclusive of amortization)</w:t>
            </w:r>
          </w:p>
        </w:tc>
        <w:tc>
          <w:tcPr>
            <w:tcW w:w="34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22,288</w:t>
            </w:r>
          </w:p>
        </w:tc>
        <w:tc>
          <w:tcPr>
            <w:tcW w:w="11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23,133</w:t>
            </w:r>
          </w:p>
        </w:tc>
        <w:tc>
          <w:tcPr>
            <w:tcW w:w="108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16,767</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24,711</w:t>
            </w:r>
          </w:p>
        </w:tc>
      </w:tr>
      <w:tr>
        <w:trPr>
          <w:trHeight w:val="203"/>
        </w:trPr>
        <w:tc>
          <w:tcPr>
            <w:tcW w:w="4400" w:type="dxa"/>
            <w:vAlign w:val="bottom"/>
          </w:tcPr>
          <w:p>
            <w:pPr>
              <w:ind w:left="360"/>
              <w:spacing w:after="0" w:line="202" w:lineRule="exact"/>
              <w:rPr>
                <w:sz w:val="20"/>
                <w:szCs w:val="20"/>
                <w:color w:val="auto"/>
              </w:rPr>
            </w:pPr>
            <w:r>
              <w:rPr>
                <w:rFonts w:ascii="Arial" w:cs="Arial" w:eastAsia="Arial" w:hAnsi="Arial"/>
                <w:sz w:val="18"/>
                <w:szCs w:val="18"/>
                <w:color w:val="auto"/>
              </w:rPr>
              <w:t>Cost of revenue</w:t>
            </w:r>
          </w:p>
        </w:tc>
        <w:tc>
          <w:tcPr>
            <w:tcW w:w="34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5,902</w:t>
            </w:r>
          </w:p>
        </w:tc>
        <w:tc>
          <w:tcPr>
            <w:tcW w:w="11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6,527</w:t>
            </w:r>
          </w:p>
        </w:tc>
        <w:tc>
          <w:tcPr>
            <w:tcW w:w="10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4,969</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4,674</w:t>
            </w:r>
          </w:p>
        </w:tc>
      </w:tr>
      <w:tr>
        <w:trPr>
          <w:trHeight w:val="203"/>
        </w:trPr>
        <w:tc>
          <w:tcPr>
            <w:tcW w:w="4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34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5,713</w:t>
            </w:r>
          </w:p>
        </w:tc>
        <w:tc>
          <w:tcPr>
            <w:tcW w:w="11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5,438</w:t>
            </w:r>
          </w:p>
        </w:tc>
        <w:tc>
          <w:tcPr>
            <w:tcW w:w="108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4,169</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4,075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4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162,665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206,179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229,079</w:t>
            </w:r>
          </w:p>
        </w:tc>
        <w:tc>
          <w:tcPr>
            <w:tcW w:w="80" w:type="dxa"/>
            <w:vAlign w:val="bottom"/>
          </w:tcPr>
          <w:p>
            <w:pPr>
              <w:spacing w:after="0"/>
              <w:rPr>
                <w:sz w:val="18"/>
                <w:szCs w:val="18"/>
                <w:color w:val="auto"/>
              </w:rPr>
            </w:pP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from operations</w:t>
            </w:r>
          </w:p>
        </w:tc>
        <w:tc>
          <w:tcPr>
            <w:tcW w:w="34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(2,911)</w:t>
            </w:r>
          </w:p>
        </w:tc>
        <w:tc>
          <w:tcPr>
            <w:tcW w:w="11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48,747</w:t>
            </w:r>
          </w:p>
        </w:tc>
        <w:tc>
          <w:tcPr>
            <w:tcW w:w="108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36,245</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48,452</w:t>
            </w:r>
          </w:p>
        </w:tc>
      </w:tr>
      <w:tr>
        <w:trPr>
          <w:trHeight w:val="369"/>
        </w:trPr>
        <w:tc>
          <w:tcPr>
            <w:tcW w:w="4400" w:type="dxa"/>
            <w:vAlign w:val="bottom"/>
          </w:tcPr>
          <w:p>
            <w:pPr>
              <w:spacing w:after="0"/>
              <w:rPr>
                <w:sz w:val="24"/>
                <w:szCs w:val="24"/>
                <w:color w:val="auto"/>
              </w:rPr>
            </w:pPr>
          </w:p>
        </w:tc>
        <w:tc>
          <w:tcPr>
            <w:tcW w:w="2420" w:type="dxa"/>
            <w:vAlign w:val="bottom"/>
          </w:tcPr>
          <w:p>
            <w:pPr>
              <w:jc w:val="right"/>
              <w:ind w:right="1130"/>
              <w:spacing w:after="0"/>
              <w:rPr>
                <w:sz w:val="20"/>
                <w:szCs w:val="20"/>
                <w:color w:val="auto"/>
              </w:rPr>
            </w:pPr>
            <w:r>
              <w:rPr>
                <w:rFonts w:ascii="Arial" w:cs="Arial" w:eastAsia="Arial" w:hAnsi="Arial"/>
                <w:sz w:val="18"/>
                <w:szCs w:val="18"/>
                <w:color w:val="auto"/>
              </w:rPr>
              <w:t>96</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80" w:type="dxa"/>
            <w:vAlign w:val="bottom"/>
            <w:gridSpan w:val="5"/>
          </w:tcPr>
          <w:p>
            <w:pPr>
              <w:jc w:val="right"/>
              <w:ind w:right="368"/>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80" w:type="dxa"/>
            <w:vAlign w:val="bottom"/>
            <w:gridSpan w:val="5"/>
          </w:tcPr>
          <w:p>
            <w:pPr>
              <w:jc w:val="right"/>
              <w:ind w:right="308"/>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5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60" w:type="dxa"/>
            <w:vAlign w:val="bottom"/>
            <w:tcBorders>
              <w:top w:val="single" w:sz="8" w:color="auto"/>
            </w:tcBorders>
          </w:tcPr>
          <w:p>
            <w:pPr>
              <w:jc w:val="right"/>
              <w:ind w:right="38"/>
              <w:spacing w:after="0" w:line="155"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3"/>
          </w:tcPr>
          <w:p>
            <w:pPr>
              <w:jc w:val="right"/>
              <w:ind w:right="108"/>
              <w:spacing w:after="0" w:line="155" w:lineRule="exact"/>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jc w:val="right"/>
              <w:ind w:right="83"/>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6"/>
          </w:tcPr>
          <w:p>
            <w:pPr>
              <w:jc w:val="center"/>
              <w:ind w:right="440"/>
              <w:spacing w:after="0" w:line="147"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gridSpan w:val="8"/>
          </w:tcPr>
          <w:p>
            <w:pPr>
              <w:jc w:val="right"/>
              <w:ind w:right="708"/>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1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25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(723)</w:t>
            </w:r>
          </w:p>
        </w:tc>
        <w:tc>
          <w:tcPr>
            <w:tcW w:w="1240" w:type="dxa"/>
            <w:vAlign w:val="bottom"/>
            <w:gridSpan w:val="4"/>
          </w:tcPr>
          <w:p>
            <w:pPr>
              <w:jc w:val="right"/>
              <w:ind w:right="211"/>
              <w:spacing w:after="0" w:line="202" w:lineRule="exact"/>
              <w:rPr>
                <w:sz w:val="20"/>
                <w:szCs w:val="20"/>
                <w:color w:val="auto"/>
              </w:rPr>
            </w:pPr>
            <w:r>
              <w:rPr>
                <w:rFonts w:ascii="Arial" w:cs="Arial" w:eastAsia="Arial" w:hAnsi="Arial"/>
                <w:sz w:val="18"/>
                <w:szCs w:val="18"/>
                <w:color w:val="auto"/>
              </w:rPr>
              <w:t>(595)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(457)</w:t>
            </w:r>
          </w:p>
        </w:tc>
        <w:tc>
          <w:tcPr>
            <w:tcW w:w="300" w:type="dxa"/>
            <w:vAlign w:val="bottom"/>
          </w:tcPr>
          <w:p>
            <w:pPr>
              <w:spacing w:after="0"/>
              <w:rPr>
                <w:sz w:val="17"/>
                <w:szCs w:val="17"/>
                <w:color w:val="auto"/>
              </w:rPr>
            </w:pPr>
          </w:p>
        </w:tc>
        <w:tc>
          <w:tcPr>
            <w:tcW w:w="80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w:t>
            </w:r>
          </w:p>
        </w:tc>
        <w:tc>
          <w:tcPr>
            <w:tcW w:w="25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5,792</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5,599</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4,277</w:t>
            </w:r>
          </w:p>
        </w:tc>
        <w:tc>
          <w:tcPr>
            <w:tcW w:w="30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03"/>
        </w:trPr>
        <w:tc>
          <w:tcPr>
            <w:tcW w:w="5300" w:type="dxa"/>
            <w:vAlign w:val="bottom"/>
          </w:tcPr>
          <w:p>
            <w:pPr>
              <w:ind w:left="360"/>
              <w:spacing w:after="0" w:line="202" w:lineRule="exact"/>
              <w:rPr>
                <w:sz w:val="20"/>
                <w:szCs w:val="20"/>
                <w:color w:val="auto"/>
              </w:rPr>
            </w:pPr>
            <w:r>
              <w:rPr>
                <w:rFonts w:ascii="Arial" w:cs="Arial" w:eastAsia="Arial" w:hAnsi="Arial"/>
                <w:sz w:val="18"/>
                <w:szCs w:val="18"/>
                <w:color w:val="auto"/>
              </w:rPr>
              <w:t>Other income, net</w:t>
            </w:r>
          </w:p>
        </w:tc>
        <w:tc>
          <w:tcPr>
            <w:tcW w:w="1700" w:type="dxa"/>
            <w:vAlign w:val="bottom"/>
          </w:tcPr>
          <w:p>
            <w:pPr>
              <w:spacing w:after="0"/>
              <w:rPr>
                <w:sz w:val="17"/>
                <w:szCs w:val="17"/>
                <w:color w:val="auto"/>
              </w:rPr>
            </w:pP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117</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185</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161</w:t>
            </w:r>
          </w:p>
        </w:tc>
        <w:tc>
          <w:tcPr>
            <w:tcW w:w="300" w:type="dxa"/>
            <w:vAlign w:val="bottom"/>
          </w:tcPr>
          <w:p>
            <w:pPr>
              <w:spacing w:after="0"/>
              <w:rPr>
                <w:sz w:val="17"/>
                <w:szCs w:val="17"/>
                <w:color w:val="auto"/>
              </w:rPr>
            </w:pPr>
          </w:p>
        </w:tc>
        <w:tc>
          <w:tcPr>
            <w:tcW w:w="80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other income (expense), net</w:t>
            </w:r>
          </w:p>
        </w:tc>
        <w:tc>
          <w:tcPr>
            <w:tcW w:w="17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5,186</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5,189</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3,981</w:t>
            </w:r>
          </w:p>
        </w:tc>
        <w:tc>
          <w:tcPr>
            <w:tcW w:w="30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Arial" w:cs="Arial" w:eastAsia="Arial" w:hAnsi="Arial"/>
                <w:sz w:val="18"/>
                <w:szCs w:val="18"/>
                <w:color w:val="auto"/>
              </w:rPr>
              <w:t>Net income before provision for income taxes</w:t>
            </w:r>
          </w:p>
        </w:tc>
        <w:tc>
          <w:tcPr>
            <w:tcW w:w="170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53,936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40,226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50,619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25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(586)</w:t>
            </w:r>
          </w:p>
        </w:tc>
        <w:tc>
          <w:tcPr>
            <w:tcW w:w="1240" w:type="dxa"/>
            <w:vAlign w:val="bottom"/>
            <w:gridSpan w:val="4"/>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(5,104)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(942)</w:t>
            </w:r>
          </w:p>
        </w:tc>
        <w:tc>
          <w:tcPr>
            <w:tcW w:w="30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Arial" w:cs="Arial" w:eastAsia="Arial" w:hAnsi="Arial"/>
                <w:sz w:val="18"/>
                <w:szCs w:val="18"/>
                <w:color w:val="auto"/>
              </w:rPr>
              <w:t>Net income</w:t>
            </w:r>
          </w:p>
        </w:tc>
        <w:tc>
          <w:tcPr>
            <w:tcW w:w="17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1,689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48,832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39,284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46,590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5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5"/>
          </w:tcPr>
          <w:p>
            <w:pPr>
              <w:jc w:val="right"/>
              <w:ind w:right="31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6"/>
          </w:tcPr>
          <w:p>
            <w:pPr>
              <w:jc w:val="right"/>
              <w:ind w:right="25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146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5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2023</w:t>
            </w:r>
          </w:p>
        </w:tc>
        <w:tc>
          <w:tcPr>
            <w:tcW w:w="52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5"/>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360"/>
              <w:spacing w:after="0" w:line="202" w:lineRule="exact"/>
              <w:rPr>
                <w:sz w:val="20"/>
                <w:szCs w:val="20"/>
                <w:color w:val="auto"/>
              </w:rPr>
            </w:pPr>
            <w:r>
              <w:rPr>
                <w:rFonts w:ascii="Arial" w:cs="Arial" w:eastAsia="Arial" w:hAnsi="Arial"/>
                <w:sz w:val="18"/>
                <w:szCs w:val="18"/>
                <w:color w:val="auto"/>
              </w:rPr>
              <w:t>Commission</w:t>
            </w:r>
          </w:p>
        </w:tc>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3"/>
          </w:tcPr>
          <w:p>
            <w:pPr>
              <w:jc w:val="right"/>
              <w:ind w:right="288"/>
              <w:spacing w:after="0" w:line="202" w:lineRule="exact"/>
              <w:rPr>
                <w:sz w:val="20"/>
                <w:szCs w:val="20"/>
                <w:color w:val="auto"/>
              </w:rPr>
            </w:pPr>
            <w:r>
              <w:rPr>
                <w:rFonts w:ascii="Arial" w:cs="Arial" w:eastAsia="Arial" w:hAnsi="Arial"/>
                <w:sz w:val="18"/>
                <w:szCs w:val="18"/>
                <w:color w:val="auto"/>
              </w:rPr>
              <w:t>100%</w:t>
            </w:r>
          </w:p>
        </w:tc>
        <w:tc>
          <w:tcPr>
            <w:tcW w:w="5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100%</w:t>
            </w:r>
          </w:p>
        </w:tc>
        <w:tc>
          <w:tcPr>
            <w:tcW w:w="1000" w:type="dxa"/>
            <w:vAlign w:val="bottom"/>
            <w:gridSpan w:val="4"/>
          </w:tcPr>
          <w:p>
            <w:pPr>
              <w:jc w:val="right"/>
              <w:ind w:right="68"/>
              <w:spacing w:after="0" w:line="202" w:lineRule="exact"/>
              <w:rPr>
                <w:sz w:val="20"/>
                <w:szCs w:val="20"/>
                <w:color w:val="auto"/>
              </w:rPr>
            </w:pPr>
            <w:r>
              <w:rPr>
                <w:rFonts w:ascii="Arial" w:cs="Arial" w:eastAsia="Arial" w:hAnsi="Arial"/>
                <w:sz w:val="18"/>
                <w:szCs w:val="18"/>
                <w:color w:val="auto"/>
              </w:rPr>
              <w:t>100%</w:t>
            </w:r>
          </w:p>
        </w:tc>
        <w:tc>
          <w:tcPr>
            <w:tcW w:w="80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1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100</w:t>
            </w:r>
          </w:p>
        </w:tc>
        <w:tc>
          <w:tcPr>
            <w:tcW w:w="6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Costs and expenses:</w:t>
            </w:r>
          </w:p>
        </w:tc>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Sales and marketing</w:t>
            </w:r>
          </w:p>
        </w:tc>
        <w:tc>
          <w:tcPr>
            <w:tcW w:w="1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67</w:t>
            </w:r>
          </w:p>
        </w:tc>
        <w:tc>
          <w:tcPr>
            <w:tcW w:w="4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58</w:t>
            </w:r>
          </w:p>
        </w:tc>
        <w:tc>
          <w:tcPr>
            <w:tcW w:w="6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3"/>
          </w:tcPr>
          <w:p>
            <w:pPr>
              <w:jc w:val="right"/>
              <w:ind w:right="448"/>
              <w:spacing w:after="0" w:line="202" w:lineRule="exact"/>
              <w:rPr>
                <w:sz w:val="20"/>
                <w:szCs w:val="20"/>
                <w:color w:val="auto"/>
              </w:rPr>
            </w:pPr>
            <w:r>
              <w:rPr>
                <w:rFonts w:ascii="Arial" w:cs="Arial" w:eastAsia="Arial" w:hAnsi="Arial"/>
                <w:sz w:val="18"/>
                <w:szCs w:val="18"/>
                <w:color w:val="auto"/>
              </w:rPr>
              <w:t>13</w:t>
            </w:r>
          </w:p>
        </w:tc>
        <w:tc>
          <w:tcPr>
            <w:tcW w:w="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1000" w:type="dxa"/>
            <w:vAlign w:val="bottom"/>
            <w:gridSpan w:val="4"/>
          </w:tcPr>
          <w:p>
            <w:pPr>
              <w:jc w:val="right"/>
              <w:ind w:right="228"/>
              <w:spacing w:after="0" w:line="202" w:lineRule="exact"/>
              <w:rPr>
                <w:sz w:val="20"/>
                <w:szCs w:val="20"/>
                <w:color w:val="auto"/>
              </w:rPr>
            </w:pPr>
            <w:r>
              <w:rPr>
                <w:rFonts w:ascii="Arial" w:cs="Arial" w:eastAsia="Arial" w:hAnsi="Arial"/>
                <w:sz w:val="18"/>
                <w:szCs w:val="18"/>
                <w:color w:val="auto"/>
              </w:rPr>
              <w:t>9</w:t>
            </w:r>
          </w:p>
        </w:tc>
        <w:tc>
          <w:tcPr>
            <w:tcW w:w="6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Technology (exclusive of amortization)</w:t>
            </w:r>
          </w:p>
        </w:tc>
        <w:tc>
          <w:tcPr>
            <w:tcW w:w="1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14</w:t>
            </w:r>
          </w:p>
        </w:tc>
        <w:tc>
          <w:tcPr>
            <w:tcW w:w="4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9</w:t>
            </w:r>
          </w:p>
        </w:tc>
        <w:tc>
          <w:tcPr>
            <w:tcW w:w="6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360"/>
              <w:spacing w:after="0" w:line="202" w:lineRule="exact"/>
              <w:rPr>
                <w:sz w:val="20"/>
                <w:szCs w:val="20"/>
                <w:color w:val="auto"/>
              </w:rPr>
            </w:pPr>
            <w:r>
              <w:rPr>
                <w:rFonts w:ascii="Arial" w:cs="Arial" w:eastAsia="Arial" w:hAnsi="Arial"/>
                <w:sz w:val="18"/>
                <w:szCs w:val="18"/>
                <w:color w:val="auto"/>
              </w:rPr>
              <w:t>Cost of revenue</w:t>
            </w:r>
          </w:p>
        </w:tc>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3"/>
          </w:tcPr>
          <w:p>
            <w:pPr>
              <w:jc w:val="right"/>
              <w:ind w:right="448"/>
              <w:spacing w:after="0" w:line="202" w:lineRule="exact"/>
              <w:rPr>
                <w:sz w:val="20"/>
                <w:szCs w:val="20"/>
                <w:color w:val="auto"/>
              </w:rPr>
            </w:pPr>
            <w:r>
              <w:rPr>
                <w:rFonts w:ascii="Arial" w:cs="Arial" w:eastAsia="Arial" w:hAnsi="Arial"/>
                <w:sz w:val="18"/>
                <w:szCs w:val="18"/>
                <w:color w:val="auto"/>
              </w:rPr>
              <w:t>4</w:t>
            </w:r>
          </w:p>
        </w:tc>
        <w:tc>
          <w:tcPr>
            <w:tcW w:w="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000" w:type="dxa"/>
            <w:vAlign w:val="bottom"/>
            <w:gridSpan w:val="4"/>
          </w:tcPr>
          <w:p>
            <w:pPr>
              <w:jc w:val="right"/>
              <w:ind w:right="228"/>
              <w:spacing w:after="0" w:line="202" w:lineRule="exact"/>
              <w:rPr>
                <w:sz w:val="20"/>
                <w:szCs w:val="20"/>
                <w:color w:val="auto"/>
              </w:rPr>
            </w:pPr>
            <w:r>
              <w:rPr>
                <w:rFonts w:ascii="Arial" w:cs="Arial" w:eastAsia="Arial" w:hAnsi="Arial"/>
                <w:sz w:val="18"/>
                <w:szCs w:val="18"/>
                <w:color w:val="auto"/>
              </w:rPr>
              <w:t>3</w:t>
            </w:r>
          </w:p>
        </w:tc>
        <w:tc>
          <w:tcPr>
            <w:tcW w:w="6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1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4</w:t>
            </w:r>
          </w:p>
        </w:tc>
        <w:tc>
          <w:tcPr>
            <w:tcW w:w="4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2</w:t>
            </w:r>
          </w:p>
        </w:tc>
        <w:tc>
          <w:tcPr>
            <w:tcW w:w="6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30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from operations</w:t>
            </w:r>
          </w:p>
        </w:tc>
        <w:tc>
          <w:tcPr>
            <w:tcW w:w="1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388"/>
              <w:spacing w:after="0" w:line="202" w:lineRule="exact"/>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19</w:t>
            </w:r>
          </w:p>
        </w:tc>
        <w:tc>
          <w:tcPr>
            <w:tcW w:w="6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1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0</w:t>
            </w:r>
          </w:p>
        </w:tc>
        <w:tc>
          <w:tcPr>
            <w:tcW w:w="4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0</w:t>
            </w:r>
          </w:p>
        </w:tc>
        <w:tc>
          <w:tcPr>
            <w:tcW w:w="6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360"/>
              <w:spacing w:after="0" w:line="202" w:lineRule="exact"/>
              <w:rPr>
                <w:sz w:val="20"/>
                <w:szCs w:val="20"/>
                <w:color w:val="auto"/>
              </w:rPr>
            </w:pPr>
            <w:r>
              <w:rPr>
                <w:rFonts w:ascii="Arial" w:cs="Arial" w:eastAsia="Arial" w:hAnsi="Arial"/>
                <w:sz w:val="18"/>
                <w:szCs w:val="18"/>
                <w:color w:val="auto"/>
              </w:rPr>
              <w:t>Interest income</w:t>
            </w:r>
          </w:p>
        </w:tc>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3"/>
          </w:tcPr>
          <w:p>
            <w:pPr>
              <w:jc w:val="right"/>
              <w:ind w:right="448"/>
              <w:spacing w:after="0" w:line="202" w:lineRule="exact"/>
              <w:rPr>
                <w:sz w:val="20"/>
                <w:szCs w:val="20"/>
                <w:color w:val="auto"/>
              </w:rPr>
            </w:pPr>
            <w:r>
              <w:rPr>
                <w:rFonts w:ascii="Arial" w:cs="Arial" w:eastAsia="Arial" w:hAnsi="Arial"/>
                <w:sz w:val="18"/>
                <w:szCs w:val="18"/>
                <w:color w:val="auto"/>
              </w:rPr>
              <w:t>4</w:t>
            </w:r>
          </w:p>
        </w:tc>
        <w:tc>
          <w:tcPr>
            <w:tcW w:w="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000" w:type="dxa"/>
            <w:vAlign w:val="bottom"/>
            <w:gridSpan w:val="4"/>
          </w:tcPr>
          <w:p>
            <w:pPr>
              <w:jc w:val="right"/>
              <w:ind w:right="228"/>
              <w:spacing w:after="0" w:line="202" w:lineRule="exact"/>
              <w:rPr>
                <w:sz w:val="20"/>
                <w:szCs w:val="20"/>
                <w:color w:val="auto"/>
              </w:rPr>
            </w:pPr>
            <w:r>
              <w:rPr>
                <w:rFonts w:ascii="Arial" w:cs="Arial" w:eastAsia="Arial" w:hAnsi="Arial"/>
                <w:sz w:val="18"/>
                <w:szCs w:val="18"/>
                <w:color w:val="auto"/>
              </w:rPr>
              <w:t>2</w:t>
            </w:r>
          </w:p>
        </w:tc>
        <w:tc>
          <w:tcPr>
            <w:tcW w:w="6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income, net</w:t>
            </w:r>
          </w:p>
        </w:tc>
        <w:tc>
          <w:tcPr>
            <w:tcW w:w="1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0</w:t>
            </w:r>
          </w:p>
        </w:tc>
        <w:tc>
          <w:tcPr>
            <w:tcW w:w="4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0</w:t>
            </w:r>
          </w:p>
        </w:tc>
        <w:tc>
          <w:tcPr>
            <w:tcW w:w="6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before provision for income taxes</w:t>
            </w:r>
          </w:p>
        </w:tc>
        <w:tc>
          <w:tcPr>
            <w:tcW w:w="1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1</w:t>
            </w:r>
          </w:p>
        </w:tc>
        <w:tc>
          <w:tcPr>
            <w:tcW w:w="4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21</w:t>
            </w:r>
          </w:p>
        </w:tc>
        <w:tc>
          <w:tcPr>
            <w:tcW w:w="6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3"/>
          </w:tcPr>
          <w:p>
            <w:pPr>
              <w:jc w:val="right"/>
              <w:ind w:right="388"/>
              <w:spacing w:after="0" w:line="202" w:lineRule="exact"/>
              <w:rPr>
                <w:sz w:val="20"/>
                <w:szCs w:val="20"/>
                <w:color w:val="auto"/>
              </w:rPr>
            </w:pPr>
            <w:r>
              <w:rPr>
                <w:rFonts w:ascii="Arial" w:cs="Arial" w:eastAsia="Arial" w:hAnsi="Arial"/>
                <w:sz w:val="18"/>
                <w:szCs w:val="18"/>
                <w:color w:val="auto"/>
              </w:rPr>
              <w:t>(0)</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000" w:type="dxa"/>
            <w:vAlign w:val="bottom"/>
            <w:gridSpan w:val="4"/>
          </w:tcPr>
          <w:p>
            <w:pPr>
              <w:jc w:val="right"/>
              <w:ind w:right="168"/>
              <w:spacing w:after="0" w:line="202" w:lineRule="exact"/>
              <w:rPr>
                <w:sz w:val="20"/>
                <w:szCs w:val="20"/>
                <w:color w:val="auto"/>
              </w:rPr>
            </w:pPr>
            <w:r>
              <w:rPr>
                <w:rFonts w:ascii="Arial" w:cs="Arial" w:eastAsia="Arial" w:hAnsi="Arial"/>
                <w:sz w:val="18"/>
                <w:szCs w:val="18"/>
                <w:color w:val="auto"/>
              </w:rPr>
              <w:t>(0)</w:t>
            </w:r>
          </w:p>
        </w:tc>
        <w:tc>
          <w:tcPr>
            <w:tcW w:w="6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1%</w:t>
            </w:r>
          </w:p>
        </w:tc>
        <w:tc>
          <w:tcPr>
            <w:tcW w:w="5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1000" w:type="dxa"/>
            <w:vAlign w:val="bottom"/>
            <w:gridSpan w:val="4"/>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21%</w:t>
            </w:r>
          </w:p>
        </w:tc>
        <w:tc>
          <w:tcPr>
            <w:tcW w:w="80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*Certain figures may not sum due to rounding</w:t>
            </w: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the Nine Months Ended September 30, 2024 and 2025</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gridSpan w:val="6"/>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5"/>
              </w:rPr>
              <w:t> </w:t>
            </w:r>
          </w:p>
        </w:tc>
        <w:tc>
          <w:tcPr>
            <w:tcW w:w="122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 xml:space="preserve">  2024   </w:t>
            </w:r>
          </w:p>
        </w:tc>
        <w:tc>
          <w:tcPr>
            <w:tcW w:w="3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xml:space="preserve">   </w:t>
            </w:r>
          </w:p>
        </w:tc>
        <w:tc>
          <w:tcPr>
            <w:tcW w:w="780" w:type="dxa"/>
            <w:vAlign w:val="bottom"/>
            <w:tcBorders>
              <w:top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 xml:space="preserve">2025   </w:t>
            </w:r>
          </w:p>
        </w:tc>
        <w:tc>
          <w:tcPr>
            <w:tcW w:w="6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gridSpan w:val="4"/>
          </w:tcPr>
          <w:p>
            <w:pPr>
              <w:jc w:val="right"/>
              <w:ind w:right="68"/>
              <w:spacing w:after="0" w:line="155" w:lineRule="exact"/>
              <w:rPr>
                <w:sz w:val="20"/>
                <w:szCs w:val="20"/>
                <w:color w:val="auto"/>
              </w:rPr>
            </w:pPr>
            <w:r>
              <w:rPr>
                <w:rFonts w:ascii="Arial" w:cs="Arial" w:eastAsia="Arial" w:hAnsi="Arial"/>
                <w:sz w:val="14"/>
                <w:szCs w:val="14"/>
                <w:b w:val="1"/>
                <w:bCs w:val="1"/>
                <w:color w:val="auto"/>
              </w:rPr>
              <w:t>(in thousands)</w:t>
            </w:r>
          </w:p>
        </w:tc>
        <w:tc>
          <w:tcPr>
            <w:tcW w:w="780" w:type="dxa"/>
            <w:vAlign w:val="bottom"/>
            <w:tcBorders>
              <w:top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DTC channel revenue</w:t>
            </w:r>
          </w:p>
        </w:tc>
        <w:tc>
          <w:tcPr>
            <w:tcW w:w="300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135,331</w:t>
            </w:r>
          </w:p>
        </w:tc>
        <w:tc>
          <w:tcPr>
            <w:tcW w:w="66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168,285</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Third-party channel revenue</w:t>
            </w:r>
          </w:p>
        </w:tc>
        <w:tc>
          <w:tcPr>
            <w:tcW w:w="300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53,071</w:t>
            </w:r>
          </w:p>
        </w:tc>
        <w:tc>
          <w:tcPr>
            <w:tcW w:w="66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109,246</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Revenue</w:t>
            </w:r>
          </w:p>
        </w:tc>
        <w:tc>
          <w:tcPr>
            <w:tcW w:w="300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188,402</w:t>
            </w:r>
          </w:p>
        </w:tc>
        <w:tc>
          <w:tcPr>
            <w:tcW w:w="66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277,531</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69"/>
        </w:trPr>
        <w:tc>
          <w:tcPr>
            <w:tcW w:w="3820" w:type="dxa"/>
            <w:vAlign w:val="bottom"/>
          </w:tcPr>
          <w:p>
            <w:pPr>
              <w:spacing w:after="0"/>
              <w:rPr>
                <w:sz w:val="24"/>
                <w:szCs w:val="24"/>
                <w:color w:val="auto"/>
              </w:rPr>
            </w:pPr>
          </w:p>
        </w:tc>
        <w:tc>
          <w:tcPr>
            <w:tcW w:w="2820" w:type="dxa"/>
            <w:vAlign w:val="bottom"/>
          </w:tcPr>
          <w:p>
            <w:pPr>
              <w:jc w:val="right"/>
              <w:ind w:right="95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60" w:firstLine="551"/>
        <w:spacing w:after="0" w:line="242" w:lineRule="auto"/>
        <w:rPr>
          <w:sz w:val="20"/>
          <w:szCs w:val="20"/>
          <w:color w:val="auto"/>
        </w:rPr>
      </w:pPr>
      <w:r>
        <w:rPr>
          <w:rFonts w:ascii="Arial" w:cs="Arial" w:eastAsia="Arial" w:hAnsi="Arial"/>
          <w:sz w:val="18"/>
          <w:szCs w:val="18"/>
          <w:color w:val="auto"/>
        </w:rPr>
        <w:t>Revenue increased by $89.1 million, or 47%, for the nine months ended September 30, 2025 compared to the nine months ended September 30, 2024. The increase was primarily driven by a 61% increase in activated policies across both the DTC and third-party channels. DTC channel revenue grew by $33.0 million, or 24%, whereas the third-party channel revenue grew by $56.2 million, or 106%. Third-party channel revenue grew at a faster rate, primarily due to the accelerated growth of our Whole Life Insurance products, which were primarily sold through the third-party channel. These products had relatively lower coverage amounts, driving a 9% decrease in ARPU over the same period.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and Marketing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60" w:type="dxa"/>
            <w:vAlign w:val="bottom"/>
            <w:gridSpan w:val="4"/>
          </w:tcPr>
          <w:p>
            <w:pPr>
              <w:jc w:val="center"/>
              <w:ind w:right="1220"/>
              <w:spacing w:after="0"/>
              <w:rPr>
                <w:sz w:val="20"/>
                <w:szCs w:val="20"/>
                <w:color w:val="auto"/>
              </w:rPr>
            </w:pPr>
            <w:r>
              <w:rPr>
                <w:rFonts w:ascii="Arial" w:cs="Arial" w:eastAsia="Arial" w:hAnsi="Arial"/>
                <w:sz w:val="14"/>
                <w:szCs w:val="14"/>
                <w:b w:val="1"/>
                <w:bCs w:val="1"/>
                <w:color w:val="auto"/>
              </w:rPr>
              <w:t>Nine Months Ended September 30,</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6160" w:type="dxa"/>
            <w:vAlign w:val="bottom"/>
          </w:tcPr>
          <w:p>
            <w:pPr>
              <w:spacing w:after="0"/>
              <w:rPr>
                <w:sz w:val="13"/>
                <w:szCs w:val="13"/>
                <w:color w:val="auto"/>
              </w:rPr>
            </w:pPr>
          </w:p>
        </w:tc>
        <w:tc>
          <w:tcPr>
            <w:tcW w:w="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xml:space="preserve">   </w:t>
            </w:r>
          </w:p>
        </w:tc>
        <w:tc>
          <w:tcPr>
            <w:tcW w:w="1680" w:type="dxa"/>
            <w:vAlign w:val="bottom"/>
            <w:tcBorders>
              <w:top w:val="single" w:sz="8" w:color="auto"/>
            </w:tcBorders>
          </w:tcPr>
          <w:p>
            <w:pPr>
              <w:jc w:val="right"/>
              <w:ind w:right="1042"/>
              <w:spacing w:after="0" w:line="155" w:lineRule="exact"/>
              <w:rPr>
                <w:sz w:val="20"/>
                <w:szCs w:val="20"/>
                <w:color w:val="auto"/>
              </w:rPr>
            </w:pPr>
            <w:r>
              <w:rPr>
                <w:rFonts w:ascii="Arial" w:cs="Arial" w:eastAsia="Arial" w:hAnsi="Arial"/>
                <w:sz w:val="14"/>
                <w:szCs w:val="14"/>
                <w:b w:val="1"/>
                <w:bCs w:val="1"/>
                <w:color w:val="auto"/>
              </w:rPr>
              <w:t xml:space="preserve">2024   </w:t>
            </w:r>
          </w:p>
        </w:tc>
        <w:tc>
          <w:tcPr>
            <w:tcW w:w="3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xml:space="preserve">   </w:t>
            </w:r>
          </w:p>
        </w:tc>
        <w:tc>
          <w:tcPr>
            <w:tcW w:w="740" w:type="dxa"/>
            <w:vAlign w:val="bottom"/>
            <w:tcBorders>
              <w:top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 xml:space="preserve">2025   </w:t>
            </w:r>
          </w:p>
        </w:tc>
        <w:tc>
          <w:tcPr>
            <w:tcW w:w="9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1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2"/>
          </w:tcPr>
          <w:p>
            <w:pPr>
              <w:jc w:val="center"/>
              <w:ind w:left="362"/>
              <w:spacing w:after="0" w:line="147" w:lineRule="exact"/>
              <w:rPr>
                <w:sz w:val="20"/>
                <w:szCs w:val="20"/>
                <w:color w:val="auto"/>
              </w:rPr>
            </w:pPr>
            <w:r>
              <w:rPr>
                <w:rFonts w:ascii="Arial" w:cs="Arial" w:eastAsia="Arial" w:hAnsi="Arial"/>
                <w:sz w:val="14"/>
                <w:szCs w:val="14"/>
                <w:b w:val="1"/>
                <w:bCs w:val="1"/>
                <w:color w:val="auto"/>
              </w:rPr>
              <w:t>(in thousands, except</w:t>
            </w:r>
          </w:p>
        </w:tc>
        <w:tc>
          <w:tcPr>
            <w:tcW w:w="740" w:type="dxa"/>
            <w:vAlign w:val="bottom"/>
            <w:tcBorders>
              <w:top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center"/>
              <w:ind w:left="702"/>
              <w:spacing w:after="0"/>
              <w:rPr>
                <w:sz w:val="20"/>
                <w:szCs w:val="20"/>
                <w:color w:val="auto"/>
              </w:rPr>
            </w:pPr>
            <w:r>
              <w:rPr>
                <w:rFonts w:ascii="Arial" w:cs="Arial" w:eastAsia="Arial" w:hAnsi="Arial"/>
                <w:sz w:val="14"/>
                <w:szCs w:val="14"/>
                <w:b w:val="1"/>
                <w:bCs w:val="1"/>
                <w:color w:val="auto"/>
              </w:rPr>
              <w:t>percentages)</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862"/>
              <w:spacing w:after="0" w:line="202" w:lineRule="exact"/>
              <w:rPr>
                <w:sz w:val="20"/>
                <w:szCs w:val="20"/>
                <w:color w:val="auto"/>
              </w:rPr>
            </w:pPr>
            <w:r>
              <w:rPr>
                <w:rFonts w:ascii="Arial" w:cs="Arial" w:eastAsia="Arial" w:hAnsi="Arial"/>
                <w:sz w:val="18"/>
                <w:szCs w:val="18"/>
                <w:color w:val="auto"/>
              </w:rPr>
              <w:t>108,578</w:t>
            </w:r>
          </w:p>
        </w:tc>
        <w:tc>
          <w:tcPr>
            <w:tcW w:w="320" w:type="dxa"/>
            <w:vAlign w:val="bottom"/>
            <w:shd w:val="clear" w:color="auto" w:fill="CCEEFF"/>
          </w:tcPr>
          <w:p>
            <w:pPr>
              <w:jc w:val="right"/>
              <w:ind w:right="139"/>
              <w:spacing w:after="0" w:line="202" w:lineRule="exact"/>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rPr>
              <w:t>165,205</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9"/>
        </w:trPr>
        <w:tc>
          <w:tcPr>
            <w:tcW w:w="6160" w:type="dxa"/>
            <w:vAlign w:val="bottom"/>
          </w:tcPr>
          <w:p>
            <w:pPr>
              <w:spacing w:after="0"/>
              <w:rPr>
                <w:sz w:val="20"/>
                <w:szCs w:val="20"/>
                <w:color w:val="auto"/>
              </w:rPr>
            </w:pPr>
            <w:r>
              <w:rPr>
                <w:rFonts w:ascii="Arial" w:cs="Arial" w:eastAsia="Arial" w:hAnsi="Arial"/>
                <w:sz w:val="18"/>
                <w:szCs w:val="18"/>
                <w:color w:val="auto"/>
              </w:rPr>
              <w:t>Percentage of revenues</w:t>
            </w:r>
          </w:p>
        </w:tc>
        <w:tc>
          <w:tcPr>
            <w:tcW w:w="280" w:type="dxa"/>
            <w:vAlign w:val="bottom"/>
          </w:tcPr>
          <w:p>
            <w:pPr>
              <w:spacing w:after="0"/>
              <w:rPr>
                <w:sz w:val="20"/>
                <w:szCs w:val="20"/>
                <w:color w:val="auto"/>
              </w:rPr>
            </w:pPr>
          </w:p>
        </w:tc>
        <w:tc>
          <w:tcPr>
            <w:tcW w:w="1680" w:type="dxa"/>
            <w:vAlign w:val="bottom"/>
          </w:tcPr>
          <w:p>
            <w:pPr>
              <w:jc w:val="right"/>
              <w:ind w:right="702"/>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20"/>
                <w:szCs w:val="20"/>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60%</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Sales and marketing expenses increased by $56.6 million, or 52%, for the nine months ended September 30, 2025 compared to the nine months ended September 30, 2024. This increase was primarily driven by a $ 46.6 million increase in agent payments and advertising spend, as we continued to scale both our DTC and third-party channels by driving lead growth through direct marketing and brand awareness campaigns and compensating agents for volume growth. Agent payments increased by 69%, from $37.3 million for nine months ended September 30, 2024 to $63.1 million for the same period in 2025, and advertising spend increased by 43%, from</w:t>
      </w:r>
    </w:p>
    <w:p>
      <w:pPr>
        <w:ind w:left="120"/>
        <w:spacing w:after="0"/>
        <w:rPr>
          <w:sz w:val="20"/>
          <w:szCs w:val="20"/>
          <w:color w:val="auto"/>
        </w:rPr>
      </w:pPr>
      <w:r>
        <w:rPr>
          <w:rFonts w:ascii="Arial" w:cs="Arial" w:eastAsia="Arial" w:hAnsi="Arial"/>
          <w:sz w:val="18"/>
          <w:szCs w:val="18"/>
          <w:color w:val="auto"/>
        </w:rPr>
        <w:t>$48.6 million for the nine months ended September 30, 2024 to $69.5 million for the same period in 2025. Other key drivers were an</w:t>
      </w:r>
    </w:p>
    <w:p>
      <w:pPr>
        <w:ind w:left="120"/>
        <w:spacing w:after="0" w:line="234" w:lineRule="auto"/>
        <w:rPr>
          <w:sz w:val="20"/>
          <w:szCs w:val="20"/>
          <w:color w:val="auto"/>
        </w:rPr>
      </w:pPr>
      <w:r>
        <w:rPr>
          <w:rFonts w:ascii="Arial" w:cs="Arial" w:eastAsia="Arial" w:hAnsi="Arial"/>
          <w:sz w:val="18"/>
          <w:szCs w:val="18"/>
          <w:color w:val="auto"/>
        </w:rPr>
        <w:t>increase of $3.1 million in underwriting costs for non-activated policies associated with higher application volume and an increase of</w:t>
      </w:r>
    </w:p>
    <w:p>
      <w:pPr>
        <w:ind w:left="120"/>
        <w:spacing w:after="0" w:line="235" w:lineRule="auto"/>
        <w:rPr>
          <w:sz w:val="20"/>
          <w:szCs w:val="20"/>
          <w:color w:val="auto"/>
        </w:rPr>
      </w:pPr>
      <w:r>
        <w:rPr>
          <w:rFonts w:ascii="Arial" w:cs="Arial" w:eastAsia="Arial" w:hAnsi="Arial"/>
          <w:sz w:val="18"/>
          <w:szCs w:val="18"/>
          <w:color w:val="auto"/>
        </w:rPr>
        <w:t>$2.8 million in personnel-related expenses as we increased headcount to support revenue growth. As a percentage of revenue, sales and</w:t>
      </w:r>
    </w:p>
    <w:p>
      <w:pPr>
        <w:ind w:left="120"/>
        <w:spacing w:after="0" w:line="235" w:lineRule="auto"/>
        <w:rPr>
          <w:sz w:val="20"/>
          <w:szCs w:val="20"/>
          <w:color w:val="auto"/>
        </w:rPr>
      </w:pPr>
      <w:r>
        <w:rPr>
          <w:rFonts w:ascii="Arial" w:cs="Arial" w:eastAsia="Arial" w:hAnsi="Arial"/>
          <w:sz w:val="18"/>
          <w:szCs w:val="18"/>
          <w:color w:val="auto"/>
        </w:rPr>
        <w:t>marketing expenses were 60% for the nine months ended September 30, 2025, increasing from 58% for the nine months ended</w:t>
      </w:r>
    </w:p>
    <w:p>
      <w:pPr>
        <w:ind w:left="120"/>
        <w:spacing w:after="0"/>
        <w:rPr>
          <w:sz w:val="20"/>
          <w:szCs w:val="20"/>
          <w:color w:val="auto"/>
        </w:rPr>
      </w:pPr>
      <w:r>
        <w:rPr>
          <w:rFonts w:ascii="Arial" w:cs="Arial" w:eastAsia="Arial" w:hAnsi="Arial"/>
          <w:sz w:val="18"/>
          <w:szCs w:val="18"/>
          <w:color w:val="auto"/>
        </w:rPr>
        <w:t>September 30, 2024.</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20" w:type="dxa"/>
            <w:vAlign w:val="bottom"/>
            <w:gridSpan w:val="4"/>
          </w:tcPr>
          <w:p>
            <w:pPr>
              <w:jc w:val="center"/>
              <w:ind w:right="1180"/>
              <w:spacing w:after="0"/>
              <w:rPr>
                <w:sz w:val="20"/>
                <w:szCs w:val="20"/>
                <w:color w:val="auto"/>
              </w:rPr>
            </w:pPr>
            <w:r>
              <w:rPr>
                <w:rFonts w:ascii="Arial" w:cs="Arial" w:eastAsia="Arial" w:hAnsi="Arial"/>
                <w:sz w:val="14"/>
                <w:szCs w:val="14"/>
                <w:b w:val="1"/>
                <w:bCs w:val="1"/>
                <w:color w:val="auto"/>
              </w:rPr>
              <w:t>Nine Months Ended September 30,</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6200" w:type="dxa"/>
            <w:vAlign w:val="bottom"/>
          </w:tcPr>
          <w:p>
            <w:pPr>
              <w:spacing w:after="0"/>
              <w:rPr>
                <w:sz w:val="13"/>
                <w:szCs w:val="13"/>
                <w:color w:val="auto"/>
              </w:rPr>
            </w:pPr>
          </w:p>
        </w:tc>
        <w:tc>
          <w:tcPr>
            <w:tcW w:w="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xml:space="preserve">   </w:t>
            </w:r>
          </w:p>
        </w:tc>
        <w:tc>
          <w:tcPr>
            <w:tcW w:w="1300" w:type="dxa"/>
            <w:vAlign w:val="bottom"/>
            <w:tcBorders>
              <w:top w:val="single" w:sz="8" w:color="auto"/>
            </w:tcBorders>
          </w:tcPr>
          <w:p>
            <w:pPr>
              <w:jc w:val="right"/>
              <w:ind w:right="642"/>
              <w:spacing w:after="0" w:line="155" w:lineRule="exact"/>
              <w:rPr>
                <w:sz w:val="20"/>
                <w:szCs w:val="20"/>
                <w:color w:val="auto"/>
              </w:rPr>
            </w:pPr>
            <w:r>
              <w:rPr>
                <w:rFonts w:ascii="Arial" w:cs="Arial" w:eastAsia="Arial" w:hAnsi="Arial"/>
                <w:sz w:val="14"/>
                <w:szCs w:val="14"/>
                <w:b w:val="1"/>
                <w:bCs w:val="1"/>
                <w:color w:val="auto"/>
              </w:rPr>
              <w:t xml:space="preserve">2024   </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xml:space="preserve">   </w:t>
            </w:r>
          </w:p>
        </w:tc>
        <w:tc>
          <w:tcPr>
            <w:tcW w:w="72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 xml:space="preserve">2025   </w:t>
            </w:r>
          </w:p>
        </w:tc>
        <w:tc>
          <w:tcPr>
            <w:tcW w:w="9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2"/>
          </w:tcPr>
          <w:p>
            <w:pPr>
              <w:jc w:val="center"/>
              <w:ind w:left="362"/>
              <w:spacing w:after="0" w:line="147" w:lineRule="exact"/>
              <w:rPr>
                <w:sz w:val="20"/>
                <w:szCs w:val="20"/>
                <w:color w:val="auto"/>
              </w:rPr>
            </w:pPr>
            <w:r>
              <w:rPr>
                <w:rFonts w:ascii="Arial" w:cs="Arial" w:eastAsia="Arial" w:hAnsi="Arial"/>
                <w:sz w:val="14"/>
                <w:szCs w:val="14"/>
                <w:b w:val="1"/>
                <w:bCs w:val="1"/>
                <w:color w:val="auto"/>
              </w:rPr>
              <w:t>(in thousands, except</w:t>
            </w:r>
          </w:p>
        </w:tc>
        <w:tc>
          <w:tcPr>
            <w:tcW w:w="720" w:type="dxa"/>
            <w:vAlign w:val="bottom"/>
            <w:tcBorders>
              <w:top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2"/>
          </w:tcPr>
          <w:p>
            <w:pPr>
              <w:jc w:val="center"/>
              <w:ind w:left="382"/>
              <w:spacing w:after="0"/>
              <w:rPr>
                <w:sz w:val="20"/>
                <w:szCs w:val="20"/>
                <w:color w:val="auto"/>
              </w:rPr>
            </w:pPr>
            <w:r>
              <w:rPr>
                <w:rFonts w:ascii="Arial" w:cs="Arial" w:eastAsia="Arial" w:hAnsi="Arial"/>
                <w:sz w:val="14"/>
                <w:szCs w:val="14"/>
                <w:b w:val="1"/>
                <w:bCs w:val="1"/>
                <w:color w:val="auto"/>
              </w:rPr>
              <w:t>percentages)</w:t>
            </w: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462"/>
              <w:spacing w:after="0" w:line="202" w:lineRule="exact"/>
              <w:rPr>
                <w:sz w:val="20"/>
                <w:szCs w:val="20"/>
                <w:color w:val="auto"/>
              </w:rPr>
            </w:pPr>
            <w:r>
              <w:rPr>
                <w:rFonts w:ascii="Arial" w:cs="Arial" w:eastAsia="Arial" w:hAnsi="Arial"/>
                <w:sz w:val="18"/>
                <w:szCs w:val="18"/>
                <w:color w:val="auto"/>
              </w:rPr>
              <w:t>17,674</w:t>
            </w:r>
          </w:p>
        </w:tc>
        <w:tc>
          <w:tcPr>
            <w:tcW w:w="700" w:type="dxa"/>
            <w:vAlign w:val="bottom"/>
            <w:shd w:val="clear" w:color="auto" w:fill="CCEEFF"/>
          </w:tcPr>
          <w:p>
            <w:pPr>
              <w:jc w:val="right"/>
              <w:ind w:right="139"/>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00"/>
              <w:spacing w:after="0" w:line="202" w:lineRule="exact"/>
              <w:rPr>
                <w:sz w:val="20"/>
                <w:szCs w:val="20"/>
                <w:color w:val="auto"/>
              </w:rPr>
            </w:pPr>
            <w:r>
              <w:rPr>
                <w:rFonts w:ascii="Arial" w:cs="Arial" w:eastAsia="Arial" w:hAnsi="Arial"/>
                <w:sz w:val="18"/>
                <w:szCs w:val="18"/>
                <w:color w:val="auto"/>
              </w:rPr>
              <w:t>30,414</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9"/>
        </w:trPr>
        <w:tc>
          <w:tcPr>
            <w:tcW w:w="6200" w:type="dxa"/>
            <w:vAlign w:val="bottom"/>
          </w:tcPr>
          <w:p>
            <w:pPr>
              <w:spacing w:after="0"/>
              <w:rPr>
                <w:sz w:val="20"/>
                <w:szCs w:val="20"/>
                <w:color w:val="auto"/>
              </w:rPr>
            </w:pPr>
            <w:r>
              <w:rPr>
                <w:rFonts w:ascii="Arial" w:cs="Arial" w:eastAsia="Arial" w:hAnsi="Arial"/>
                <w:sz w:val="18"/>
                <w:szCs w:val="18"/>
                <w:color w:val="auto"/>
              </w:rPr>
              <w:t>Percentage of revenues</w:t>
            </w:r>
          </w:p>
        </w:tc>
        <w:tc>
          <w:tcPr>
            <w:tcW w:w="280" w:type="dxa"/>
            <w:vAlign w:val="bottom"/>
          </w:tcPr>
          <w:p>
            <w:pPr>
              <w:spacing w:after="0"/>
              <w:rPr>
                <w:sz w:val="20"/>
                <w:szCs w:val="20"/>
                <w:color w:val="auto"/>
              </w:rPr>
            </w:pPr>
          </w:p>
        </w:tc>
        <w:tc>
          <w:tcPr>
            <w:tcW w:w="1300" w:type="dxa"/>
            <w:vAlign w:val="bottom"/>
          </w:tcPr>
          <w:p>
            <w:pPr>
              <w:jc w:val="right"/>
              <w:ind w:right="302"/>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20"/>
                <w:szCs w:val="20"/>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11%</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200" w:firstLine="551"/>
        <w:spacing w:after="0" w:line="247" w:lineRule="auto"/>
        <w:rPr>
          <w:sz w:val="20"/>
          <w:szCs w:val="20"/>
          <w:color w:val="auto"/>
        </w:rPr>
      </w:pPr>
      <w:r>
        <w:rPr>
          <w:rFonts w:ascii="Arial" w:cs="Arial" w:eastAsia="Arial" w:hAnsi="Arial"/>
          <w:sz w:val="18"/>
          <w:szCs w:val="18"/>
          <w:color w:val="auto"/>
        </w:rPr>
        <w:t>General and administrative expenses increased by $12.7 million, or 72%, for the nine months ended September 30, 2025 compared to the nine months ended September 30, 2024. This increase was primarily attributable to an increase of $4.6 million in stock-based compensation associated with the 2025 Tender Offer, $4.1 million in personnel-related compensation expenses due to increased headcount, and $1.5 million in professional and outside services costs.</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Technology (Exclusive of Amortization)</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20" w:type="dxa"/>
            <w:vAlign w:val="bottom"/>
            <w:gridSpan w:val="4"/>
          </w:tcPr>
          <w:p>
            <w:pPr>
              <w:jc w:val="center"/>
              <w:ind w:right="1180"/>
              <w:spacing w:after="0"/>
              <w:rPr>
                <w:sz w:val="20"/>
                <w:szCs w:val="20"/>
                <w:color w:val="auto"/>
              </w:rPr>
            </w:pPr>
            <w:r>
              <w:rPr>
                <w:rFonts w:ascii="Arial" w:cs="Arial" w:eastAsia="Arial" w:hAnsi="Arial"/>
                <w:sz w:val="14"/>
                <w:szCs w:val="14"/>
                <w:b w:val="1"/>
                <w:bCs w:val="1"/>
                <w:color w:val="auto"/>
              </w:rPr>
              <w:t>Nine Months Ended September 30,</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6200" w:type="dxa"/>
            <w:vAlign w:val="bottom"/>
          </w:tcPr>
          <w:p>
            <w:pPr>
              <w:spacing w:after="0"/>
              <w:rPr>
                <w:sz w:val="13"/>
                <w:szCs w:val="13"/>
                <w:color w:val="auto"/>
              </w:rPr>
            </w:pPr>
          </w:p>
        </w:tc>
        <w:tc>
          <w:tcPr>
            <w:tcW w:w="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xml:space="preserve">   </w:t>
            </w:r>
          </w:p>
        </w:tc>
        <w:tc>
          <w:tcPr>
            <w:tcW w:w="1300" w:type="dxa"/>
            <w:vAlign w:val="bottom"/>
            <w:tcBorders>
              <w:top w:val="single" w:sz="8" w:color="auto"/>
            </w:tcBorders>
          </w:tcPr>
          <w:p>
            <w:pPr>
              <w:jc w:val="right"/>
              <w:ind w:right="642"/>
              <w:spacing w:after="0" w:line="155" w:lineRule="exact"/>
              <w:rPr>
                <w:sz w:val="20"/>
                <w:szCs w:val="20"/>
                <w:color w:val="auto"/>
              </w:rPr>
            </w:pPr>
            <w:r>
              <w:rPr>
                <w:rFonts w:ascii="Arial" w:cs="Arial" w:eastAsia="Arial" w:hAnsi="Arial"/>
                <w:sz w:val="14"/>
                <w:szCs w:val="14"/>
                <w:b w:val="1"/>
                <w:bCs w:val="1"/>
                <w:color w:val="auto"/>
              </w:rPr>
              <w:t xml:space="preserve">2024   </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xml:space="preserve">   </w:t>
            </w:r>
          </w:p>
        </w:tc>
        <w:tc>
          <w:tcPr>
            <w:tcW w:w="72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 xml:space="preserve">2025   </w:t>
            </w:r>
          </w:p>
        </w:tc>
        <w:tc>
          <w:tcPr>
            <w:tcW w:w="9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2"/>
          </w:tcPr>
          <w:p>
            <w:pPr>
              <w:jc w:val="center"/>
              <w:ind w:left="362"/>
              <w:spacing w:after="0" w:line="147" w:lineRule="exact"/>
              <w:rPr>
                <w:sz w:val="20"/>
                <w:szCs w:val="20"/>
                <w:color w:val="auto"/>
              </w:rPr>
            </w:pPr>
            <w:r>
              <w:rPr>
                <w:rFonts w:ascii="Arial" w:cs="Arial" w:eastAsia="Arial" w:hAnsi="Arial"/>
                <w:sz w:val="14"/>
                <w:szCs w:val="14"/>
                <w:b w:val="1"/>
                <w:bCs w:val="1"/>
                <w:color w:val="auto"/>
              </w:rPr>
              <w:t>(in thousands, except</w:t>
            </w:r>
          </w:p>
        </w:tc>
        <w:tc>
          <w:tcPr>
            <w:tcW w:w="720" w:type="dxa"/>
            <w:vAlign w:val="bottom"/>
            <w:tcBorders>
              <w:top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2"/>
          </w:tcPr>
          <w:p>
            <w:pPr>
              <w:jc w:val="center"/>
              <w:ind w:left="382"/>
              <w:spacing w:after="0"/>
              <w:rPr>
                <w:sz w:val="20"/>
                <w:szCs w:val="20"/>
                <w:color w:val="auto"/>
              </w:rPr>
            </w:pPr>
            <w:r>
              <w:rPr>
                <w:rFonts w:ascii="Arial" w:cs="Arial" w:eastAsia="Arial" w:hAnsi="Arial"/>
                <w:sz w:val="14"/>
                <w:szCs w:val="14"/>
                <w:b w:val="1"/>
                <w:bCs w:val="1"/>
                <w:color w:val="auto"/>
              </w:rPr>
              <w:t>percentages)</w:t>
            </w: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Technology (exclusive of amortization)</w:t>
            </w:r>
          </w:p>
        </w:tc>
        <w:tc>
          <w:tcPr>
            <w:tcW w:w="280" w:type="dxa"/>
            <w:vAlign w:val="bottom"/>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462"/>
              <w:spacing w:after="0" w:line="202" w:lineRule="exact"/>
              <w:rPr>
                <w:sz w:val="20"/>
                <w:szCs w:val="20"/>
                <w:color w:val="auto"/>
              </w:rPr>
            </w:pPr>
            <w:r>
              <w:rPr>
                <w:rFonts w:ascii="Arial" w:cs="Arial" w:eastAsia="Arial" w:hAnsi="Arial"/>
                <w:sz w:val="18"/>
                <w:szCs w:val="18"/>
                <w:color w:val="auto"/>
              </w:rPr>
              <w:t>16,767</w:t>
            </w:r>
          </w:p>
        </w:tc>
        <w:tc>
          <w:tcPr>
            <w:tcW w:w="700" w:type="dxa"/>
            <w:vAlign w:val="bottom"/>
            <w:shd w:val="clear" w:color="auto" w:fill="CCEEFF"/>
          </w:tcPr>
          <w:p>
            <w:pPr>
              <w:jc w:val="right"/>
              <w:ind w:right="139"/>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00"/>
              <w:spacing w:after="0" w:line="202" w:lineRule="exact"/>
              <w:rPr>
                <w:sz w:val="20"/>
                <w:szCs w:val="20"/>
                <w:color w:val="auto"/>
              </w:rPr>
            </w:pPr>
            <w:r>
              <w:rPr>
                <w:rFonts w:ascii="Arial" w:cs="Arial" w:eastAsia="Arial" w:hAnsi="Arial"/>
                <w:sz w:val="18"/>
                <w:szCs w:val="18"/>
                <w:color w:val="auto"/>
              </w:rPr>
              <w:t>24,711</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9"/>
        </w:trPr>
        <w:tc>
          <w:tcPr>
            <w:tcW w:w="6200" w:type="dxa"/>
            <w:vAlign w:val="bottom"/>
          </w:tcPr>
          <w:p>
            <w:pPr>
              <w:spacing w:after="0"/>
              <w:rPr>
                <w:sz w:val="20"/>
                <w:szCs w:val="20"/>
                <w:color w:val="auto"/>
              </w:rPr>
            </w:pPr>
            <w:r>
              <w:rPr>
                <w:rFonts w:ascii="Arial" w:cs="Arial" w:eastAsia="Arial" w:hAnsi="Arial"/>
                <w:sz w:val="18"/>
                <w:szCs w:val="18"/>
                <w:color w:val="auto"/>
              </w:rPr>
              <w:t>Percentage of revenues</w:t>
            </w:r>
          </w:p>
        </w:tc>
        <w:tc>
          <w:tcPr>
            <w:tcW w:w="280" w:type="dxa"/>
            <w:vAlign w:val="bottom"/>
          </w:tcPr>
          <w:p>
            <w:pPr>
              <w:spacing w:after="0"/>
              <w:rPr>
                <w:sz w:val="20"/>
                <w:szCs w:val="20"/>
                <w:color w:val="auto"/>
              </w:rPr>
            </w:pPr>
          </w:p>
        </w:tc>
        <w:tc>
          <w:tcPr>
            <w:tcW w:w="1300" w:type="dxa"/>
            <w:vAlign w:val="bottom"/>
          </w:tcPr>
          <w:p>
            <w:pPr>
              <w:jc w:val="right"/>
              <w:ind w:right="302"/>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20"/>
                <w:szCs w:val="20"/>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180" w:firstLine="551"/>
        <w:spacing w:after="0" w:line="244" w:lineRule="auto"/>
        <w:rPr>
          <w:sz w:val="20"/>
          <w:szCs w:val="20"/>
          <w:color w:val="auto"/>
        </w:rPr>
      </w:pPr>
      <w:r>
        <w:rPr>
          <w:rFonts w:ascii="Arial" w:cs="Arial" w:eastAsia="Arial" w:hAnsi="Arial"/>
          <w:sz w:val="18"/>
          <w:szCs w:val="18"/>
          <w:color w:val="auto"/>
        </w:rPr>
        <w:t>Technology expenses increased by $7.9 million, or 47%, for the nine months ended September 30, 2025 compared to the nine months ended September 30, 2024. The increase was primarily attributable to an increase of $3.3 million in personnel-related compensation expenses due to headcount growth, an increase of $2.0 million in stock-based compensation associated with the 2025 Tender Offer, an increase of $0.8 million in hosting fees, and an increase of $0.8 million in software and web services to support both the maintenance and expansion of our product suite and technology infrastructure.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Revenue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gridSpan w:val="4"/>
          </w:tcPr>
          <w:p>
            <w:pPr>
              <w:jc w:val="center"/>
              <w:ind w:right="1320"/>
              <w:spacing w:after="0"/>
              <w:rPr>
                <w:sz w:val="20"/>
                <w:szCs w:val="20"/>
                <w:color w:val="auto"/>
              </w:rPr>
            </w:pPr>
            <w:r>
              <w:rPr>
                <w:rFonts w:ascii="Arial" w:cs="Arial" w:eastAsia="Arial" w:hAnsi="Arial"/>
                <w:sz w:val="14"/>
                <w:szCs w:val="14"/>
                <w:b w:val="1"/>
                <w:bCs w:val="1"/>
                <w:color w:val="auto"/>
              </w:rPr>
              <w:t>Nine Months Ended September 30,</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5900" w:type="dxa"/>
            <w:vAlign w:val="bottom"/>
          </w:tcPr>
          <w:p>
            <w:pPr>
              <w:spacing w:after="0"/>
              <w:rPr>
                <w:sz w:val="13"/>
                <w:szCs w:val="13"/>
                <w:color w:val="auto"/>
              </w:rPr>
            </w:pPr>
          </w:p>
        </w:tc>
        <w:tc>
          <w:tcPr>
            <w:tcW w:w="3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xml:space="preserve">   </w:t>
            </w:r>
          </w:p>
        </w:tc>
        <w:tc>
          <w:tcPr>
            <w:tcW w:w="1720" w:type="dxa"/>
            <w:vAlign w:val="bottom"/>
            <w:tcBorders>
              <w:top w:val="single" w:sz="8" w:color="auto"/>
            </w:tcBorders>
          </w:tcPr>
          <w:p>
            <w:pPr>
              <w:jc w:val="right"/>
              <w:ind w:right="1102"/>
              <w:spacing w:after="0" w:line="155" w:lineRule="exact"/>
              <w:rPr>
                <w:sz w:val="20"/>
                <w:szCs w:val="20"/>
                <w:color w:val="auto"/>
              </w:rPr>
            </w:pPr>
            <w:r>
              <w:rPr>
                <w:rFonts w:ascii="Arial" w:cs="Arial" w:eastAsia="Arial" w:hAnsi="Arial"/>
                <w:sz w:val="14"/>
                <w:szCs w:val="14"/>
                <w:b w:val="1"/>
                <w:bCs w:val="1"/>
                <w:color w:val="auto"/>
              </w:rPr>
              <w:t xml:space="preserve">2024   </w:t>
            </w: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xml:space="preserve">   </w:t>
            </w:r>
          </w:p>
        </w:tc>
        <w:tc>
          <w:tcPr>
            <w:tcW w:w="740" w:type="dxa"/>
            <w:vAlign w:val="bottom"/>
            <w:tcBorders>
              <w:top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 xml:space="preserve">2025   </w:t>
            </w:r>
          </w:p>
        </w:tc>
        <w:tc>
          <w:tcPr>
            <w:tcW w:w="10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9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2"/>
          </w:tcPr>
          <w:p>
            <w:pPr>
              <w:jc w:val="center"/>
              <w:ind w:left="342"/>
              <w:spacing w:after="0" w:line="147" w:lineRule="exact"/>
              <w:rPr>
                <w:sz w:val="20"/>
                <w:szCs w:val="20"/>
                <w:color w:val="auto"/>
              </w:rPr>
            </w:pPr>
            <w:r>
              <w:rPr>
                <w:rFonts w:ascii="Arial" w:cs="Arial" w:eastAsia="Arial" w:hAnsi="Arial"/>
                <w:sz w:val="14"/>
                <w:szCs w:val="14"/>
                <w:b w:val="1"/>
                <w:bCs w:val="1"/>
                <w:color w:val="auto"/>
              </w:rPr>
              <w:t>(in thousands, except</w:t>
            </w:r>
          </w:p>
        </w:tc>
        <w:tc>
          <w:tcPr>
            <w:tcW w:w="740" w:type="dxa"/>
            <w:vAlign w:val="bottom"/>
            <w:tcBorders>
              <w:top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center"/>
              <w:ind w:left="702"/>
              <w:spacing w:after="0"/>
              <w:rPr>
                <w:sz w:val="20"/>
                <w:szCs w:val="20"/>
                <w:color w:val="auto"/>
              </w:rPr>
            </w:pPr>
            <w:r>
              <w:rPr>
                <w:rFonts w:ascii="Arial" w:cs="Arial" w:eastAsia="Arial" w:hAnsi="Arial"/>
                <w:sz w:val="14"/>
                <w:szCs w:val="14"/>
                <w:b w:val="1"/>
                <w:bCs w:val="1"/>
                <w:color w:val="auto"/>
              </w:rPr>
              <w:t>percentages)</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39"/>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922"/>
              <w:spacing w:after="0" w:line="202" w:lineRule="exact"/>
              <w:rPr>
                <w:sz w:val="20"/>
                <w:szCs w:val="20"/>
                <w:color w:val="auto"/>
              </w:rPr>
            </w:pPr>
            <w:r>
              <w:rPr>
                <w:rFonts w:ascii="Arial" w:cs="Arial" w:eastAsia="Arial" w:hAnsi="Arial"/>
                <w:sz w:val="18"/>
                <w:szCs w:val="18"/>
                <w:color w:val="auto"/>
              </w:rPr>
              <w:t>4,969</w:t>
            </w:r>
          </w:p>
        </w:tc>
        <w:tc>
          <w:tcPr>
            <w:tcW w:w="340" w:type="dxa"/>
            <w:vAlign w:val="bottom"/>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20"/>
              <w:spacing w:after="0" w:line="202" w:lineRule="exact"/>
              <w:rPr>
                <w:sz w:val="20"/>
                <w:szCs w:val="20"/>
                <w:color w:val="auto"/>
              </w:rPr>
            </w:pPr>
            <w:r>
              <w:rPr>
                <w:rFonts w:ascii="Arial" w:cs="Arial" w:eastAsia="Arial" w:hAnsi="Arial"/>
                <w:sz w:val="18"/>
                <w:szCs w:val="18"/>
                <w:color w:val="auto"/>
              </w:rPr>
              <w:t>4,674</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9"/>
        </w:trPr>
        <w:tc>
          <w:tcPr>
            <w:tcW w:w="5900" w:type="dxa"/>
            <w:vAlign w:val="bottom"/>
          </w:tcPr>
          <w:p>
            <w:pPr>
              <w:spacing w:after="0"/>
              <w:rPr>
                <w:sz w:val="20"/>
                <w:szCs w:val="20"/>
                <w:color w:val="auto"/>
              </w:rPr>
            </w:pPr>
            <w:r>
              <w:rPr>
                <w:rFonts w:ascii="Arial" w:cs="Arial" w:eastAsia="Arial" w:hAnsi="Arial"/>
                <w:sz w:val="18"/>
                <w:szCs w:val="18"/>
                <w:color w:val="auto"/>
              </w:rPr>
              <w:t>Percentage of revenues</w:t>
            </w:r>
          </w:p>
        </w:tc>
        <w:tc>
          <w:tcPr>
            <w:tcW w:w="320" w:type="dxa"/>
            <w:vAlign w:val="bottom"/>
          </w:tcPr>
          <w:p>
            <w:pPr>
              <w:spacing w:after="0"/>
              <w:rPr>
                <w:sz w:val="20"/>
                <w:szCs w:val="20"/>
                <w:color w:val="auto"/>
              </w:rPr>
            </w:pPr>
          </w:p>
        </w:tc>
        <w:tc>
          <w:tcPr>
            <w:tcW w:w="1720" w:type="dxa"/>
            <w:vAlign w:val="bottom"/>
          </w:tcPr>
          <w:p>
            <w:pPr>
              <w:jc w:val="right"/>
              <w:ind w:right="762"/>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0"/>
                <w:szCs w:val="20"/>
                <w:color w:val="auto"/>
              </w:rPr>
            </w:pPr>
          </w:p>
        </w:tc>
        <w:tc>
          <w:tcPr>
            <w:tcW w:w="1760" w:type="dxa"/>
            <w:vAlign w:val="bottom"/>
            <w:gridSpan w:val="2"/>
          </w:tcPr>
          <w:p>
            <w:pPr>
              <w:jc w:val="right"/>
              <w:ind w:right="86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Cost of revenue expenses decreased by $0.3 million, or 6%, for the nine months ended September 30, 2025 compared to the nine months ended September 30, 2024. The decrease was primarily attributable to a $0.8 million decrease in evidence provider costs.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Depreciation and Amortization</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gridSpan w:val="4"/>
          </w:tcPr>
          <w:p>
            <w:pPr>
              <w:jc w:val="center"/>
              <w:ind w:right="1320"/>
              <w:spacing w:after="0"/>
              <w:rPr>
                <w:sz w:val="20"/>
                <w:szCs w:val="20"/>
                <w:color w:val="auto"/>
              </w:rPr>
            </w:pPr>
            <w:r>
              <w:rPr>
                <w:rFonts w:ascii="Arial" w:cs="Arial" w:eastAsia="Arial" w:hAnsi="Arial"/>
                <w:sz w:val="14"/>
                <w:szCs w:val="14"/>
                <w:b w:val="1"/>
                <w:bCs w:val="1"/>
                <w:color w:val="auto"/>
              </w:rPr>
              <w:t>Nine Months Ended September 30,</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5900" w:type="dxa"/>
            <w:vAlign w:val="bottom"/>
          </w:tcPr>
          <w:p>
            <w:pPr>
              <w:spacing w:after="0"/>
              <w:rPr>
                <w:sz w:val="13"/>
                <w:szCs w:val="13"/>
                <w:color w:val="auto"/>
              </w:rPr>
            </w:pPr>
          </w:p>
        </w:tc>
        <w:tc>
          <w:tcPr>
            <w:tcW w:w="3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xml:space="preserve">   </w:t>
            </w:r>
          </w:p>
        </w:tc>
        <w:tc>
          <w:tcPr>
            <w:tcW w:w="1720" w:type="dxa"/>
            <w:vAlign w:val="bottom"/>
            <w:tcBorders>
              <w:top w:val="single" w:sz="8" w:color="auto"/>
            </w:tcBorders>
          </w:tcPr>
          <w:p>
            <w:pPr>
              <w:jc w:val="right"/>
              <w:ind w:right="1102"/>
              <w:spacing w:after="0" w:line="155" w:lineRule="exact"/>
              <w:rPr>
                <w:sz w:val="20"/>
                <w:szCs w:val="20"/>
                <w:color w:val="auto"/>
              </w:rPr>
            </w:pPr>
            <w:r>
              <w:rPr>
                <w:rFonts w:ascii="Arial" w:cs="Arial" w:eastAsia="Arial" w:hAnsi="Arial"/>
                <w:sz w:val="14"/>
                <w:szCs w:val="14"/>
                <w:b w:val="1"/>
                <w:bCs w:val="1"/>
                <w:color w:val="auto"/>
              </w:rPr>
              <w:t xml:space="preserve">2024   </w:t>
            </w: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xml:space="preserve">   </w:t>
            </w:r>
          </w:p>
        </w:tc>
        <w:tc>
          <w:tcPr>
            <w:tcW w:w="740" w:type="dxa"/>
            <w:vAlign w:val="bottom"/>
            <w:tcBorders>
              <w:top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 xml:space="preserve">2025   </w:t>
            </w:r>
          </w:p>
        </w:tc>
        <w:tc>
          <w:tcPr>
            <w:tcW w:w="10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9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2"/>
          </w:tcPr>
          <w:p>
            <w:pPr>
              <w:jc w:val="center"/>
              <w:ind w:left="342"/>
              <w:spacing w:after="0" w:line="147" w:lineRule="exact"/>
              <w:rPr>
                <w:sz w:val="20"/>
                <w:szCs w:val="20"/>
                <w:color w:val="auto"/>
              </w:rPr>
            </w:pPr>
            <w:r>
              <w:rPr>
                <w:rFonts w:ascii="Arial" w:cs="Arial" w:eastAsia="Arial" w:hAnsi="Arial"/>
                <w:sz w:val="14"/>
                <w:szCs w:val="14"/>
                <w:b w:val="1"/>
                <w:bCs w:val="1"/>
                <w:color w:val="auto"/>
              </w:rPr>
              <w:t>(in thousands, except</w:t>
            </w:r>
          </w:p>
        </w:tc>
        <w:tc>
          <w:tcPr>
            <w:tcW w:w="740" w:type="dxa"/>
            <w:vAlign w:val="bottom"/>
            <w:tcBorders>
              <w:top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center"/>
              <w:ind w:left="702"/>
              <w:spacing w:after="0"/>
              <w:rPr>
                <w:sz w:val="20"/>
                <w:szCs w:val="20"/>
                <w:color w:val="auto"/>
              </w:rPr>
            </w:pPr>
            <w:r>
              <w:rPr>
                <w:rFonts w:ascii="Arial" w:cs="Arial" w:eastAsia="Arial" w:hAnsi="Arial"/>
                <w:sz w:val="14"/>
                <w:szCs w:val="14"/>
                <w:b w:val="1"/>
                <w:bCs w:val="1"/>
                <w:color w:val="auto"/>
              </w:rPr>
              <w:t>percentages)</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jc w:val="right"/>
              <w:ind w:right="139"/>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922"/>
              <w:spacing w:after="0" w:line="202" w:lineRule="exact"/>
              <w:rPr>
                <w:sz w:val="20"/>
                <w:szCs w:val="20"/>
                <w:color w:val="auto"/>
              </w:rPr>
            </w:pPr>
            <w:r>
              <w:rPr>
                <w:rFonts w:ascii="Arial" w:cs="Arial" w:eastAsia="Arial" w:hAnsi="Arial"/>
                <w:sz w:val="18"/>
                <w:szCs w:val="18"/>
                <w:color w:val="auto"/>
              </w:rPr>
              <w:t>4,169</w:t>
            </w:r>
          </w:p>
        </w:tc>
        <w:tc>
          <w:tcPr>
            <w:tcW w:w="340" w:type="dxa"/>
            <w:vAlign w:val="bottom"/>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20"/>
              <w:spacing w:after="0" w:line="202" w:lineRule="exact"/>
              <w:rPr>
                <w:sz w:val="20"/>
                <w:szCs w:val="20"/>
                <w:color w:val="auto"/>
              </w:rPr>
            </w:pPr>
            <w:r>
              <w:rPr>
                <w:rFonts w:ascii="Arial" w:cs="Arial" w:eastAsia="Arial" w:hAnsi="Arial"/>
                <w:sz w:val="18"/>
                <w:szCs w:val="18"/>
                <w:color w:val="auto"/>
              </w:rPr>
              <w:t>4,075</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9"/>
        </w:trPr>
        <w:tc>
          <w:tcPr>
            <w:tcW w:w="5900" w:type="dxa"/>
            <w:vAlign w:val="bottom"/>
          </w:tcPr>
          <w:p>
            <w:pPr>
              <w:spacing w:after="0"/>
              <w:rPr>
                <w:sz w:val="20"/>
                <w:szCs w:val="20"/>
                <w:color w:val="auto"/>
              </w:rPr>
            </w:pPr>
            <w:r>
              <w:rPr>
                <w:rFonts w:ascii="Arial" w:cs="Arial" w:eastAsia="Arial" w:hAnsi="Arial"/>
                <w:sz w:val="18"/>
                <w:szCs w:val="18"/>
                <w:color w:val="auto"/>
              </w:rPr>
              <w:t>Percentage of revenues</w:t>
            </w:r>
          </w:p>
        </w:tc>
        <w:tc>
          <w:tcPr>
            <w:tcW w:w="320" w:type="dxa"/>
            <w:vAlign w:val="bottom"/>
          </w:tcPr>
          <w:p>
            <w:pPr>
              <w:spacing w:after="0"/>
              <w:rPr>
                <w:sz w:val="20"/>
                <w:szCs w:val="20"/>
                <w:color w:val="auto"/>
              </w:rPr>
            </w:pPr>
          </w:p>
        </w:tc>
        <w:tc>
          <w:tcPr>
            <w:tcW w:w="1720" w:type="dxa"/>
            <w:vAlign w:val="bottom"/>
          </w:tcPr>
          <w:p>
            <w:pPr>
              <w:jc w:val="right"/>
              <w:ind w:right="762"/>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1760" w:type="dxa"/>
            <w:vAlign w:val="bottom"/>
            <w:gridSpan w:val="2"/>
          </w:tcPr>
          <w:p>
            <w:pPr>
              <w:jc w:val="right"/>
              <w:ind w:right="86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20" w:right="60" w:firstLine="551"/>
        <w:spacing w:after="0" w:line="253" w:lineRule="auto"/>
        <w:rPr>
          <w:sz w:val="20"/>
          <w:szCs w:val="20"/>
          <w:color w:val="auto"/>
        </w:rPr>
      </w:pPr>
      <w:r>
        <w:rPr>
          <w:rFonts w:ascii="Arial" w:cs="Arial" w:eastAsia="Arial" w:hAnsi="Arial"/>
          <w:sz w:val="18"/>
          <w:szCs w:val="18"/>
          <w:color w:val="auto"/>
        </w:rPr>
        <w:t>Depreciation and amortization expenses were relatively consistent between the nine months ended September 30, 2025 compared to the nine months ended September 30, 2024 due to a $0.4 million decrease in capitalized software amortization offsetting a $0.3 million increase in depreciation expense.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6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rPr>
              <w:t>Nine Months Ended September 30,</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3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xml:space="preserve">   </w:t>
            </w:r>
          </w:p>
        </w:tc>
        <w:tc>
          <w:tcPr>
            <w:tcW w:w="1680" w:type="dxa"/>
            <w:vAlign w:val="bottom"/>
            <w:tcBorders>
              <w:top w:val="single" w:sz="8" w:color="auto"/>
            </w:tcBorders>
          </w:tcPr>
          <w:p>
            <w:pPr>
              <w:jc w:val="right"/>
              <w:ind w:right="1042"/>
              <w:spacing w:after="0" w:line="155" w:lineRule="exact"/>
              <w:rPr>
                <w:sz w:val="20"/>
                <w:szCs w:val="20"/>
                <w:color w:val="auto"/>
              </w:rPr>
            </w:pPr>
            <w:r>
              <w:rPr>
                <w:rFonts w:ascii="Arial" w:cs="Arial" w:eastAsia="Arial" w:hAnsi="Arial"/>
                <w:sz w:val="14"/>
                <w:szCs w:val="14"/>
                <w:b w:val="1"/>
                <w:bCs w:val="1"/>
                <w:color w:val="auto"/>
              </w:rPr>
              <w:t xml:space="preserve">2024   </w:t>
            </w: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xml:space="preserve">   </w:t>
            </w:r>
          </w:p>
        </w:tc>
        <w:tc>
          <w:tcPr>
            <w:tcW w:w="74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 xml:space="preserve">2025   </w:t>
            </w:r>
          </w:p>
        </w:tc>
        <w:tc>
          <w:tcPr>
            <w:tcW w:w="10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6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2"/>
          </w:tcPr>
          <w:p>
            <w:pPr>
              <w:jc w:val="center"/>
              <w:ind w:left="362"/>
              <w:spacing w:after="0" w:line="147" w:lineRule="exact"/>
              <w:rPr>
                <w:sz w:val="20"/>
                <w:szCs w:val="20"/>
                <w:color w:val="auto"/>
              </w:rPr>
            </w:pPr>
            <w:r>
              <w:rPr>
                <w:rFonts w:ascii="Arial" w:cs="Arial" w:eastAsia="Arial" w:hAnsi="Arial"/>
                <w:sz w:val="14"/>
                <w:szCs w:val="14"/>
                <w:b w:val="1"/>
                <w:bCs w:val="1"/>
                <w:color w:val="auto"/>
              </w:rPr>
              <w:t>(in thousands, except</w:t>
            </w:r>
          </w:p>
        </w:tc>
        <w:tc>
          <w:tcPr>
            <w:tcW w:w="740" w:type="dxa"/>
            <w:vAlign w:val="bottom"/>
            <w:tcBorders>
              <w:top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center"/>
              <w:ind w:left="702"/>
              <w:spacing w:after="0"/>
              <w:rPr>
                <w:sz w:val="20"/>
                <w:szCs w:val="20"/>
                <w:color w:val="auto"/>
              </w:rPr>
            </w:pPr>
            <w:r>
              <w:rPr>
                <w:rFonts w:ascii="Arial" w:cs="Arial" w:eastAsia="Arial" w:hAnsi="Arial"/>
                <w:sz w:val="14"/>
                <w:szCs w:val="14"/>
                <w:b w:val="1"/>
                <w:bCs w:val="1"/>
                <w:color w:val="auto"/>
              </w:rPr>
              <w:t>percentages)</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680" w:type="dxa"/>
            <w:vAlign w:val="bottom"/>
            <w:gridSpan w:val="2"/>
            <w:shd w:val="clear" w:color="auto" w:fill="CCEEFF"/>
          </w:tcPr>
          <w:p>
            <w:pPr>
              <w:jc w:val="right"/>
              <w:ind w:right="128"/>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802"/>
              <w:spacing w:after="0" w:line="202" w:lineRule="exact"/>
              <w:rPr>
                <w:sz w:val="20"/>
                <w:szCs w:val="20"/>
                <w:color w:val="auto"/>
              </w:rPr>
            </w:pPr>
            <w:r>
              <w:rPr>
                <w:rFonts w:ascii="Arial" w:cs="Arial" w:eastAsia="Arial" w:hAnsi="Arial"/>
                <w:sz w:val="18"/>
                <w:szCs w:val="18"/>
                <w:color w:val="auto"/>
              </w:rPr>
              <w:t>(457)</w:t>
            </w:r>
          </w:p>
        </w:tc>
        <w:tc>
          <w:tcPr>
            <w:tcW w:w="340" w:type="dxa"/>
            <w:vAlign w:val="bottom"/>
            <w:shd w:val="clear" w:color="auto" w:fill="CCEEFF"/>
          </w:tcPr>
          <w:p>
            <w:pPr>
              <w:jc w:val="right"/>
              <w:ind w:right="139"/>
              <w:spacing w:after="0" w:line="202" w:lineRule="exact"/>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(2,405)</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39"/>
        </w:trPr>
        <w:tc>
          <w:tcPr>
            <w:tcW w:w="3660" w:type="dxa"/>
            <w:vAlign w:val="bottom"/>
          </w:tcPr>
          <w:p>
            <w:pPr>
              <w:spacing w:after="0"/>
              <w:rPr>
                <w:sz w:val="20"/>
                <w:szCs w:val="20"/>
                <w:color w:val="auto"/>
              </w:rPr>
            </w:pPr>
            <w:r>
              <w:rPr>
                <w:rFonts w:ascii="Arial" w:cs="Arial" w:eastAsia="Arial" w:hAnsi="Arial"/>
                <w:sz w:val="18"/>
                <w:szCs w:val="18"/>
                <w:color w:val="auto"/>
              </w:rPr>
              <w:t>Percentage of revenues</w:t>
            </w:r>
          </w:p>
        </w:tc>
        <w:tc>
          <w:tcPr>
            <w:tcW w:w="2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jc w:val="right"/>
              <w:ind w:right="702"/>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0"/>
                <w:szCs w:val="20"/>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3660" w:type="dxa"/>
            <w:vAlign w:val="bottom"/>
          </w:tcPr>
          <w:p>
            <w:pPr>
              <w:spacing w:after="0"/>
              <w:rPr>
                <w:sz w:val="24"/>
                <w:szCs w:val="24"/>
                <w:color w:val="auto"/>
              </w:rPr>
            </w:pP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8"/>
          <w:szCs w:val="18"/>
          <w:color w:val="auto"/>
        </w:rPr>
        <w:t>Interest expense increased by $1.9 million, or 426%, for the nine months ended September 30, 2025 compared to the nine months ended September 30, 2024. The increase was driven by an increase in liabilities related to the sale of commissions receivable in December 2024, partially offset by a reduction in previous liabilities related to the sale of commissions receivable.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60" w:type="dxa"/>
            <w:vAlign w:val="bottom"/>
            <w:gridSpan w:val="4"/>
          </w:tcPr>
          <w:p>
            <w:pPr>
              <w:jc w:val="center"/>
              <w:ind w:right="1340"/>
              <w:spacing w:after="0"/>
              <w:rPr>
                <w:sz w:val="20"/>
                <w:szCs w:val="20"/>
                <w:color w:val="auto"/>
              </w:rPr>
            </w:pPr>
            <w:r>
              <w:rPr>
                <w:rFonts w:ascii="Arial" w:cs="Arial" w:eastAsia="Arial" w:hAnsi="Arial"/>
                <w:sz w:val="14"/>
                <w:szCs w:val="14"/>
                <w:b w:val="1"/>
                <w:bCs w:val="1"/>
                <w:color w:val="auto"/>
              </w:rPr>
              <w:t>Nine Months Ended September 30,</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940" w:type="dxa"/>
            <w:vAlign w:val="bottom"/>
          </w:tcPr>
          <w:p>
            <w:pPr>
              <w:spacing w:after="0"/>
              <w:rPr>
                <w:sz w:val="13"/>
                <w:szCs w:val="13"/>
                <w:color w:val="auto"/>
              </w:rPr>
            </w:pPr>
          </w:p>
        </w:tc>
        <w:tc>
          <w:tcPr>
            <w:tcW w:w="3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xml:space="preserve">   </w:t>
            </w:r>
          </w:p>
        </w:tc>
        <w:tc>
          <w:tcPr>
            <w:tcW w:w="1740" w:type="dxa"/>
            <w:vAlign w:val="bottom"/>
            <w:tcBorders>
              <w:top w:val="single" w:sz="8" w:color="auto"/>
            </w:tcBorders>
          </w:tcPr>
          <w:p>
            <w:pPr>
              <w:jc w:val="right"/>
              <w:ind w:right="1102"/>
              <w:spacing w:after="0" w:line="155" w:lineRule="exact"/>
              <w:rPr>
                <w:sz w:val="20"/>
                <w:szCs w:val="20"/>
                <w:color w:val="auto"/>
              </w:rPr>
            </w:pPr>
            <w:r>
              <w:rPr>
                <w:rFonts w:ascii="Arial" w:cs="Arial" w:eastAsia="Arial" w:hAnsi="Arial"/>
                <w:sz w:val="14"/>
                <w:szCs w:val="14"/>
                <w:b w:val="1"/>
                <w:bCs w:val="1"/>
                <w:color w:val="auto"/>
              </w:rPr>
              <w:t xml:space="preserve">2024   </w:t>
            </w: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xml:space="preserve">   </w:t>
            </w:r>
          </w:p>
        </w:tc>
        <w:tc>
          <w:tcPr>
            <w:tcW w:w="740" w:type="dxa"/>
            <w:vAlign w:val="bottom"/>
            <w:tcBorders>
              <w:top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 xml:space="preserve">2025   </w:t>
            </w:r>
          </w:p>
        </w:tc>
        <w:tc>
          <w:tcPr>
            <w:tcW w:w="10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9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2"/>
          </w:tcPr>
          <w:p>
            <w:pPr>
              <w:jc w:val="center"/>
              <w:ind w:left="362"/>
              <w:spacing w:after="0" w:line="147" w:lineRule="exact"/>
              <w:rPr>
                <w:sz w:val="20"/>
                <w:szCs w:val="20"/>
                <w:color w:val="auto"/>
              </w:rPr>
            </w:pPr>
            <w:r>
              <w:rPr>
                <w:rFonts w:ascii="Arial" w:cs="Arial" w:eastAsia="Arial" w:hAnsi="Arial"/>
                <w:sz w:val="14"/>
                <w:szCs w:val="14"/>
                <w:b w:val="1"/>
                <w:bCs w:val="1"/>
                <w:color w:val="auto"/>
              </w:rPr>
              <w:t>(in thousands, except</w:t>
            </w:r>
          </w:p>
        </w:tc>
        <w:tc>
          <w:tcPr>
            <w:tcW w:w="740" w:type="dxa"/>
            <w:vAlign w:val="bottom"/>
            <w:tcBorders>
              <w:top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center"/>
              <w:ind w:left="702"/>
              <w:spacing w:after="0"/>
              <w:rPr>
                <w:sz w:val="20"/>
                <w:szCs w:val="20"/>
                <w:color w:val="auto"/>
              </w:rPr>
            </w:pPr>
            <w:r>
              <w:rPr>
                <w:rFonts w:ascii="Arial" w:cs="Arial" w:eastAsia="Arial" w:hAnsi="Arial"/>
                <w:sz w:val="14"/>
                <w:szCs w:val="14"/>
                <w:b w:val="1"/>
                <w:bCs w:val="1"/>
                <w:color w:val="auto"/>
              </w:rPr>
              <w:t>percentages)</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942"/>
              <w:spacing w:after="0" w:line="202" w:lineRule="exact"/>
              <w:rPr>
                <w:sz w:val="20"/>
                <w:szCs w:val="20"/>
                <w:color w:val="auto"/>
              </w:rPr>
            </w:pPr>
            <w:r>
              <w:rPr>
                <w:rFonts w:ascii="Arial" w:cs="Arial" w:eastAsia="Arial" w:hAnsi="Arial"/>
                <w:sz w:val="18"/>
                <w:szCs w:val="18"/>
                <w:color w:val="auto"/>
              </w:rPr>
              <w:t>4,277</w:t>
            </w:r>
          </w:p>
        </w:tc>
        <w:tc>
          <w:tcPr>
            <w:tcW w:w="340" w:type="dxa"/>
            <w:vAlign w:val="bottom"/>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40"/>
              <w:spacing w:after="0" w:line="202" w:lineRule="exact"/>
              <w:rPr>
                <w:sz w:val="20"/>
                <w:szCs w:val="20"/>
                <w:color w:val="auto"/>
              </w:rPr>
            </w:pPr>
            <w:r>
              <w:rPr>
                <w:rFonts w:ascii="Arial" w:cs="Arial" w:eastAsia="Arial" w:hAnsi="Arial"/>
                <w:sz w:val="18"/>
                <w:szCs w:val="18"/>
                <w:color w:val="auto"/>
              </w:rPr>
              <w:t>4,472</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9"/>
        </w:trPr>
        <w:tc>
          <w:tcPr>
            <w:tcW w:w="5940" w:type="dxa"/>
            <w:vAlign w:val="bottom"/>
          </w:tcPr>
          <w:p>
            <w:pPr>
              <w:spacing w:after="0"/>
              <w:rPr>
                <w:sz w:val="20"/>
                <w:szCs w:val="20"/>
                <w:color w:val="auto"/>
              </w:rPr>
            </w:pPr>
            <w:r>
              <w:rPr>
                <w:rFonts w:ascii="Arial" w:cs="Arial" w:eastAsia="Arial" w:hAnsi="Arial"/>
                <w:sz w:val="18"/>
                <w:szCs w:val="18"/>
                <w:color w:val="auto"/>
              </w:rPr>
              <w:t>Percentage of revenues</w:t>
            </w:r>
          </w:p>
        </w:tc>
        <w:tc>
          <w:tcPr>
            <w:tcW w:w="300" w:type="dxa"/>
            <w:vAlign w:val="bottom"/>
          </w:tcPr>
          <w:p>
            <w:pPr>
              <w:spacing w:after="0"/>
              <w:rPr>
                <w:sz w:val="20"/>
                <w:szCs w:val="20"/>
                <w:color w:val="auto"/>
              </w:rPr>
            </w:pPr>
          </w:p>
        </w:tc>
        <w:tc>
          <w:tcPr>
            <w:tcW w:w="1740" w:type="dxa"/>
            <w:vAlign w:val="bottom"/>
          </w:tcPr>
          <w:p>
            <w:pPr>
              <w:jc w:val="right"/>
              <w:ind w:right="782"/>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400" w:firstLine="551"/>
        <w:spacing w:after="0" w:line="301" w:lineRule="auto"/>
        <w:rPr>
          <w:sz w:val="20"/>
          <w:szCs w:val="20"/>
          <w:color w:val="auto"/>
        </w:rPr>
      </w:pPr>
      <w:r>
        <w:rPr>
          <w:rFonts w:ascii="Arial" w:cs="Arial" w:eastAsia="Arial" w:hAnsi="Arial"/>
          <w:sz w:val="17"/>
          <w:szCs w:val="17"/>
          <w:color w:val="auto"/>
        </w:rPr>
        <w:t>Interest income increased by $0.2 million, or 5%, for the nine months ended September 30, 2025 compared to the nine months ended September 30, 2024. The increase was primarily attributable to a higher average investments and cash equivalents balance.</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 Expense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6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rPr>
              <w:t>Nine Months Ended September 30,</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6040" w:type="dxa"/>
            <w:vAlign w:val="bottom"/>
          </w:tcPr>
          <w:p>
            <w:pPr>
              <w:spacing w:after="0"/>
              <w:rPr>
                <w:sz w:val="13"/>
                <w:szCs w:val="13"/>
                <w:color w:val="auto"/>
              </w:rPr>
            </w:pPr>
          </w:p>
        </w:tc>
        <w:tc>
          <w:tcPr>
            <w:tcW w:w="3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xml:space="preserve">   </w:t>
            </w:r>
          </w:p>
        </w:tc>
        <w:tc>
          <w:tcPr>
            <w:tcW w:w="1680" w:type="dxa"/>
            <w:vAlign w:val="bottom"/>
            <w:tcBorders>
              <w:top w:val="single" w:sz="8" w:color="auto"/>
            </w:tcBorders>
          </w:tcPr>
          <w:p>
            <w:pPr>
              <w:jc w:val="right"/>
              <w:ind w:right="1042"/>
              <w:spacing w:after="0" w:line="155" w:lineRule="exact"/>
              <w:rPr>
                <w:sz w:val="20"/>
                <w:szCs w:val="20"/>
                <w:color w:val="auto"/>
              </w:rPr>
            </w:pPr>
            <w:r>
              <w:rPr>
                <w:rFonts w:ascii="Arial" w:cs="Arial" w:eastAsia="Arial" w:hAnsi="Arial"/>
                <w:sz w:val="14"/>
                <w:szCs w:val="14"/>
                <w:b w:val="1"/>
                <w:bCs w:val="1"/>
                <w:color w:val="auto"/>
              </w:rPr>
              <w:t xml:space="preserve">2024   </w:t>
            </w: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xml:space="preserve">   </w:t>
            </w:r>
          </w:p>
        </w:tc>
        <w:tc>
          <w:tcPr>
            <w:tcW w:w="74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 xml:space="preserve">2025   </w:t>
            </w:r>
          </w:p>
        </w:tc>
        <w:tc>
          <w:tcPr>
            <w:tcW w:w="10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0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2"/>
          </w:tcPr>
          <w:p>
            <w:pPr>
              <w:jc w:val="center"/>
              <w:ind w:left="362"/>
              <w:spacing w:after="0" w:line="147" w:lineRule="exact"/>
              <w:rPr>
                <w:sz w:val="20"/>
                <w:szCs w:val="20"/>
                <w:color w:val="auto"/>
              </w:rPr>
            </w:pPr>
            <w:r>
              <w:rPr>
                <w:rFonts w:ascii="Arial" w:cs="Arial" w:eastAsia="Arial" w:hAnsi="Arial"/>
                <w:sz w:val="14"/>
                <w:szCs w:val="14"/>
                <w:b w:val="1"/>
                <w:bCs w:val="1"/>
                <w:color w:val="auto"/>
              </w:rPr>
              <w:t>(in thousands, except</w:t>
            </w:r>
          </w:p>
        </w:tc>
        <w:tc>
          <w:tcPr>
            <w:tcW w:w="740" w:type="dxa"/>
            <w:vAlign w:val="bottom"/>
            <w:tcBorders>
              <w:top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center"/>
              <w:ind w:left="702"/>
              <w:spacing w:after="0"/>
              <w:rPr>
                <w:sz w:val="20"/>
                <w:szCs w:val="20"/>
                <w:color w:val="auto"/>
              </w:rPr>
            </w:pPr>
            <w:r>
              <w:rPr>
                <w:rFonts w:ascii="Arial" w:cs="Arial" w:eastAsia="Arial" w:hAnsi="Arial"/>
                <w:sz w:val="14"/>
                <w:szCs w:val="14"/>
                <w:b w:val="1"/>
                <w:bCs w:val="1"/>
                <w:color w:val="auto"/>
              </w:rPr>
              <w:t>percentages)</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802"/>
              <w:spacing w:after="0" w:line="202" w:lineRule="exact"/>
              <w:rPr>
                <w:sz w:val="20"/>
                <w:szCs w:val="20"/>
                <w:color w:val="auto"/>
              </w:rPr>
            </w:pPr>
            <w:r>
              <w:rPr>
                <w:rFonts w:ascii="Arial" w:cs="Arial" w:eastAsia="Arial" w:hAnsi="Arial"/>
                <w:sz w:val="18"/>
                <w:szCs w:val="18"/>
                <w:color w:val="auto"/>
              </w:rPr>
              <w:t>(942)</w:t>
            </w:r>
          </w:p>
        </w:tc>
        <w:tc>
          <w:tcPr>
            <w:tcW w:w="340" w:type="dxa"/>
            <w:vAlign w:val="bottom"/>
            <w:shd w:val="clear" w:color="auto" w:fill="CCEEFF"/>
          </w:tcPr>
          <w:p>
            <w:pPr>
              <w:jc w:val="right"/>
              <w:ind w:right="139"/>
              <w:spacing w:after="0" w:line="202" w:lineRule="exact"/>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(4,029)</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9"/>
        </w:trPr>
        <w:tc>
          <w:tcPr>
            <w:tcW w:w="6040" w:type="dxa"/>
            <w:vAlign w:val="bottom"/>
          </w:tcPr>
          <w:p>
            <w:pPr>
              <w:spacing w:after="0"/>
              <w:rPr>
                <w:sz w:val="20"/>
                <w:szCs w:val="20"/>
                <w:color w:val="auto"/>
              </w:rPr>
            </w:pPr>
            <w:r>
              <w:rPr>
                <w:rFonts w:ascii="Arial" w:cs="Arial" w:eastAsia="Arial" w:hAnsi="Arial"/>
                <w:sz w:val="18"/>
                <w:szCs w:val="18"/>
                <w:color w:val="auto"/>
              </w:rPr>
              <w:t>Percentage of revenues</w:t>
            </w:r>
          </w:p>
        </w:tc>
        <w:tc>
          <w:tcPr>
            <w:tcW w:w="300" w:type="dxa"/>
            <w:vAlign w:val="bottom"/>
          </w:tcPr>
          <w:p>
            <w:pPr>
              <w:spacing w:after="0"/>
              <w:rPr>
                <w:sz w:val="20"/>
                <w:szCs w:val="20"/>
                <w:color w:val="auto"/>
              </w:rPr>
            </w:pPr>
          </w:p>
        </w:tc>
        <w:tc>
          <w:tcPr>
            <w:tcW w:w="1680" w:type="dxa"/>
            <w:vAlign w:val="bottom"/>
          </w:tcPr>
          <w:p>
            <w:pPr>
              <w:jc w:val="right"/>
              <w:ind w:right="702"/>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0"/>
                <w:szCs w:val="20"/>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20" w:right="360" w:firstLine="551"/>
        <w:spacing w:after="0" w:line="253" w:lineRule="auto"/>
        <w:rPr>
          <w:sz w:val="20"/>
          <w:szCs w:val="20"/>
          <w:color w:val="auto"/>
        </w:rPr>
      </w:pPr>
      <w:r>
        <w:rPr>
          <w:rFonts w:ascii="Arial" w:cs="Arial" w:eastAsia="Arial" w:hAnsi="Arial"/>
          <w:sz w:val="18"/>
          <w:szCs w:val="18"/>
          <w:color w:val="auto"/>
        </w:rPr>
        <w:t>Income tax expense increased by $3.1 million, or 328%, for the nine months ended September 30, 2025 compared to the nine months ended September 30, 2024. The increase was primarily driven by an increase to the valuation allowance related to changes in temporary differences.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the Years Ended December 31, 2023 and 2024</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246"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6350</wp:posOffset>
            </wp:positionV>
            <wp:extent cx="125158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9" w:lineRule="exact"/>
        <w:rPr>
          <w:sz w:val="20"/>
          <w:szCs w:val="20"/>
          <w:color w:val="auto"/>
        </w:rPr>
      </w:pPr>
    </w:p>
    <w:p>
      <w:pPr>
        <w:ind w:left="8120"/>
        <w:spacing w:after="0"/>
        <w:tabs>
          <w:tab w:leader="none" w:pos="9260" w:val="left"/>
          <w:tab w:leader="none" w:pos="1020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-1905</wp:posOffset>
            </wp:positionV>
            <wp:extent cx="12515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8360"/>
        <w:spacing w:after="0"/>
        <w:rPr>
          <w:sz w:val="20"/>
          <w:szCs w:val="20"/>
          <w:color w:val="auto"/>
        </w:rPr>
      </w:pPr>
      <w:r>
        <w:rPr>
          <w:rFonts w:ascii="Arial" w:cs="Arial" w:eastAsia="Arial" w:hAnsi="Arial"/>
          <w:sz w:val="14"/>
          <w:szCs w:val="14"/>
          <w:b w:val="1"/>
          <w:bCs w:val="1"/>
          <w:color w:val="auto"/>
        </w:rPr>
        <w:t>(in thousands)</w:t>
      </w:r>
    </w:p>
    <w:tbl>
      <w:tblPr>
        <w:tblLayout w:type="fixed"/>
        <w:tblInd w:w="120" w:type="dxa"/>
        <w:tblCellMar>
          <w:top w:w="0" w:type="dxa"/>
          <w:left w:w="0" w:type="dxa"/>
          <w:bottom w:w="0" w:type="dxa"/>
          <w:right w:w="0" w:type="dxa"/>
        </w:tblCellMar>
      </w:tblPr>
      <w:tr>
        <w:trPr>
          <w:trHeight w:val="203"/>
        </w:trPr>
        <w:tc>
          <w:tcPr>
            <w:tcW w:w="50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DTC channel revenue</w:t>
            </w:r>
          </w:p>
        </w:tc>
        <w:tc>
          <w:tcPr>
            <w:tcW w:w="28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119,141</w:t>
            </w:r>
          </w:p>
        </w:tc>
        <w:tc>
          <w:tcPr>
            <w:tcW w:w="30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173,736</w:t>
            </w:r>
          </w:p>
        </w:tc>
        <w:tc>
          <w:tcPr>
            <w:tcW w:w="9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46%</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Third-party channel revenue</w:t>
            </w:r>
          </w:p>
        </w:tc>
        <w:tc>
          <w:tcPr>
            <w:tcW w:w="2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40,613</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81,189</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w:t>
            </w:r>
          </w:p>
        </w:tc>
      </w:tr>
      <w:tr>
        <w:trPr>
          <w:trHeight w:val="27"/>
        </w:trPr>
        <w:tc>
          <w:tcPr>
            <w:tcW w:w="50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5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revenue</w:t>
            </w:r>
          </w:p>
        </w:tc>
        <w:tc>
          <w:tcPr>
            <w:tcW w:w="2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159,754</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254,926</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w:t>
            </w:r>
          </w:p>
        </w:tc>
      </w:tr>
    </w:tbl>
    <w:p>
      <w:pPr>
        <w:spacing w:after="0" w:line="197"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Revenue increased by $95.2 million, or 60%, for the year ended December 31, 2024 compared to the year ended December 31, 2023. The increase was primarily driven by a 77% increase in activated policies as well as a larger commission revenue adjustment from improved persistency estimates compared to the prior year period. DTC channel revenue grew by $54.6 million, or 46%, whereas third-party channel revenue grew by $40.6 million, or 100%. Third-party channel revenue grew at a faster rate primarily due to the accelerated growth of our Whole Life Insurance and Indexed Universal Life Insurance products, which were mainly sold through the third-party channel. In particular, the growth in our third-party revenue reflects increased revenue from the launch of Indexed Universal Life Insurance in September 2023 and positive agent and consumer reactions to customer experience enhancements that we made in 2024 for certain of our existing products that are primarily sold through our third-party</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channel. We expect that the rate of revenue growth in our DTC and third-party channels may fluctuate in future periods, depending on the frequency and timing of additional product introductions on our platform and whether such products are sold through both distribution channels. These products sold in 2024 had relatively lower coverage amounts and commission rates, driving a 10% decrease in ARPU over the same period.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and Marketing</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7180" w:type="dxa"/>
            <w:vAlign w:val="bottom"/>
          </w:tcPr>
          <w:p>
            <w:pPr>
              <w:spacing w:after="0"/>
              <w:rPr>
                <w:sz w:val="15"/>
                <w:szCs w:val="15"/>
                <w:color w:val="auto"/>
              </w:rPr>
            </w:pPr>
          </w:p>
        </w:tc>
        <w:tc>
          <w:tcPr>
            <w:tcW w:w="29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9"/>
        </w:trPr>
        <w:tc>
          <w:tcPr>
            <w:tcW w:w="7180" w:type="dxa"/>
            <w:vAlign w:val="bottom"/>
          </w:tcPr>
          <w:p>
            <w:pPr>
              <w:spacing w:after="0"/>
              <w:rPr>
                <w:sz w:val="12"/>
                <w:szCs w:val="12"/>
                <w:color w:val="auto"/>
              </w:rPr>
            </w:pPr>
          </w:p>
        </w:tc>
        <w:tc>
          <w:tcPr>
            <w:tcW w:w="1200" w:type="dxa"/>
            <w:vAlign w:val="bottom"/>
            <w:tcBorders>
              <w:top w:val="single" w:sz="8" w:color="auto"/>
            </w:tcBorders>
          </w:tcPr>
          <w:p>
            <w:pPr>
              <w:jc w:val="right"/>
              <w:ind w:right="582"/>
              <w:spacing w:after="0" w:line="149" w:lineRule="exact"/>
              <w:rPr>
                <w:sz w:val="20"/>
                <w:szCs w:val="20"/>
                <w:color w:val="auto"/>
              </w:rPr>
            </w:pPr>
            <w:r>
              <w:rPr>
                <w:rFonts w:ascii="Arial" w:cs="Arial" w:eastAsia="Arial" w:hAnsi="Arial"/>
                <w:sz w:val="14"/>
                <w:szCs w:val="14"/>
                <w:b w:val="1"/>
                <w:bCs w:val="1"/>
                <w:color w:val="auto"/>
              </w:rPr>
              <w:t>2023</w:t>
            </w:r>
          </w:p>
        </w:tc>
        <w:tc>
          <w:tcPr>
            <w:tcW w:w="1020" w:type="dxa"/>
            <w:vAlign w:val="bottom"/>
            <w:tcBorders>
              <w:top w:val="single" w:sz="8" w:color="auto"/>
            </w:tcBorders>
          </w:tcPr>
          <w:p>
            <w:pPr>
              <w:jc w:val="right"/>
              <w:ind w:right="136"/>
              <w:spacing w:after="0" w:line="149" w:lineRule="exact"/>
              <w:rPr>
                <w:sz w:val="20"/>
                <w:szCs w:val="20"/>
                <w:color w:val="auto"/>
              </w:rPr>
            </w:pPr>
            <w:r>
              <w:rPr>
                <w:rFonts w:ascii="Arial" w:cs="Arial" w:eastAsia="Arial" w:hAnsi="Arial"/>
                <w:sz w:val="14"/>
                <w:szCs w:val="14"/>
                <w:b w:val="1"/>
                <w:bCs w:val="1"/>
                <w:color w:val="auto"/>
              </w:rPr>
              <w:t>2024</w:t>
            </w:r>
          </w:p>
        </w:tc>
        <w:tc>
          <w:tcPr>
            <w:tcW w:w="7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 Change</w:t>
            </w:r>
          </w:p>
        </w:tc>
      </w:tr>
      <w:tr>
        <w:trPr>
          <w:trHeight w:val="146"/>
        </w:trPr>
        <w:tc>
          <w:tcPr>
            <w:tcW w:w="7180" w:type="dxa"/>
            <w:vAlign w:val="bottom"/>
          </w:tcPr>
          <w:p>
            <w:pPr>
              <w:spacing w:after="0"/>
              <w:rPr>
                <w:sz w:val="12"/>
                <w:szCs w:val="12"/>
                <w:color w:val="auto"/>
              </w:rPr>
            </w:pPr>
          </w:p>
        </w:tc>
        <w:tc>
          <w:tcPr>
            <w:tcW w:w="222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b w:val="1"/>
                <w:bCs w:val="1"/>
                <w:color w:val="auto"/>
              </w:rPr>
              <w:t>(in thousands, except</w:t>
            </w:r>
          </w:p>
        </w:tc>
        <w:tc>
          <w:tcPr>
            <w:tcW w:w="7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7180" w:type="dxa"/>
            <w:vAlign w:val="bottom"/>
          </w:tcPr>
          <w:p>
            <w:pPr>
              <w:spacing w:after="0"/>
              <w:rPr>
                <w:sz w:val="14"/>
                <w:szCs w:val="14"/>
                <w:color w:val="auto"/>
              </w:rPr>
            </w:pPr>
          </w:p>
        </w:tc>
        <w:tc>
          <w:tcPr>
            <w:tcW w:w="29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rPr>
              <w:t>percentages)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3"/>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marketing</w:t>
            </w:r>
          </w:p>
        </w:tc>
        <w:tc>
          <w:tcPr>
            <w:tcW w:w="1200" w:type="dxa"/>
            <w:vAlign w:val="bottom"/>
            <w:shd w:val="clear" w:color="auto" w:fill="CCEEFF"/>
          </w:tcPr>
          <w:p>
            <w:pPr>
              <w:jc w:val="right"/>
              <w:ind w:right="362"/>
              <w:spacing w:after="0" w:line="202" w:lineRule="exact"/>
              <w:rPr>
                <w:sz w:val="20"/>
                <w:szCs w:val="20"/>
                <w:color w:val="auto"/>
              </w:rPr>
            </w:pPr>
            <w:r>
              <w:rPr>
                <w:rFonts w:ascii="Arial" w:cs="Arial" w:eastAsia="Arial" w:hAnsi="Arial"/>
                <w:sz w:val="18"/>
                <w:szCs w:val="18"/>
                <w:color w:val="auto"/>
                <w:w w:val="98"/>
              </w:rPr>
              <w:t>$107,531</w:t>
            </w:r>
          </w:p>
        </w:tc>
        <w:tc>
          <w:tcPr>
            <w:tcW w:w="172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$148,664</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w:t>
            </w:r>
          </w:p>
        </w:tc>
      </w:tr>
      <w:tr>
        <w:trPr>
          <w:trHeight w:val="239"/>
        </w:trPr>
        <w:tc>
          <w:tcPr>
            <w:tcW w:w="7180" w:type="dxa"/>
            <w:vAlign w:val="bottom"/>
          </w:tcPr>
          <w:p>
            <w:pPr>
              <w:spacing w:after="0"/>
              <w:rPr>
                <w:sz w:val="20"/>
                <w:szCs w:val="20"/>
                <w:color w:val="auto"/>
              </w:rPr>
            </w:pPr>
            <w:r>
              <w:rPr>
                <w:rFonts w:ascii="Arial" w:cs="Arial" w:eastAsia="Arial" w:hAnsi="Arial"/>
                <w:sz w:val="18"/>
                <w:szCs w:val="18"/>
                <w:color w:val="auto"/>
              </w:rPr>
              <w:t>Percentage of revenue</w:t>
            </w:r>
          </w:p>
        </w:tc>
        <w:tc>
          <w:tcPr>
            <w:tcW w:w="1200" w:type="dxa"/>
            <w:vAlign w:val="bottom"/>
          </w:tcPr>
          <w:p>
            <w:pPr>
              <w:jc w:val="right"/>
              <w:ind w:right="202"/>
              <w:spacing w:after="0"/>
              <w:rPr>
                <w:sz w:val="20"/>
                <w:szCs w:val="20"/>
                <w:color w:val="auto"/>
              </w:rPr>
            </w:pPr>
            <w:r>
              <w:rPr>
                <w:rFonts w:ascii="Arial" w:cs="Arial" w:eastAsia="Arial" w:hAnsi="Arial"/>
                <w:sz w:val="18"/>
                <w:szCs w:val="18"/>
                <w:color w:val="auto"/>
              </w:rPr>
              <w:t>67%</w:t>
            </w:r>
          </w:p>
        </w:tc>
        <w:tc>
          <w:tcPr>
            <w:tcW w:w="1720" w:type="dxa"/>
            <w:vAlign w:val="bottom"/>
            <w:gridSpan w:val="2"/>
          </w:tcPr>
          <w:p>
            <w:pPr>
              <w:jc w:val="right"/>
              <w:ind w:right="540"/>
              <w:spacing w:after="0"/>
              <w:rPr>
                <w:sz w:val="20"/>
                <w:szCs w:val="20"/>
                <w:color w:val="auto"/>
              </w:rPr>
            </w:pPr>
            <w:r>
              <w:rPr>
                <w:rFonts w:ascii="Arial" w:cs="Arial" w:eastAsia="Arial" w:hAnsi="Arial"/>
                <w:sz w:val="18"/>
                <w:szCs w:val="18"/>
                <w:color w:val="auto"/>
              </w:rPr>
              <w:t>58%</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61"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Sales and marketing expenses increased by $41.1 million, or 38%, for the year ended December 31, 2024 compared to the year ended December 31, 2023. This increase was primarily driven by a $37.4 million increase in agent payments and advertising spend, as we continued to scale both our direct to consumer and third-party channels by driving lead growth through direct marketing and brand awareness campaigns and compensating agents for volume growth. Agent payments increased by 120% from $25.1 million in 2023 to $55.1 million in 2024, and advertising spend increased by 13% from $55.9 million in 2023 to $63.4 million in 2024. The increase in agent payments was primarily attributable to continued scaling of our third-party distribution channel, rather than an increase in per-policy agent payments. The second key driver was a $1.7 million increase in personnel-related expenses as we increased headcount to support growth. As a percentage of revenue, sales and marketing expenses were 58% in the year ended December 31, 2024, decreasing from 67% in the year ended December 31, 2023. The decrease in sales and marketing expenses as a percentage of revenue was primarily driven by improved efficiency in lead generation and policy conversion.</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8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16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2024</w:t>
            </w:r>
          </w:p>
        </w:tc>
        <w:tc>
          <w:tcPr>
            <w:tcW w:w="6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80" w:type="dxa"/>
            <w:vAlign w:val="bottom"/>
            <w:tcBorders>
              <w:top w:val="single" w:sz="8" w:color="auto"/>
            </w:tcBorders>
            <w:gridSpan w:val="3"/>
          </w:tcPr>
          <w:p>
            <w:pPr>
              <w:jc w:val="center"/>
              <w:spacing w:after="0" w:line="147" w:lineRule="exact"/>
              <w:rPr>
                <w:sz w:val="20"/>
                <w:szCs w:val="20"/>
                <w:color w:val="auto"/>
              </w:rPr>
            </w:pPr>
            <w:r>
              <w:rPr>
                <w:rFonts w:ascii="Arial" w:cs="Arial" w:eastAsia="Arial" w:hAnsi="Arial"/>
                <w:sz w:val="14"/>
                <w:szCs w:val="14"/>
                <w:b w:val="1"/>
                <w:bCs w:val="1"/>
                <w:color w:val="auto"/>
              </w:rPr>
              <w:t>(in thousands, except</w:t>
            </w:r>
          </w:p>
        </w:tc>
        <w:tc>
          <w:tcPr>
            <w:tcW w:w="6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8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rPr>
              <w:t>percentages)</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3700" w:type="dxa"/>
            <w:vAlign w:val="bottom"/>
            <w:gridSpan w:val="2"/>
            <w:shd w:val="clear" w:color="auto" w:fill="CCEEFF"/>
          </w:tcPr>
          <w:p>
            <w:pPr>
              <w:jc w:val="right"/>
              <w:ind w:right="368"/>
              <w:spacing w:after="0" w:line="202" w:lineRule="exact"/>
              <w:rPr>
                <w:sz w:val="20"/>
                <w:szCs w:val="20"/>
                <w:color w:val="auto"/>
              </w:rPr>
            </w:pPr>
            <w:r>
              <w:rPr>
                <w:rFonts w:ascii="Arial" w:cs="Arial" w:eastAsia="Arial" w:hAnsi="Arial"/>
                <w:sz w:val="18"/>
                <w:szCs w:val="18"/>
                <w:color w:val="auto"/>
              </w:rPr>
              <w:t>$ 21,231</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22,417</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9"/>
        </w:trPr>
        <w:tc>
          <w:tcPr>
            <w:tcW w:w="4700" w:type="dxa"/>
            <w:vAlign w:val="bottom"/>
          </w:tcPr>
          <w:p>
            <w:pPr>
              <w:spacing w:after="0"/>
              <w:rPr>
                <w:sz w:val="20"/>
                <w:szCs w:val="20"/>
                <w:color w:val="auto"/>
              </w:rPr>
            </w:pPr>
            <w:r>
              <w:rPr>
                <w:rFonts w:ascii="Arial" w:cs="Arial" w:eastAsia="Arial" w:hAnsi="Arial"/>
                <w:sz w:val="18"/>
                <w:szCs w:val="18"/>
                <w:color w:val="auto"/>
              </w:rPr>
              <w:t>Percentage of revenue</w:t>
            </w:r>
          </w:p>
        </w:tc>
        <w:tc>
          <w:tcPr>
            <w:tcW w:w="3700" w:type="dxa"/>
            <w:vAlign w:val="bottom"/>
            <w:gridSpan w:val="2"/>
          </w:tcPr>
          <w:p>
            <w:pPr>
              <w:jc w:val="right"/>
              <w:ind w:right="208"/>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General and administrative expenses increased by $1.2 million, or 6%, for the year ended December 31, 2024 compared to the year ended December 31, 2023. This increase was primarily attributable to an increase of $1.8 million in professional and outside services costs, $0.6 million in personnel-related compensation expenses due to increased headcount, and $0.6 million in payment processing and other general and administrative costs. These increases were in part offset by the reversal of a prior accrual of a $2.0 million loss contingency associated with a cyber incident.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Technology (Exclusive of Amortization)</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6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60" w:type="dxa"/>
            <w:vAlign w:val="bottom"/>
            <w:tcBorders>
              <w:top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2023</w:t>
            </w:r>
          </w:p>
        </w:tc>
        <w:tc>
          <w:tcPr>
            <w:tcW w:w="4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2024</w:t>
            </w:r>
          </w:p>
        </w:tc>
        <w:tc>
          <w:tcPr>
            <w:tcW w:w="5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140" w:type="dxa"/>
            <w:vAlign w:val="bottom"/>
            <w:tcBorders>
              <w:top w:val="single" w:sz="8" w:color="auto"/>
            </w:tcBorders>
            <w:gridSpan w:val="3"/>
          </w:tcPr>
          <w:p>
            <w:pPr>
              <w:jc w:val="center"/>
              <w:spacing w:after="0" w:line="147" w:lineRule="exact"/>
              <w:rPr>
                <w:sz w:val="20"/>
                <w:szCs w:val="20"/>
                <w:color w:val="auto"/>
              </w:rPr>
            </w:pPr>
            <w:r>
              <w:rPr>
                <w:rFonts w:ascii="Arial" w:cs="Arial" w:eastAsia="Arial" w:hAnsi="Arial"/>
                <w:sz w:val="14"/>
                <w:szCs w:val="14"/>
                <w:b w:val="1"/>
                <w:bCs w:val="1"/>
                <w:color w:val="auto"/>
              </w:rPr>
              <w:t>(in thousands, except</w:t>
            </w:r>
          </w:p>
        </w:tc>
        <w:tc>
          <w:tcPr>
            <w:tcW w:w="5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4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rPr>
              <w:t>percentages)</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Technology (exclusive of amortization)</w:t>
            </w:r>
          </w:p>
        </w:tc>
        <w:tc>
          <w:tcPr>
            <w:tcW w:w="428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  22,288</w:t>
            </w:r>
          </w:p>
        </w:tc>
        <w:tc>
          <w:tcPr>
            <w:tcW w:w="4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23,133</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9"/>
        </w:trPr>
        <w:tc>
          <w:tcPr>
            <w:tcW w:w="4200" w:type="dxa"/>
            <w:vAlign w:val="bottom"/>
          </w:tcPr>
          <w:p>
            <w:pPr>
              <w:spacing w:after="0"/>
              <w:rPr>
                <w:sz w:val="20"/>
                <w:szCs w:val="20"/>
                <w:color w:val="auto"/>
              </w:rPr>
            </w:pPr>
            <w:r>
              <w:rPr>
                <w:rFonts w:ascii="Arial" w:cs="Arial" w:eastAsia="Arial" w:hAnsi="Arial"/>
                <w:sz w:val="18"/>
                <w:szCs w:val="18"/>
                <w:color w:val="auto"/>
              </w:rPr>
              <w:t>Percentage of revenue</w:t>
            </w:r>
          </w:p>
        </w:tc>
        <w:tc>
          <w:tcPr>
            <w:tcW w:w="4280" w:type="dxa"/>
            <w:vAlign w:val="bottom"/>
            <w:gridSpan w:val="2"/>
          </w:tcPr>
          <w:p>
            <w:pPr>
              <w:jc w:val="right"/>
              <w:ind w:right="208"/>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4200" w:type="dxa"/>
            <w:vAlign w:val="bottom"/>
          </w:tcPr>
          <w:p>
            <w:pPr>
              <w:spacing w:after="0"/>
              <w:rPr>
                <w:sz w:val="24"/>
                <w:szCs w:val="24"/>
                <w:color w:val="auto"/>
              </w:rPr>
            </w:pPr>
          </w:p>
        </w:tc>
        <w:tc>
          <w:tcPr>
            <w:tcW w:w="3220" w:type="dxa"/>
            <w:vAlign w:val="bottom"/>
          </w:tcPr>
          <w:p>
            <w:pPr>
              <w:jc w:val="right"/>
              <w:ind w:right="1670"/>
              <w:spacing w:after="0"/>
              <w:rPr>
                <w:sz w:val="20"/>
                <w:szCs w:val="20"/>
                <w:color w:val="auto"/>
              </w:rPr>
            </w:pPr>
            <w:r>
              <w:rPr>
                <w:rFonts w:ascii="Arial" w:cs="Arial" w:eastAsia="Arial" w:hAnsi="Arial"/>
                <w:sz w:val="18"/>
                <w:szCs w:val="18"/>
                <w:color w:val="auto"/>
              </w:rPr>
              <w:t>101</w:t>
            </w: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Technology expenses increased by $0.8 million, or 4%, for the year ended December 31, 2024 compared to the year ended December 31, 2023. The increase was primarily attributable to a $0.8 million increase in software and web services costs, driven in part by investments in cybersecurity, and a $0.6 million increase in professional and outside services costs to support both the maintenance and expansion of our product suite and technology infrastructure. These increases were in part offset by a $1.0 million reduction in personnel-related expenses.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Revenue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98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180" w:type="dxa"/>
            <w:vAlign w:val="bottom"/>
            <w:tcBorders>
              <w:top w:val="single" w:sz="8" w:color="auto"/>
            </w:tcBorders>
          </w:tcPr>
          <w:p>
            <w:pPr>
              <w:jc w:val="right"/>
              <w:ind w:right="608"/>
              <w:spacing w:after="0" w:line="155" w:lineRule="exact"/>
              <w:rPr>
                <w:sz w:val="20"/>
                <w:szCs w:val="20"/>
                <w:color w:val="auto"/>
              </w:rPr>
            </w:pPr>
            <w:r>
              <w:rPr>
                <w:rFonts w:ascii="Arial" w:cs="Arial" w:eastAsia="Arial" w:hAnsi="Arial"/>
                <w:sz w:val="14"/>
                <w:szCs w:val="14"/>
                <w:b w:val="1"/>
                <w:bCs w:val="1"/>
                <w:color w:val="auto"/>
              </w:rPr>
              <w:t>2023</w:t>
            </w:r>
          </w:p>
        </w:tc>
        <w:tc>
          <w:tcPr>
            <w:tcW w:w="4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2024</w:t>
            </w:r>
          </w:p>
        </w:tc>
        <w:tc>
          <w:tcPr>
            <w:tcW w:w="7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4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40" w:type="dxa"/>
            <w:vAlign w:val="bottom"/>
            <w:tcBorders>
              <w:top w:val="single" w:sz="8" w:color="auto"/>
            </w:tcBorders>
            <w:gridSpan w:val="3"/>
          </w:tcPr>
          <w:p>
            <w:pPr>
              <w:jc w:val="center"/>
              <w:spacing w:after="0" w:line="147" w:lineRule="exact"/>
              <w:rPr>
                <w:sz w:val="20"/>
                <w:szCs w:val="20"/>
                <w:color w:val="auto"/>
              </w:rPr>
            </w:pPr>
            <w:r>
              <w:rPr>
                <w:rFonts w:ascii="Arial" w:cs="Arial" w:eastAsia="Arial" w:hAnsi="Arial"/>
                <w:sz w:val="14"/>
                <w:szCs w:val="14"/>
                <w:b w:val="1"/>
                <w:bCs w:val="1"/>
                <w:color w:val="auto"/>
              </w:rPr>
              <w:t>(in thousands, except</w:t>
            </w:r>
          </w:p>
        </w:tc>
        <w:tc>
          <w:tcPr>
            <w:tcW w:w="7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40" w:type="dxa"/>
            <w:vAlign w:val="bottom"/>
            <w:gridSpan w:val="2"/>
          </w:tcPr>
          <w:p>
            <w:pPr>
              <w:jc w:val="center"/>
              <w:ind w:left="508"/>
              <w:spacing w:after="0"/>
              <w:rPr>
                <w:sz w:val="20"/>
                <w:szCs w:val="20"/>
                <w:color w:val="auto"/>
              </w:rPr>
            </w:pPr>
            <w:r>
              <w:rPr>
                <w:rFonts w:ascii="Arial" w:cs="Arial" w:eastAsia="Arial" w:hAnsi="Arial"/>
                <w:sz w:val="14"/>
                <w:szCs w:val="14"/>
                <w:b w:val="1"/>
                <w:bCs w:val="1"/>
                <w:color w:val="auto"/>
              </w:rPr>
              <w:t>percentages)</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384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color w:val="auto"/>
              </w:rPr>
              <w:t>$  5,902</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6,527</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9"/>
        </w:trPr>
        <w:tc>
          <w:tcPr>
            <w:tcW w:w="4460" w:type="dxa"/>
            <w:vAlign w:val="bottom"/>
          </w:tcPr>
          <w:p>
            <w:pPr>
              <w:spacing w:after="0"/>
              <w:rPr>
                <w:sz w:val="20"/>
                <w:szCs w:val="20"/>
                <w:color w:val="auto"/>
              </w:rPr>
            </w:pPr>
            <w:r>
              <w:rPr>
                <w:rFonts w:ascii="Arial" w:cs="Arial" w:eastAsia="Arial" w:hAnsi="Arial"/>
                <w:sz w:val="18"/>
                <w:szCs w:val="18"/>
                <w:color w:val="auto"/>
              </w:rPr>
              <w:t>Percentage of revenue</w:t>
            </w:r>
          </w:p>
        </w:tc>
        <w:tc>
          <w:tcPr>
            <w:tcW w:w="3840" w:type="dxa"/>
            <w:vAlign w:val="bottom"/>
            <w:gridSpan w:val="2"/>
          </w:tcPr>
          <w:p>
            <w:pPr>
              <w:jc w:val="right"/>
              <w:ind w:right="248"/>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Cost of revenue expenses increased by $ 0.6 million, or 11%, for the year ended December 31, 2024 compared to the year ended December 31, 2023. The increase was primarily attributable to a $0.6 million increase in underwriting costs driven by growth in application and activated policy volume.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Depreciation and Amortization</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6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72"/>
              </w:rPr>
              <w:t> </w:t>
            </w:r>
          </w:p>
        </w:tc>
        <w:tc>
          <w:tcPr>
            <w:tcW w:w="1080" w:type="dxa"/>
            <w:vAlign w:val="bottom"/>
            <w:tcBorders>
              <w:top w:val="single" w:sz="8" w:color="auto"/>
            </w:tcBorders>
          </w:tcPr>
          <w:p>
            <w:pPr>
              <w:jc w:val="right"/>
              <w:ind w:right="602"/>
              <w:spacing w:after="0" w:line="155" w:lineRule="exact"/>
              <w:rPr>
                <w:sz w:val="20"/>
                <w:szCs w:val="20"/>
                <w:color w:val="auto"/>
              </w:rPr>
            </w:pPr>
            <w:r>
              <w:rPr>
                <w:rFonts w:ascii="Arial" w:cs="Arial" w:eastAsia="Arial" w:hAnsi="Arial"/>
                <w:sz w:val="14"/>
                <w:szCs w:val="14"/>
                <w:b w:val="1"/>
                <w:bCs w:val="1"/>
                <w:color w:val="auto"/>
                <w:w w:val="84"/>
              </w:rPr>
              <w:t>2023 </w:t>
            </w: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w:t>
            </w:r>
          </w:p>
        </w:tc>
        <w:tc>
          <w:tcPr>
            <w:tcW w:w="58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2024 </w:t>
            </w:r>
          </w:p>
        </w:tc>
        <w:tc>
          <w:tcPr>
            <w:tcW w:w="8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center"/>
              <w:ind w:left="342"/>
              <w:spacing w:after="0" w:line="147" w:lineRule="exact"/>
              <w:rPr>
                <w:sz w:val="20"/>
                <w:szCs w:val="20"/>
                <w:color w:val="auto"/>
              </w:rPr>
            </w:pPr>
            <w:r>
              <w:rPr>
                <w:rFonts w:ascii="Arial" w:cs="Arial" w:eastAsia="Arial" w:hAnsi="Arial"/>
                <w:sz w:val="14"/>
                <w:szCs w:val="14"/>
                <w:b w:val="1"/>
                <w:bCs w:val="1"/>
                <w:color w:val="auto"/>
              </w:rPr>
              <w:t>(in thousands,</w:t>
            </w:r>
          </w:p>
        </w:tc>
        <w:tc>
          <w:tcPr>
            <w:tcW w:w="58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rPr>
              <w:t>except percentages)</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400" w:type="dxa"/>
            <w:vAlign w:val="bottom"/>
            <w:gridSpan w:val="2"/>
            <w:shd w:val="clear" w:color="auto" w:fill="CCEEFF"/>
          </w:tcPr>
          <w:p>
            <w:pPr>
              <w:jc w:val="right"/>
              <w:ind w:right="3"/>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42"/>
              <w:spacing w:after="0" w:line="202" w:lineRule="exact"/>
              <w:rPr>
                <w:sz w:val="20"/>
                <w:szCs w:val="20"/>
                <w:color w:val="auto"/>
              </w:rPr>
            </w:pPr>
            <w:r>
              <w:rPr>
                <w:rFonts w:ascii="Arial" w:cs="Arial" w:eastAsia="Arial" w:hAnsi="Arial"/>
                <w:sz w:val="18"/>
                <w:szCs w:val="18"/>
                <w:color w:val="auto"/>
              </w:rPr>
              <w:t>5,713</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5,438</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9"/>
        </w:trPr>
        <w:tc>
          <w:tcPr>
            <w:tcW w:w="4620" w:type="dxa"/>
            <w:vAlign w:val="bottom"/>
          </w:tcPr>
          <w:p>
            <w:pPr>
              <w:spacing w:after="0"/>
              <w:rPr>
                <w:sz w:val="20"/>
                <w:szCs w:val="20"/>
                <w:color w:val="auto"/>
              </w:rPr>
            </w:pPr>
            <w:r>
              <w:rPr>
                <w:rFonts w:ascii="Arial" w:cs="Arial" w:eastAsia="Arial" w:hAnsi="Arial"/>
                <w:sz w:val="18"/>
                <w:szCs w:val="18"/>
                <w:color w:val="auto"/>
              </w:rPr>
              <w:t>Percentage of revenue</w:t>
            </w: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82"/>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20" w:right="40" w:firstLine="551"/>
        <w:spacing w:after="0" w:line="253" w:lineRule="auto"/>
        <w:rPr>
          <w:sz w:val="20"/>
          <w:szCs w:val="20"/>
          <w:color w:val="auto"/>
        </w:rPr>
      </w:pPr>
      <w:r>
        <w:rPr>
          <w:rFonts w:ascii="Arial" w:cs="Arial" w:eastAsia="Arial" w:hAnsi="Arial"/>
          <w:sz w:val="18"/>
          <w:szCs w:val="18"/>
          <w:color w:val="auto"/>
        </w:rPr>
        <w:t>Depreciation and amortization expenses decreased by $0.3 million, or 5%, for the year ended December 31, 2024 compared to the year ended December 31, 2023. The decrease was primarily driven by acquired intangible assets that were fully amortized during the year ended December 31, 2023.</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8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672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8"/>
                <w:szCs w:val="8"/>
                <w:b w:val="1"/>
                <w:bCs w:val="1"/>
                <w:color w:val="auto"/>
                <w:w w:val="74"/>
              </w:rPr>
              <w:t> </w:t>
            </w:r>
          </w:p>
        </w:tc>
        <w:tc>
          <w:tcPr>
            <w:tcW w:w="1140" w:type="dxa"/>
            <w:vAlign w:val="bottom"/>
            <w:tcBorders>
              <w:top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w w:val="84"/>
              </w:rPr>
              <w:t>2023 </w:t>
            </w: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w:t>
            </w:r>
          </w:p>
        </w:tc>
        <w:tc>
          <w:tcPr>
            <w:tcW w:w="580" w:type="dxa"/>
            <w:vAlign w:val="bottom"/>
            <w:tcBorders>
              <w:top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2024 </w:t>
            </w:r>
          </w:p>
        </w:tc>
        <w:tc>
          <w:tcPr>
            <w:tcW w:w="9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jc w:val="center"/>
              <w:ind w:left="362"/>
              <w:spacing w:after="0" w:line="147" w:lineRule="exact"/>
              <w:rPr>
                <w:sz w:val="20"/>
                <w:szCs w:val="20"/>
                <w:color w:val="auto"/>
              </w:rPr>
            </w:pPr>
            <w:r>
              <w:rPr>
                <w:rFonts w:ascii="Arial" w:cs="Arial" w:eastAsia="Arial" w:hAnsi="Arial"/>
                <w:sz w:val="14"/>
                <w:szCs w:val="14"/>
                <w:b w:val="1"/>
                <w:bCs w:val="1"/>
                <w:color w:val="auto"/>
              </w:rPr>
              <w:t>(in thousands,</w:t>
            </w:r>
          </w:p>
        </w:tc>
        <w:tc>
          <w:tcPr>
            <w:tcW w:w="58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8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rPr>
              <w:t>except percentages)</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462"/>
              <w:spacing w:after="0" w:line="202" w:lineRule="exact"/>
              <w:rPr>
                <w:sz w:val="20"/>
                <w:szCs w:val="20"/>
                <w:color w:val="auto"/>
              </w:rPr>
            </w:pPr>
            <w:r>
              <w:rPr>
                <w:rFonts w:ascii="Arial" w:cs="Arial" w:eastAsia="Arial" w:hAnsi="Arial"/>
                <w:sz w:val="18"/>
                <w:szCs w:val="18"/>
                <w:color w:val="auto"/>
              </w:rPr>
              <w:t>(723)</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(595)</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9"/>
        </w:trPr>
        <w:tc>
          <w:tcPr>
            <w:tcW w:w="6720" w:type="dxa"/>
            <w:vAlign w:val="bottom"/>
          </w:tcPr>
          <w:p>
            <w:pPr>
              <w:spacing w:after="0"/>
              <w:rPr>
                <w:sz w:val="20"/>
                <w:szCs w:val="20"/>
                <w:color w:val="auto"/>
              </w:rPr>
            </w:pPr>
            <w:r>
              <w:rPr>
                <w:rFonts w:ascii="Arial" w:cs="Arial" w:eastAsia="Arial" w:hAnsi="Arial"/>
                <w:sz w:val="18"/>
                <w:szCs w:val="18"/>
                <w:color w:val="auto"/>
              </w:rPr>
              <w:t>Percentage of revenue</w:t>
            </w:r>
          </w:p>
        </w:tc>
        <w:tc>
          <w:tcPr>
            <w:tcW w:w="140" w:type="dxa"/>
            <w:vAlign w:val="bottom"/>
          </w:tcPr>
          <w:p>
            <w:pPr>
              <w:spacing w:after="0"/>
              <w:rPr>
                <w:sz w:val="20"/>
                <w:szCs w:val="20"/>
                <w:color w:val="auto"/>
              </w:rPr>
            </w:pPr>
          </w:p>
        </w:tc>
        <w:tc>
          <w:tcPr>
            <w:tcW w:w="1140" w:type="dxa"/>
            <w:vAlign w:val="bottom"/>
          </w:tcPr>
          <w:p>
            <w:pPr>
              <w:jc w:val="right"/>
              <w:ind w:right="302"/>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20"/>
                <w:szCs w:val="20"/>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140" w:firstLine="551"/>
        <w:spacing w:after="0" w:line="253" w:lineRule="auto"/>
        <w:rPr>
          <w:sz w:val="20"/>
          <w:szCs w:val="20"/>
          <w:color w:val="auto"/>
        </w:rPr>
      </w:pPr>
      <w:r>
        <w:rPr>
          <w:rFonts w:ascii="Arial" w:cs="Arial" w:eastAsia="Arial" w:hAnsi="Arial"/>
          <w:sz w:val="18"/>
          <w:szCs w:val="18"/>
          <w:color w:val="auto"/>
        </w:rPr>
        <w:t>Interest expense decreased by $ 0.1 million, or 18%, for the year ended December 31, 2024 compared to the year ended December 31, 2023. The decrease was driven by a reduction in previous liabilities related to the sale of commissions receivable, partially offset by an increase in liabilities related to the sale of commissions receivable in December 2024.</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72"/>
              </w:rPr>
              <w:t> </w:t>
            </w:r>
          </w:p>
        </w:tc>
        <w:tc>
          <w:tcPr>
            <w:tcW w:w="1080" w:type="dxa"/>
            <w:vAlign w:val="bottom"/>
            <w:tcBorders>
              <w:top w:val="single" w:sz="8" w:color="auto"/>
            </w:tcBorders>
          </w:tcPr>
          <w:p>
            <w:pPr>
              <w:jc w:val="right"/>
              <w:ind w:right="602"/>
              <w:spacing w:after="0" w:line="155" w:lineRule="exact"/>
              <w:rPr>
                <w:sz w:val="20"/>
                <w:szCs w:val="20"/>
                <w:color w:val="auto"/>
              </w:rPr>
            </w:pPr>
            <w:r>
              <w:rPr>
                <w:rFonts w:ascii="Arial" w:cs="Arial" w:eastAsia="Arial" w:hAnsi="Arial"/>
                <w:sz w:val="14"/>
                <w:szCs w:val="14"/>
                <w:b w:val="1"/>
                <w:bCs w:val="1"/>
                <w:color w:val="auto"/>
                <w:w w:val="84"/>
              </w:rPr>
              <w:t>2023 </w:t>
            </w: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w:t>
            </w:r>
          </w:p>
        </w:tc>
        <w:tc>
          <w:tcPr>
            <w:tcW w:w="58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2024 </w:t>
            </w:r>
          </w:p>
        </w:tc>
        <w:tc>
          <w:tcPr>
            <w:tcW w:w="8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center"/>
              <w:ind w:left="342"/>
              <w:spacing w:after="0" w:line="147" w:lineRule="exact"/>
              <w:rPr>
                <w:sz w:val="20"/>
                <w:szCs w:val="20"/>
                <w:color w:val="auto"/>
              </w:rPr>
            </w:pPr>
            <w:r>
              <w:rPr>
                <w:rFonts w:ascii="Arial" w:cs="Arial" w:eastAsia="Arial" w:hAnsi="Arial"/>
                <w:sz w:val="14"/>
                <w:szCs w:val="14"/>
                <w:b w:val="1"/>
                <w:bCs w:val="1"/>
                <w:color w:val="auto"/>
              </w:rPr>
              <w:t>(in thousands,</w:t>
            </w:r>
          </w:p>
        </w:tc>
        <w:tc>
          <w:tcPr>
            <w:tcW w:w="58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rPr>
              <w:t>except percentages)</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3440" w:type="dxa"/>
            <w:vAlign w:val="bottom"/>
            <w:gridSpan w:val="2"/>
            <w:shd w:val="clear" w:color="auto" w:fill="CCEEFF"/>
          </w:tcPr>
          <w:p>
            <w:pPr>
              <w:jc w:val="right"/>
              <w:ind w:right="3"/>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42"/>
              <w:spacing w:after="0" w:line="202" w:lineRule="exact"/>
              <w:rPr>
                <w:sz w:val="20"/>
                <w:szCs w:val="20"/>
                <w:color w:val="auto"/>
              </w:rPr>
            </w:pPr>
            <w:r>
              <w:rPr>
                <w:rFonts w:ascii="Arial" w:cs="Arial" w:eastAsia="Arial" w:hAnsi="Arial"/>
                <w:sz w:val="18"/>
                <w:szCs w:val="18"/>
                <w:color w:val="auto"/>
              </w:rPr>
              <w:t>5,792</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5,599</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9"/>
        </w:trPr>
        <w:tc>
          <w:tcPr>
            <w:tcW w:w="3580" w:type="dxa"/>
            <w:vAlign w:val="bottom"/>
          </w:tcPr>
          <w:p>
            <w:pPr>
              <w:spacing w:after="0"/>
              <w:rPr>
                <w:sz w:val="20"/>
                <w:szCs w:val="20"/>
                <w:color w:val="auto"/>
              </w:rPr>
            </w:pPr>
            <w:r>
              <w:rPr>
                <w:rFonts w:ascii="Arial" w:cs="Arial" w:eastAsia="Arial" w:hAnsi="Arial"/>
                <w:sz w:val="18"/>
                <w:szCs w:val="18"/>
                <w:color w:val="auto"/>
              </w:rPr>
              <w:t>Percentage of revenue</w:t>
            </w:r>
          </w:p>
        </w:tc>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82"/>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3580" w:type="dxa"/>
            <w:vAlign w:val="bottom"/>
          </w:tcPr>
          <w:p>
            <w:pPr>
              <w:spacing w:after="0"/>
              <w:rPr>
                <w:sz w:val="24"/>
                <w:szCs w:val="24"/>
                <w:color w:val="auto"/>
              </w:rPr>
            </w:pPr>
          </w:p>
        </w:tc>
        <w:tc>
          <w:tcPr>
            <w:tcW w:w="3280" w:type="dxa"/>
            <w:vAlign w:val="bottom"/>
          </w:tcPr>
          <w:p>
            <w:pPr>
              <w:jc w:val="right"/>
              <w:ind w:right="111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20" w:firstLine="551"/>
        <w:spacing w:after="0" w:line="301" w:lineRule="auto"/>
        <w:rPr>
          <w:sz w:val="20"/>
          <w:szCs w:val="20"/>
          <w:color w:val="auto"/>
        </w:rPr>
      </w:pPr>
      <w:r>
        <w:rPr>
          <w:rFonts w:ascii="Arial" w:cs="Arial" w:eastAsia="Arial" w:hAnsi="Arial"/>
          <w:sz w:val="17"/>
          <w:szCs w:val="17"/>
          <w:color w:val="auto"/>
        </w:rPr>
        <w:t>Interest income decreased by $0.2 million, or 3%, for the year ended December 31, 2024 compared to the year ended December 31, 2023. The decrease was primarily attributable to a lower average short-term investment and cash equivalents balance.</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 Expense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gridSpan w:val="4"/>
          </w:tcPr>
          <w:p>
            <w:pPr>
              <w:jc w:val="center"/>
              <w:ind w:right="104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43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72"/>
              </w:rPr>
              <w:t> </w:t>
            </w:r>
          </w:p>
        </w:tc>
        <w:tc>
          <w:tcPr>
            <w:tcW w:w="1080" w:type="dxa"/>
            <w:vAlign w:val="bottom"/>
            <w:tcBorders>
              <w:top w:val="single" w:sz="8" w:color="auto"/>
            </w:tcBorders>
          </w:tcPr>
          <w:p>
            <w:pPr>
              <w:jc w:val="right"/>
              <w:ind w:right="602"/>
              <w:spacing w:after="0" w:line="155" w:lineRule="exact"/>
              <w:rPr>
                <w:sz w:val="20"/>
                <w:szCs w:val="20"/>
                <w:color w:val="auto"/>
              </w:rPr>
            </w:pPr>
            <w:r>
              <w:rPr>
                <w:rFonts w:ascii="Arial" w:cs="Arial" w:eastAsia="Arial" w:hAnsi="Arial"/>
                <w:sz w:val="14"/>
                <w:szCs w:val="14"/>
                <w:b w:val="1"/>
                <w:bCs w:val="1"/>
                <w:color w:val="auto"/>
                <w:w w:val="84"/>
              </w:rPr>
              <w:t>2023 </w:t>
            </w: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w:t>
            </w:r>
          </w:p>
        </w:tc>
        <w:tc>
          <w:tcPr>
            <w:tcW w:w="58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2024 </w:t>
            </w:r>
          </w:p>
        </w:tc>
        <w:tc>
          <w:tcPr>
            <w:tcW w:w="9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3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center"/>
              <w:ind w:left="342"/>
              <w:spacing w:after="0" w:line="147" w:lineRule="exact"/>
              <w:rPr>
                <w:sz w:val="20"/>
                <w:szCs w:val="20"/>
                <w:color w:val="auto"/>
              </w:rPr>
            </w:pPr>
            <w:r>
              <w:rPr>
                <w:rFonts w:ascii="Arial" w:cs="Arial" w:eastAsia="Arial" w:hAnsi="Arial"/>
                <w:sz w:val="14"/>
                <w:szCs w:val="14"/>
                <w:b w:val="1"/>
                <w:bCs w:val="1"/>
                <w:color w:val="auto"/>
              </w:rPr>
              <w:t>(in thousands,</w:t>
            </w:r>
          </w:p>
        </w:tc>
        <w:tc>
          <w:tcPr>
            <w:tcW w:w="580" w:type="dxa"/>
            <w:vAlign w:val="bottom"/>
            <w:tcBorders>
              <w:top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gridSpan w:val="4"/>
          </w:tcPr>
          <w:p>
            <w:pPr>
              <w:jc w:val="center"/>
              <w:ind w:right="1040"/>
              <w:spacing w:after="0"/>
              <w:rPr>
                <w:sz w:val="20"/>
                <w:szCs w:val="20"/>
                <w:color w:val="auto"/>
              </w:rPr>
            </w:pPr>
            <w:r>
              <w:rPr>
                <w:rFonts w:ascii="Arial" w:cs="Arial" w:eastAsia="Arial" w:hAnsi="Arial"/>
                <w:sz w:val="14"/>
                <w:szCs w:val="14"/>
                <w:b w:val="1"/>
                <w:bCs w:val="1"/>
                <w:color w:val="auto"/>
              </w:rPr>
              <w:t>except percentages)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2680" w:type="dxa"/>
            <w:vAlign w:val="bottom"/>
            <w:gridSpan w:val="2"/>
            <w:shd w:val="clear" w:color="auto" w:fill="CCEEFF"/>
          </w:tcPr>
          <w:p>
            <w:pPr>
              <w:jc w:val="right"/>
              <w:ind w:right="3"/>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82"/>
              <w:spacing w:after="0" w:line="202" w:lineRule="exact"/>
              <w:rPr>
                <w:sz w:val="20"/>
                <w:szCs w:val="20"/>
                <w:color w:val="auto"/>
              </w:rPr>
            </w:pPr>
            <w:r>
              <w:rPr>
                <w:rFonts w:ascii="Arial" w:cs="Arial" w:eastAsia="Arial" w:hAnsi="Arial"/>
                <w:sz w:val="18"/>
                <w:szCs w:val="18"/>
                <w:color w:val="auto"/>
              </w:rPr>
              <w:t>(586)</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(5,104)</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39"/>
        </w:trPr>
        <w:tc>
          <w:tcPr>
            <w:tcW w:w="4340" w:type="dxa"/>
            <w:vAlign w:val="bottom"/>
          </w:tcPr>
          <w:p>
            <w:pPr>
              <w:spacing w:after="0"/>
              <w:rPr>
                <w:sz w:val="20"/>
                <w:szCs w:val="20"/>
                <w:color w:val="auto"/>
              </w:rPr>
            </w:pPr>
            <w:r>
              <w:rPr>
                <w:rFonts w:ascii="Arial" w:cs="Arial" w:eastAsia="Arial" w:hAnsi="Arial"/>
                <w:sz w:val="18"/>
                <w:szCs w:val="18"/>
                <w:color w:val="auto"/>
              </w:rPr>
              <w:t>Percentage of revenue</w:t>
            </w:r>
          </w:p>
        </w:tc>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82"/>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20"/>
                <w:szCs w:val="20"/>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460" w:firstLine="551"/>
        <w:spacing w:after="0" w:line="253" w:lineRule="auto"/>
        <w:rPr>
          <w:sz w:val="20"/>
          <w:szCs w:val="20"/>
          <w:color w:val="auto"/>
        </w:rPr>
      </w:pPr>
      <w:r>
        <w:rPr>
          <w:rFonts w:ascii="Arial" w:cs="Arial" w:eastAsia="Arial" w:hAnsi="Arial"/>
          <w:sz w:val="18"/>
          <w:szCs w:val="18"/>
          <w:color w:val="auto"/>
        </w:rPr>
        <w:t>Income tax expense increased by $4.5 million, or 771%, for the year ended December 31, 2024 compared to the year ended December 31, 2023. The increase was primarily driven by changes to the valuation allowance as a result of increases to deferred tax liabilities associated with revenue recognition.</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Quarterly Results of Operations and Other Data</w:t>
      </w:r>
    </w:p>
    <w:p>
      <w:pPr>
        <w:spacing w:after="0" w:line="10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following tables set forth our unaudited quarterly statements of operations data for each of the eight quarters ended September 30, 2025, as well as the percentage of revenue that each line item represents for each quarter. The unaudited quarterly statements of operations data set forth below have been prepared on the same basis as our audited consolidated financial statements and unaudited condensed consolidated financial statements and, in the opinion of management, reflect all adjustments, consisting only of normal recurring adjustments, that are necessary for the fair statement of such data. Our historical results are not necessarily indicative of the results that may be expected in the future, and the results for any quarter are not necessarily indicative of results to be expected for any other period. The following quarterly financial data should be read in conjunction with our audited consolidated financial statements and unaudited condensed consolidated financial statements and, in each case, the related notes included elsewhere in this prospectus.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3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3"/>
                <w:szCs w:val="13"/>
                <w:b w:val="1"/>
                <w:bCs w:val="1"/>
                <w:color w:val="auto"/>
              </w:rPr>
              <w:t>Three Months Ended</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80" w:type="dxa"/>
            <w:vAlign w:val="bottom"/>
            <w:gridSpan w:val="3"/>
          </w:tcPr>
          <w:p>
            <w:pPr>
              <w:spacing w:after="0" w:line="111" w:lineRule="exact"/>
              <w:rPr>
                <w:sz w:val="20"/>
                <w:szCs w:val="20"/>
                <w:color w:val="auto"/>
              </w:rPr>
            </w:pPr>
            <w:r>
              <w:rPr>
                <w:rFonts w:ascii="Arial" w:cs="Arial" w:eastAsia="Arial" w:hAnsi="Arial"/>
                <w:sz w:val="12"/>
                <w:szCs w:val="12"/>
                <w:b w:val="1"/>
                <w:bCs w:val="1"/>
                <w:color w:val="auto"/>
              </w:rPr>
              <w:t>December 31,</w:t>
            </w:r>
          </w:p>
        </w:tc>
        <w:tc>
          <w:tcPr>
            <w:tcW w:w="860" w:type="dxa"/>
            <w:vAlign w:val="bottom"/>
            <w:gridSpan w:val="2"/>
          </w:tcPr>
          <w:p>
            <w:pPr>
              <w:jc w:val="right"/>
              <w:ind w:right="260"/>
              <w:spacing w:after="0" w:line="111" w:lineRule="exact"/>
              <w:rPr>
                <w:sz w:val="20"/>
                <w:szCs w:val="20"/>
                <w:color w:val="auto"/>
              </w:rPr>
            </w:pPr>
            <w:r>
              <w:rPr>
                <w:rFonts w:ascii="Arial" w:cs="Arial" w:eastAsia="Arial" w:hAnsi="Arial"/>
                <w:sz w:val="12"/>
                <w:szCs w:val="12"/>
                <w:b w:val="1"/>
                <w:bCs w:val="1"/>
                <w:color w:val="auto"/>
              </w:rPr>
              <w:t>March 31,</w:t>
            </w:r>
          </w:p>
        </w:tc>
        <w:tc>
          <w:tcPr>
            <w:tcW w:w="700" w:type="dxa"/>
            <w:vAlign w:val="bottom"/>
            <w:gridSpan w:val="2"/>
          </w:tcPr>
          <w:p>
            <w:pPr>
              <w:jc w:val="right"/>
              <w:ind w:right="180"/>
              <w:spacing w:after="0" w:line="111" w:lineRule="exact"/>
              <w:rPr>
                <w:sz w:val="20"/>
                <w:szCs w:val="20"/>
                <w:color w:val="auto"/>
              </w:rPr>
            </w:pPr>
            <w:r>
              <w:rPr>
                <w:rFonts w:ascii="Arial" w:cs="Arial" w:eastAsia="Arial" w:hAnsi="Arial"/>
                <w:sz w:val="12"/>
                <w:szCs w:val="12"/>
                <w:b w:val="1"/>
                <w:bCs w:val="1"/>
                <w:color w:val="auto"/>
              </w:rPr>
              <w:t>June 30,</w:t>
            </w:r>
          </w:p>
        </w:tc>
        <w:tc>
          <w:tcPr>
            <w:tcW w:w="100" w:type="dxa"/>
            <w:vAlign w:val="bottom"/>
          </w:tcPr>
          <w:p>
            <w:pPr>
              <w:spacing w:after="0"/>
              <w:rPr>
                <w:sz w:val="9"/>
                <w:szCs w:val="9"/>
                <w:color w:val="auto"/>
              </w:rPr>
            </w:pPr>
          </w:p>
        </w:tc>
        <w:tc>
          <w:tcPr>
            <w:tcW w:w="1020" w:type="dxa"/>
            <w:vAlign w:val="bottom"/>
            <w:gridSpan w:val="3"/>
          </w:tcPr>
          <w:p>
            <w:pPr>
              <w:spacing w:after="0" w:line="111" w:lineRule="exact"/>
              <w:rPr>
                <w:sz w:val="20"/>
                <w:szCs w:val="20"/>
                <w:color w:val="auto"/>
              </w:rPr>
            </w:pPr>
            <w:r>
              <w:rPr>
                <w:rFonts w:ascii="Arial" w:cs="Arial" w:eastAsia="Arial" w:hAnsi="Arial"/>
                <w:sz w:val="12"/>
                <w:szCs w:val="12"/>
                <w:b w:val="1"/>
                <w:bCs w:val="1"/>
                <w:color w:val="auto"/>
              </w:rPr>
              <w:t>September 30,</w:t>
            </w:r>
          </w:p>
        </w:tc>
        <w:tc>
          <w:tcPr>
            <w:tcW w:w="120" w:type="dxa"/>
            <w:vAlign w:val="bottom"/>
          </w:tcPr>
          <w:p>
            <w:pPr>
              <w:spacing w:after="0"/>
              <w:rPr>
                <w:sz w:val="9"/>
                <w:szCs w:val="9"/>
                <w:color w:val="auto"/>
              </w:rPr>
            </w:pPr>
          </w:p>
        </w:tc>
        <w:tc>
          <w:tcPr>
            <w:tcW w:w="1100" w:type="dxa"/>
            <w:vAlign w:val="bottom"/>
            <w:gridSpan w:val="3"/>
          </w:tcPr>
          <w:p>
            <w:pPr>
              <w:spacing w:after="0" w:line="111" w:lineRule="exact"/>
              <w:rPr>
                <w:sz w:val="20"/>
                <w:szCs w:val="20"/>
                <w:color w:val="auto"/>
              </w:rPr>
            </w:pPr>
            <w:r>
              <w:rPr>
                <w:rFonts w:ascii="Arial" w:cs="Arial" w:eastAsia="Arial" w:hAnsi="Arial"/>
                <w:sz w:val="12"/>
                <w:szCs w:val="12"/>
                <w:b w:val="1"/>
                <w:bCs w:val="1"/>
                <w:color w:val="auto"/>
              </w:rPr>
              <w:t>December 31,</w:t>
            </w:r>
          </w:p>
        </w:tc>
        <w:tc>
          <w:tcPr>
            <w:tcW w:w="860" w:type="dxa"/>
            <w:vAlign w:val="bottom"/>
            <w:gridSpan w:val="2"/>
          </w:tcPr>
          <w:p>
            <w:pPr>
              <w:jc w:val="center"/>
              <w:ind w:right="280"/>
              <w:spacing w:after="0" w:line="111" w:lineRule="exact"/>
              <w:rPr>
                <w:sz w:val="20"/>
                <w:szCs w:val="20"/>
                <w:color w:val="auto"/>
              </w:rPr>
            </w:pPr>
            <w:r>
              <w:rPr>
                <w:rFonts w:ascii="Arial" w:cs="Arial" w:eastAsia="Arial" w:hAnsi="Arial"/>
                <w:sz w:val="12"/>
                <w:szCs w:val="12"/>
                <w:b w:val="1"/>
                <w:bCs w:val="1"/>
                <w:color w:val="auto"/>
              </w:rPr>
              <w:t>March 31,</w:t>
            </w:r>
          </w:p>
        </w:tc>
        <w:tc>
          <w:tcPr>
            <w:tcW w:w="680" w:type="dxa"/>
            <w:vAlign w:val="bottom"/>
            <w:gridSpan w:val="2"/>
          </w:tcPr>
          <w:p>
            <w:pPr>
              <w:jc w:val="center"/>
              <w:ind w:right="160"/>
              <w:spacing w:after="0" w:line="111" w:lineRule="exact"/>
              <w:rPr>
                <w:sz w:val="20"/>
                <w:szCs w:val="20"/>
                <w:color w:val="auto"/>
              </w:rPr>
            </w:pPr>
            <w:r>
              <w:rPr>
                <w:rFonts w:ascii="Arial" w:cs="Arial" w:eastAsia="Arial" w:hAnsi="Arial"/>
                <w:sz w:val="12"/>
                <w:szCs w:val="12"/>
                <w:b w:val="1"/>
                <w:bCs w:val="1"/>
                <w:color w:val="auto"/>
              </w:rPr>
              <w:t>June 30,</w:t>
            </w:r>
          </w:p>
        </w:tc>
        <w:tc>
          <w:tcPr>
            <w:tcW w:w="120" w:type="dxa"/>
            <w:vAlign w:val="bottom"/>
          </w:tcPr>
          <w:p>
            <w:pPr>
              <w:spacing w:after="0"/>
              <w:rPr>
                <w:sz w:val="9"/>
                <w:szCs w:val="9"/>
                <w:color w:val="auto"/>
              </w:rPr>
            </w:pPr>
          </w:p>
        </w:tc>
        <w:tc>
          <w:tcPr>
            <w:tcW w:w="860" w:type="dxa"/>
            <w:vAlign w:val="bottom"/>
            <w:gridSpan w:val="2"/>
          </w:tcPr>
          <w:p>
            <w:pPr>
              <w:spacing w:after="0" w:line="111" w:lineRule="exact"/>
              <w:rPr>
                <w:sz w:val="20"/>
                <w:szCs w:val="20"/>
                <w:color w:val="auto"/>
              </w:rPr>
            </w:pPr>
            <w:r>
              <w:rPr>
                <w:rFonts w:ascii="Arial" w:cs="Arial" w:eastAsia="Arial" w:hAnsi="Arial"/>
                <w:sz w:val="12"/>
                <w:szCs w:val="12"/>
                <w:b w:val="1"/>
                <w:bCs w:val="1"/>
                <w:color w:val="auto"/>
              </w:rPr>
              <w:t>September 30,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2023</w:t>
            </w: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2024</w:t>
            </w: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2024</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2024</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2024</w:t>
            </w: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2025</w:t>
            </w:r>
          </w:p>
        </w:tc>
        <w:tc>
          <w:tcPr>
            <w:tcW w:w="2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2025</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40" w:type="dxa"/>
            <w:vAlign w:val="bottom"/>
            <w:gridSpan w:val="6"/>
          </w:tcPr>
          <w:p>
            <w:pPr>
              <w:jc w:val="right"/>
              <w:ind w:right="800"/>
              <w:spacing w:after="0" w:line="129" w:lineRule="exact"/>
              <w:rPr>
                <w:sz w:val="20"/>
                <w:szCs w:val="20"/>
                <w:color w:val="auto"/>
              </w:rPr>
            </w:pPr>
            <w:r>
              <w:rPr>
                <w:rFonts w:ascii="Arial" w:cs="Arial" w:eastAsia="Arial" w:hAnsi="Arial"/>
                <w:sz w:val="13"/>
                <w:szCs w:val="13"/>
                <w:b w:val="1"/>
                <w:bCs w:val="1"/>
                <w:color w:val="auto"/>
              </w:rPr>
              <w:t>(in thousands)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280"/>
              <w:spacing w:after="0"/>
              <w:rPr>
                <w:sz w:val="20"/>
                <w:szCs w:val="20"/>
                <w:color w:val="auto"/>
              </w:rPr>
            </w:pPr>
            <w:r>
              <w:rPr>
                <w:rFonts w:ascii="Arial" w:cs="Arial" w:eastAsia="Arial" w:hAnsi="Arial"/>
                <w:sz w:val="14"/>
                <w:szCs w:val="14"/>
                <w:color w:val="auto"/>
              </w:rPr>
              <w:t>Commission</w:t>
            </w:r>
          </w:p>
        </w:tc>
        <w:tc>
          <w:tcPr>
            <w:tcW w:w="5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40,018</w:t>
            </w:r>
          </w:p>
        </w:tc>
        <w:tc>
          <w:tcPr>
            <w:tcW w:w="2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$ 62,191</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56,384</w:t>
            </w:r>
          </w:p>
        </w:tc>
        <w:tc>
          <w:tcPr>
            <w:tcW w:w="3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69,827</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66,524</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$ 94,888</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u w:val="single" w:color="auto"/>
                <w:color w:val="auto"/>
                <w:w w:val="98"/>
              </w:rPr>
              <w:t>$</w:t>
            </w:r>
            <w:r>
              <w:rPr>
                <w:rFonts w:ascii="Arial" w:cs="Arial" w:eastAsia="Arial" w:hAnsi="Arial"/>
                <w:sz w:val="14"/>
                <w:szCs w:val="14"/>
                <w:color w:val="auto"/>
                <w:w w:val="98"/>
              </w:rPr>
              <w:t>88,849</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93,794</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Total revenue</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40,018</w:t>
            </w: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62,191</w:t>
            </w: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56,384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69,827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66,524</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94,888</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88,849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93,794</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20"/>
                <w:szCs w:val="20"/>
                <w:color w:val="auto"/>
              </w:rPr>
            </w:pPr>
            <w:r>
              <w:rPr>
                <w:rFonts w:ascii="Arial" w:cs="Arial" w:eastAsia="Arial" w:hAnsi="Arial"/>
                <w:sz w:val="14"/>
                <w:szCs w:val="14"/>
                <w:color w:val="auto"/>
              </w:rPr>
              <w:t>Costs and expenses:</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Sales and marketing</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27,143</w:t>
            </w: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38,666</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34,343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35,569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40,086</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56,383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51,748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57,074</w:t>
            </w:r>
          </w:p>
        </w:tc>
        <w:tc>
          <w:tcPr>
            <w:tcW w:w="0" w:type="dxa"/>
            <w:vAlign w:val="bottom"/>
          </w:tcPr>
          <w:p>
            <w:pPr>
              <w:spacing w:after="0"/>
              <w:rPr>
                <w:sz w:val="1"/>
                <w:szCs w:val="1"/>
                <w:color w:val="auto"/>
              </w:rPr>
            </w:pPr>
          </w:p>
        </w:tc>
      </w:tr>
      <w:tr>
        <w:trPr>
          <w:trHeight w:val="162"/>
        </w:trPr>
        <w:tc>
          <w:tcPr>
            <w:tcW w:w="3060" w:type="dxa"/>
            <w:vAlign w:val="bottom"/>
          </w:tcPr>
          <w:p>
            <w:pPr>
              <w:ind w:left="280"/>
              <w:spacing w:after="0"/>
              <w:rPr>
                <w:sz w:val="20"/>
                <w:szCs w:val="20"/>
                <w:color w:val="auto"/>
              </w:rPr>
            </w:pPr>
            <w:r>
              <w:rPr>
                <w:rFonts w:ascii="Arial" w:cs="Arial" w:eastAsia="Arial" w:hAnsi="Arial"/>
                <w:sz w:val="14"/>
                <w:szCs w:val="14"/>
                <w:color w:val="auto"/>
              </w:rPr>
              <w:t>General and administrative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6,350</w:t>
            </w:r>
          </w:p>
        </w:tc>
        <w:tc>
          <w:tcPr>
            <w:tcW w:w="2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5,870</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5,843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5,961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4,743</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13,396</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8,147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8,871</w:t>
            </w:r>
          </w:p>
        </w:tc>
        <w:tc>
          <w:tcPr>
            <w:tcW w:w="0" w:type="dxa"/>
            <w:vAlign w:val="bottom"/>
          </w:tcPr>
          <w:p>
            <w:pPr>
              <w:spacing w:after="0"/>
              <w:rPr>
                <w:sz w:val="1"/>
                <w:szCs w:val="1"/>
                <w:color w:val="auto"/>
              </w:rPr>
            </w:pPr>
          </w:p>
        </w:tc>
      </w:tr>
      <w:tr>
        <w:trPr>
          <w:trHeight w:val="162"/>
        </w:trPr>
        <w:tc>
          <w:tcPr>
            <w:tcW w:w="3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Technology (exclusive of amortization)</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5,372</w:t>
            </w: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5,442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5,549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5,776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6,366</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9,658</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7,284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7,769</w:t>
            </w:r>
          </w:p>
        </w:tc>
        <w:tc>
          <w:tcPr>
            <w:tcW w:w="0" w:type="dxa"/>
            <w:vAlign w:val="bottom"/>
          </w:tcPr>
          <w:p>
            <w:pPr>
              <w:spacing w:after="0"/>
              <w:rPr>
                <w:sz w:val="1"/>
                <w:szCs w:val="1"/>
                <w:color w:val="auto"/>
              </w:rPr>
            </w:pPr>
          </w:p>
        </w:tc>
      </w:tr>
      <w:tr>
        <w:trPr>
          <w:trHeight w:val="162"/>
        </w:trPr>
        <w:tc>
          <w:tcPr>
            <w:tcW w:w="3060" w:type="dxa"/>
            <w:vAlign w:val="bottom"/>
          </w:tcPr>
          <w:p>
            <w:pPr>
              <w:ind w:left="280"/>
              <w:spacing w:after="0"/>
              <w:rPr>
                <w:sz w:val="20"/>
                <w:szCs w:val="20"/>
                <w:color w:val="auto"/>
              </w:rPr>
            </w:pPr>
            <w:r>
              <w:rPr>
                <w:rFonts w:ascii="Arial" w:cs="Arial" w:eastAsia="Arial" w:hAnsi="Arial"/>
                <w:sz w:val="14"/>
                <w:szCs w:val="14"/>
                <w:color w:val="auto"/>
              </w:rPr>
              <w:t>Cost of revenue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1,757</w:t>
            </w:r>
          </w:p>
        </w:tc>
        <w:tc>
          <w:tcPr>
            <w:tcW w:w="2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2,097</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1,441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1,431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1,558</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1,575</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1,422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1,677</w:t>
            </w:r>
          </w:p>
        </w:tc>
        <w:tc>
          <w:tcPr>
            <w:tcW w:w="0" w:type="dxa"/>
            <w:vAlign w:val="bottom"/>
          </w:tcPr>
          <w:p>
            <w:pPr>
              <w:spacing w:after="0"/>
              <w:rPr>
                <w:sz w:val="1"/>
                <w:szCs w:val="1"/>
                <w:color w:val="auto"/>
              </w:rPr>
            </w:pPr>
          </w:p>
        </w:tc>
      </w:tr>
      <w:tr>
        <w:trPr>
          <w:trHeight w:val="162"/>
        </w:trPr>
        <w:tc>
          <w:tcPr>
            <w:tcW w:w="3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1,566</w:t>
            </w: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w:t>
            </w: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1,269</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1,337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1,406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1,332</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4"/>
                <w:szCs w:val="14"/>
                <w:color w:val="auto"/>
              </w:rPr>
              <w:t>Total costs and expenses</w:t>
            </w: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42,188</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53,500</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48,520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50,137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54,022</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82,349</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70,007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76,723</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Income (loss) from operations</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(2,170)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8,691</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7,864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19,690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12,502</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12,539</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18,842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17,071</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20"/>
                <w:szCs w:val="20"/>
                <w:color w:val="auto"/>
              </w:rPr>
            </w:pPr>
            <w:r>
              <w:rPr>
                <w:rFonts w:ascii="Arial" w:cs="Arial" w:eastAsia="Arial" w:hAnsi="Arial"/>
                <w:sz w:val="14"/>
                <w:szCs w:val="14"/>
                <w:color w:val="auto"/>
              </w:rPr>
              <w:t>Other income (expense):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162"/>
        </w:trPr>
        <w:tc>
          <w:tcPr>
            <w:tcW w:w="306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1,519</w:t>
            </w:r>
          </w:p>
        </w:tc>
        <w:tc>
          <w:tcPr>
            <w:tcW w:w="2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1,389</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1,405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1,483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1,322</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1,513</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1,549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162"/>
        </w:trPr>
        <w:tc>
          <w:tcPr>
            <w:tcW w:w="3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24</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4"/>
                <w:szCs w:val="14"/>
                <w:color w:val="auto"/>
              </w:rPr>
              <w:t>Total other income (expense), net</w:t>
            </w: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1,382</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1,244</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1,421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1,208</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572</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929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3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3"/>
                <w:szCs w:val="13"/>
                <w:b w:val="1"/>
                <w:bCs w:val="1"/>
                <w:color w:val="auto"/>
              </w:rPr>
              <w:t>Three Months Ended</w:t>
            </w: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11"/>
        </w:trPr>
        <w:tc>
          <w:tcPr>
            <w:tcW w:w="3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gridSpan w:val="3"/>
          </w:tcPr>
          <w:p>
            <w:pPr>
              <w:spacing w:after="0" w:line="111" w:lineRule="exact"/>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9"/>
                <w:szCs w:val="9"/>
                <w:color w:val="auto"/>
              </w:rPr>
            </w:pPr>
          </w:p>
        </w:tc>
        <w:tc>
          <w:tcPr>
            <w:tcW w:w="880" w:type="dxa"/>
            <w:vAlign w:val="bottom"/>
            <w:gridSpan w:val="2"/>
          </w:tcPr>
          <w:p>
            <w:pPr>
              <w:jc w:val="right"/>
              <w:ind w:right="300"/>
              <w:spacing w:after="0" w:line="111" w:lineRule="exact"/>
              <w:rPr>
                <w:sz w:val="20"/>
                <w:szCs w:val="20"/>
                <w:color w:val="auto"/>
              </w:rPr>
            </w:pPr>
            <w:r>
              <w:rPr>
                <w:rFonts w:ascii="Arial" w:cs="Arial" w:eastAsia="Arial" w:hAnsi="Arial"/>
                <w:sz w:val="12"/>
                <w:szCs w:val="12"/>
                <w:b w:val="1"/>
                <w:bCs w:val="1"/>
                <w:color w:val="auto"/>
              </w:rPr>
              <w:t>March 31,</w:t>
            </w:r>
          </w:p>
        </w:tc>
        <w:tc>
          <w:tcPr>
            <w:tcW w:w="680" w:type="dxa"/>
            <w:vAlign w:val="bottom"/>
            <w:gridSpan w:val="2"/>
          </w:tcPr>
          <w:p>
            <w:pPr>
              <w:jc w:val="center"/>
              <w:ind w:right="180"/>
              <w:spacing w:after="0" w:line="111" w:lineRule="exact"/>
              <w:rPr>
                <w:sz w:val="20"/>
                <w:szCs w:val="20"/>
                <w:color w:val="auto"/>
              </w:rPr>
            </w:pPr>
            <w:r>
              <w:rPr>
                <w:rFonts w:ascii="Arial" w:cs="Arial" w:eastAsia="Arial" w:hAnsi="Arial"/>
                <w:sz w:val="12"/>
                <w:szCs w:val="12"/>
                <w:b w:val="1"/>
                <w:bCs w:val="1"/>
                <w:color w:val="auto"/>
              </w:rPr>
              <w:t>June 30,</w:t>
            </w:r>
          </w:p>
        </w:tc>
        <w:tc>
          <w:tcPr>
            <w:tcW w:w="120" w:type="dxa"/>
            <w:vAlign w:val="bottom"/>
          </w:tcPr>
          <w:p>
            <w:pPr>
              <w:spacing w:after="0"/>
              <w:rPr>
                <w:sz w:val="9"/>
                <w:szCs w:val="9"/>
                <w:color w:val="auto"/>
              </w:rPr>
            </w:pPr>
          </w:p>
        </w:tc>
        <w:tc>
          <w:tcPr>
            <w:tcW w:w="1140" w:type="dxa"/>
            <w:vAlign w:val="bottom"/>
            <w:gridSpan w:val="3"/>
          </w:tcPr>
          <w:p>
            <w:pPr>
              <w:spacing w:after="0" w:line="111" w:lineRule="exact"/>
              <w:rPr>
                <w:sz w:val="20"/>
                <w:szCs w:val="20"/>
                <w:color w:val="auto"/>
              </w:rPr>
            </w:pPr>
            <w:r>
              <w:rPr>
                <w:rFonts w:ascii="Arial" w:cs="Arial" w:eastAsia="Arial" w:hAnsi="Arial"/>
                <w:sz w:val="12"/>
                <w:szCs w:val="12"/>
                <w:b w:val="1"/>
                <w:bCs w:val="1"/>
                <w:color w:val="auto"/>
              </w:rPr>
              <w:t>September 30,</w:t>
            </w:r>
          </w:p>
        </w:tc>
        <w:tc>
          <w:tcPr>
            <w:tcW w:w="1100" w:type="dxa"/>
            <w:vAlign w:val="bottom"/>
            <w:gridSpan w:val="3"/>
          </w:tcPr>
          <w:p>
            <w:pPr>
              <w:spacing w:after="0" w:line="111" w:lineRule="exact"/>
              <w:rPr>
                <w:sz w:val="20"/>
                <w:szCs w:val="20"/>
                <w:color w:val="auto"/>
              </w:rPr>
            </w:pPr>
            <w:r>
              <w:rPr>
                <w:rFonts w:ascii="Arial" w:cs="Arial" w:eastAsia="Arial" w:hAnsi="Arial"/>
                <w:sz w:val="12"/>
                <w:szCs w:val="12"/>
                <w:b w:val="1"/>
                <w:bCs w:val="1"/>
                <w:color w:val="auto"/>
              </w:rPr>
              <w:t>December 31,</w:t>
            </w:r>
          </w:p>
        </w:tc>
        <w:tc>
          <w:tcPr>
            <w:tcW w:w="760" w:type="dxa"/>
            <w:vAlign w:val="bottom"/>
            <w:gridSpan w:val="2"/>
          </w:tcPr>
          <w:p>
            <w:pPr>
              <w:jc w:val="center"/>
              <w:ind w:right="140"/>
              <w:spacing w:after="0" w:line="111" w:lineRule="exact"/>
              <w:rPr>
                <w:sz w:val="20"/>
                <w:szCs w:val="20"/>
                <w:color w:val="auto"/>
              </w:rPr>
            </w:pPr>
            <w:r>
              <w:rPr>
                <w:rFonts w:ascii="Arial" w:cs="Arial" w:eastAsia="Arial" w:hAnsi="Arial"/>
                <w:sz w:val="12"/>
                <w:szCs w:val="12"/>
                <w:b w:val="1"/>
                <w:bCs w:val="1"/>
                <w:color w:val="auto"/>
              </w:rPr>
              <w:t>March 31,</w:t>
            </w:r>
          </w:p>
        </w:tc>
        <w:tc>
          <w:tcPr>
            <w:tcW w:w="120" w:type="dxa"/>
            <w:vAlign w:val="bottom"/>
          </w:tcPr>
          <w:p>
            <w:pPr>
              <w:spacing w:after="0"/>
              <w:rPr>
                <w:sz w:val="9"/>
                <w:szCs w:val="9"/>
                <w:color w:val="auto"/>
              </w:rPr>
            </w:pPr>
          </w:p>
        </w:tc>
        <w:tc>
          <w:tcPr>
            <w:tcW w:w="700" w:type="dxa"/>
            <w:vAlign w:val="bottom"/>
            <w:gridSpan w:val="2"/>
          </w:tcPr>
          <w:p>
            <w:pPr>
              <w:jc w:val="center"/>
              <w:ind w:right="160"/>
              <w:spacing w:after="0" w:line="111" w:lineRule="exact"/>
              <w:rPr>
                <w:sz w:val="20"/>
                <w:szCs w:val="20"/>
                <w:color w:val="auto"/>
              </w:rPr>
            </w:pPr>
            <w:r>
              <w:rPr>
                <w:rFonts w:ascii="Arial" w:cs="Arial" w:eastAsia="Arial" w:hAnsi="Arial"/>
                <w:sz w:val="12"/>
                <w:szCs w:val="12"/>
                <w:b w:val="1"/>
                <w:bCs w:val="1"/>
                <w:color w:val="auto"/>
              </w:rPr>
              <w:t>June 30,</w:t>
            </w:r>
          </w:p>
        </w:tc>
        <w:tc>
          <w:tcPr>
            <w:tcW w:w="120" w:type="dxa"/>
            <w:vAlign w:val="bottom"/>
          </w:tcPr>
          <w:p>
            <w:pPr>
              <w:spacing w:after="0"/>
              <w:rPr>
                <w:sz w:val="9"/>
                <w:szCs w:val="9"/>
                <w:color w:val="auto"/>
              </w:rPr>
            </w:pPr>
          </w:p>
        </w:tc>
        <w:tc>
          <w:tcPr>
            <w:tcW w:w="860" w:type="dxa"/>
            <w:vAlign w:val="bottom"/>
            <w:gridSpan w:val="2"/>
          </w:tcPr>
          <w:p>
            <w:pPr>
              <w:spacing w:after="0" w:line="111" w:lineRule="exact"/>
              <w:rPr>
                <w:sz w:val="20"/>
                <w:szCs w:val="20"/>
                <w:color w:val="auto"/>
              </w:rPr>
            </w:pPr>
            <w:r>
              <w:rPr>
                <w:rFonts w:ascii="Arial" w:cs="Arial" w:eastAsia="Arial" w:hAnsi="Arial"/>
                <w:sz w:val="12"/>
                <w:szCs w:val="12"/>
                <w:b w:val="1"/>
                <w:bCs w:val="1"/>
                <w:color w:val="auto"/>
              </w:rPr>
              <w:t>September 30,</w:t>
            </w:r>
          </w:p>
        </w:tc>
        <w:tc>
          <w:tcPr>
            <w:tcW w:w="100" w:type="dxa"/>
            <w:vAlign w:val="bottom"/>
          </w:tcPr>
          <w:p>
            <w:pPr>
              <w:spacing w:after="0"/>
              <w:rPr>
                <w:sz w:val="9"/>
                <w:szCs w:val="9"/>
                <w:color w:val="auto"/>
              </w:rPr>
            </w:pPr>
          </w:p>
        </w:tc>
      </w:tr>
      <w:tr>
        <w:trPr>
          <w:trHeight w:val="153"/>
        </w:trPr>
        <w:tc>
          <w:tcPr>
            <w:tcW w:w="3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2023</w:t>
            </w: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3"/>
                <w:szCs w:val="13"/>
                <w:b w:val="1"/>
                <w:bCs w:val="1"/>
                <w:color w:val="auto"/>
              </w:rPr>
              <w:t>2024</w:t>
            </w:r>
          </w:p>
        </w:tc>
        <w:tc>
          <w:tcPr>
            <w:tcW w:w="2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2024</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2024</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2024</w:t>
            </w: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2025</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3"/>
                <w:szCs w:val="13"/>
                <w:b w:val="1"/>
                <w:bCs w:val="1"/>
                <w:color w:val="auto"/>
              </w:rPr>
              <w:t>2025</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3"/>
                <w:szCs w:val="13"/>
                <w:color w:val="auto"/>
              </w:rPr>
            </w:pPr>
          </w:p>
        </w:tc>
      </w:tr>
      <w:tr>
        <w:trPr>
          <w:trHeight w:val="128"/>
        </w:trPr>
        <w:tc>
          <w:tcPr>
            <w:tcW w:w="3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60" w:type="dxa"/>
            <w:vAlign w:val="bottom"/>
            <w:gridSpan w:val="5"/>
          </w:tcPr>
          <w:p>
            <w:pPr>
              <w:jc w:val="right"/>
              <w:ind w:right="800"/>
              <w:spacing w:after="0" w:line="129" w:lineRule="exact"/>
              <w:rPr>
                <w:sz w:val="20"/>
                <w:szCs w:val="20"/>
                <w:color w:val="auto"/>
              </w:rPr>
            </w:pPr>
            <w:r>
              <w:rPr>
                <w:rFonts w:ascii="Arial" w:cs="Arial" w:eastAsia="Arial" w:hAnsi="Arial"/>
                <w:sz w:val="13"/>
                <w:szCs w:val="13"/>
                <w:b w:val="1"/>
                <w:bCs w:val="1"/>
                <w:color w:val="auto"/>
              </w:rPr>
              <w:t>(in thousands)</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1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Net income (loss) before provision for income</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1"/>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taxes</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(788)</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9,935</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9,180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21,111</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13,710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13,111</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19,771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17,737</w:t>
            </w: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Income tax (expense)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(147)</w:t>
            </w:r>
          </w:p>
        </w:tc>
        <w:tc>
          <w:tcPr>
            <w:tcW w:w="1000" w:type="dxa"/>
            <w:vAlign w:val="bottom"/>
            <w:gridSpan w:val="3"/>
          </w:tcPr>
          <w:p>
            <w:pPr>
              <w:jc w:val="right"/>
              <w:ind w:right="240"/>
              <w:spacing w:after="0"/>
              <w:rPr>
                <w:sz w:val="20"/>
                <w:szCs w:val="20"/>
                <w:color w:val="auto"/>
              </w:rPr>
            </w:pPr>
            <w:r>
              <w:rPr>
                <w:rFonts w:ascii="Arial" w:cs="Arial" w:eastAsia="Arial" w:hAnsi="Arial"/>
                <w:sz w:val="14"/>
                <w:szCs w:val="14"/>
                <w:color w:val="auto"/>
              </w:rPr>
              <w:t>(191)</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(524)</w:t>
            </w:r>
          </w:p>
        </w:tc>
        <w:tc>
          <w:tcPr>
            <w:tcW w:w="1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(4,162)</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(864)</w:t>
            </w: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(1,302)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(1,863)</w:t>
            </w:r>
          </w:p>
        </w:tc>
      </w:tr>
      <w:tr>
        <w:trPr>
          <w:trHeight w:val="27"/>
        </w:trPr>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(935)</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  9,744</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$ 8,953</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20,587</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9,548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$ 12,247</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18,469</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15,874</w:t>
            </w:r>
          </w:p>
        </w:tc>
      </w:tr>
      <w:tr>
        <w:trPr>
          <w:trHeight w:val="20"/>
        </w:trPr>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Quarterly Trends in Revenue</w:t>
      </w:r>
    </w:p>
    <w:p>
      <w:pPr>
        <w:spacing w:after="0" w:line="210" w:lineRule="exact"/>
        <w:rPr>
          <w:sz w:val="20"/>
          <w:szCs w:val="20"/>
          <w:color w:val="auto"/>
        </w:rPr>
      </w:pPr>
    </w:p>
    <w:p>
      <w:pPr>
        <w:ind w:left="120" w:right="260" w:firstLine="551"/>
        <w:spacing w:after="0" w:line="271" w:lineRule="auto"/>
        <w:rPr>
          <w:sz w:val="20"/>
          <w:szCs w:val="20"/>
          <w:color w:val="auto"/>
        </w:rPr>
      </w:pPr>
      <w:r>
        <w:rPr>
          <w:rFonts w:ascii="Arial" w:cs="Arial" w:eastAsia="Arial" w:hAnsi="Arial"/>
          <w:sz w:val="18"/>
          <w:szCs w:val="18"/>
          <w:color w:val="auto"/>
        </w:rPr>
        <w:t>Quarterly commissions increased in each period when compared to the results of the same period in the prior year due to steady growth across both our DTC and third-party channels.</w:t>
      </w:r>
    </w:p>
    <w:p>
      <w:pPr>
        <w:spacing w:after="0" w:line="154" w:lineRule="exact"/>
        <w:rPr>
          <w:sz w:val="20"/>
          <w:szCs w:val="20"/>
          <w:color w:val="auto"/>
        </w:rPr>
      </w:pPr>
    </w:p>
    <w:p>
      <w:pPr>
        <w:ind w:left="120" w:right="200" w:firstLine="551"/>
        <w:spacing w:after="0" w:line="253" w:lineRule="auto"/>
        <w:rPr>
          <w:sz w:val="20"/>
          <w:szCs w:val="20"/>
          <w:color w:val="auto"/>
        </w:rPr>
      </w:pPr>
      <w:r>
        <w:rPr>
          <w:rFonts w:ascii="Arial" w:cs="Arial" w:eastAsia="Arial" w:hAnsi="Arial"/>
          <w:sz w:val="18"/>
          <w:szCs w:val="18"/>
          <w:color w:val="auto"/>
        </w:rPr>
        <w:t>Historically, commissions from our DTC channel have exhibited seasonality, most prominently in the first quarter of each calendar year due to an increase in marketing efficiency driven by seasonally strong consumer demand and relatively low advertising costs per impression.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Quarterly Trends in Expenses</w:t>
      </w:r>
    </w:p>
    <w:p>
      <w:pPr>
        <w:spacing w:after="0" w:line="210" w:lineRule="exact"/>
        <w:rPr>
          <w:sz w:val="20"/>
          <w:szCs w:val="20"/>
          <w:color w:val="auto"/>
        </w:rPr>
      </w:pPr>
    </w:p>
    <w:p>
      <w:pPr>
        <w:ind w:left="120" w:right="900" w:firstLine="551"/>
        <w:spacing w:after="0" w:line="271" w:lineRule="auto"/>
        <w:rPr>
          <w:sz w:val="20"/>
          <w:szCs w:val="20"/>
          <w:color w:val="auto"/>
        </w:rPr>
      </w:pPr>
      <w:r>
        <w:rPr>
          <w:rFonts w:ascii="Arial" w:cs="Arial" w:eastAsia="Arial" w:hAnsi="Arial"/>
          <w:sz w:val="18"/>
          <w:szCs w:val="18"/>
          <w:color w:val="auto"/>
        </w:rPr>
        <w:t>Sales and marketing expenses fluctuate on a quarterly basis as we leverage our data platform to optimize the timing and magnitude of marketing campaigns across channels.</w:t>
      </w:r>
    </w:p>
    <w:p>
      <w:pPr>
        <w:spacing w:after="0" w:line="154" w:lineRule="exact"/>
        <w:rPr>
          <w:sz w:val="20"/>
          <w:szCs w:val="20"/>
          <w:color w:val="auto"/>
        </w:rPr>
      </w:pPr>
    </w:p>
    <w:p>
      <w:pPr>
        <w:ind w:left="120" w:right="140" w:firstLine="551"/>
        <w:spacing w:after="0" w:line="244" w:lineRule="auto"/>
        <w:rPr>
          <w:sz w:val="20"/>
          <w:szCs w:val="20"/>
          <w:color w:val="auto"/>
        </w:rPr>
      </w:pPr>
      <w:r>
        <w:rPr>
          <w:rFonts w:ascii="Arial" w:cs="Arial" w:eastAsia="Arial" w:hAnsi="Arial"/>
          <w:sz w:val="18"/>
          <w:szCs w:val="18"/>
          <w:color w:val="auto"/>
        </w:rPr>
        <w:t>Total costs and expenses as a percentage of revenue has generally decreased for the periods presented with the exception of the three months ended March 31, 2025 and September 30, 2025. The March 31, 2025 increase was due to stock-based compensation expense from the 2025 Tender Offer, and the expense was allocated across our Sales and marketing, General and administrative, and Technology expenses proportional to the personnel in each category. The September 30, 2025 increase was due to the factors described in “—Results of Operations—Comparison of the Nine Months Ended September 30, 2024 and 2025.”</w:t>
      </w:r>
    </w:p>
    <w:p>
      <w:pPr>
        <w:spacing w:after="0" w:line="176" w:lineRule="exact"/>
        <w:rPr>
          <w:sz w:val="20"/>
          <w:szCs w:val="20"/>
          <w:color w:val="auto"/>
        </w:rPr>
      </w:pPr>
    </w:p>
    <w:p>
      <w:pPr>
        <w:ind w:left="120" w:right="280" w:firstLine="551"/>
        <w:spacing w:after="0" w:line="271" w:lineRule="auto"/>
        <w:rPr>
          <w:sz w:val="20"/>
          <w:szCs w:val="20"/>
          <w:color w:val="auto"/>
        </w:rPr>
      </w:pPr>
      <w:r>
        <w:rPr>
          <w:rFonts w:ascii="Arial" w:cs="Arial" w:eastAsia="Arial" w:hAnsi="Arial"/>
          <w:sz w:val="18"/>
          <w:szCs w:val="18"/>
          <w:color w:val="auto"/>
        </w:rPr>
        <w:t>Quarterly interest expense increased in 2025 due to an arrangement entered into in the fourth quarter of 2024 to sell a portion of our future commissions receivable in exchange for an upfront cash payment.</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Quarterly Percentage of Revenue Data</w:t>
      </w:r>
    </w:p>
    <w:p>
      <w:pPr>
        <w:spacing w:after="0" w:line="210" w:lineRule="exact"/>
        <w:rPr>
          <w:sz w:val="20"/>
          <w:szCs w:val="20"/>
          <w:color w:val="auto"/>
        </w:rPr>
      </w:pPr>
    </w:p>
    <w:p>
      <w:pPr>
        <w:ind w:left="120" w:right="180" w:firstLine="551"/>
        <w:spacing w:after="0" w:line="271" w:lineRule="auto"/>
        <w:rPr>
          <w:sz w:val="20"/>
          <w:szCs w:val="20"/>
          <w:color w:val="auto"/>
        </w:rPr>
      </w:pPr>
      <w:r>
        <w:rPr>
          <w:rFonts w:ascii="Arial" w:cs="Arial" w:eastAsia="Arial" w:hAnsi="Arial"/>
          <w:sz w:val="18"/>
          <w:szCs w:val="18"/>
          <w:color w:val="auto"/>
        </w:rPr>
        <w:t>The following table sets forth our unaudited consolidated statements of operations data expressed as a percentage of revenue for each of the quarterly periods presented: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2"/>
          </w:tcPr>
          <w:p>
            <w:pPr>
              <w:jc w:val="right"/>
              <w:ind w:right="60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6"/>
        </w:trPr>
        <w:tc>
          <w:tcPr>
            <w:tcW w:w="1920" w:type="dxa"/>
            <w:vAlign w:val="bottom"/>
          </w:tcPr>
          <w:p>
            <w:pPr>
              <w:spacing w:after="0"/>
              <w:rPr>
                <w:sz w:val="12"/>
                <w:szCs w:val="12"/>
                <w:color w:val="auto"/>
              </w:rPr>
            </w:pPr>
          </w:p>
        </w:tc>
        <w:tc>
          <w:tcPr>
            <w:tcW w:w="118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December 31,</w:t>
            </w:r>
          </w:p>
        </w:tc>
        <w:tc>
          <w:tcPr>
            <w:tcW w:w="104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March 31,</w:t>
            </w:r>
          </w:p>
        </w:tc>
        <w:tc>
          <w:tcPr>
            <w:tcW w:w="94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June 30,</w:t>
            </w:r>
          </w:p>
        </w:tc>
        <w:tc>
          <w:tcPr>
            <w:tcW w:w="136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September 30,</w:t>
            </w:r>
          </w:p>
        </w:tc>
        <w:tc>
          <w:tcPr>
            <w:tcW w:w="1320" w:type="dxa"/>
            <w:vAlign w:val="bottom"/>
          </w:tcPr>
          <w:p>
            <w:pPr>
              <w:jc w:val="right"/>
              <w:ind w:right="188"/>
              <w:spacing w:after="0" w:line="147" w:lineRule="exact"/>
              <w:rPr>
                <w:sz w:val="20"/>
                <w:szCs w:val="20"/>
                <w:color w:val="auto"/>
              </w:rPr>
            </w:pPr>
            <w:r>
              <w:rPr>
                <w:rFonts w:ascii="Arial" w:cs="Arial" w:eastAsia="Arial" w:hAnsi="Arial"/>
                <w:sz w:val="14"/>
                <w:szCs w:val="14"/>
                <w:b w:val="1"/>
                <w:bCs w:val="1"/>
                <w:color w:val="auto"/>
              </w:rPr>
              <w:t>December 31,</w:t>
            </w:r>
          </w:p>
        </w:tc>
        <w:tc>
          <w:tcPr>
            <w:tcW w:w="102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March 31,</w:t>
            </w:r>
          </w:p>
        </w:tc>
        <w:tc>
          <w:tcPr>
            <w:tcW w:w="960" w:type="dxa"/>
            <w:vAlign w:val="bottom"/>
          </w:tcPr>
          <w:p>
            <w:pPr>
              <w:jc w:val="right"/>
              <w:ind w:right="188"/>
              <w:spacing w:after="0" w:line="147" w:lineRule="exact"/>
              <w:rPr>
                <w:sz w:val="20"/>
                <w:szCs w:val="20"/>
                <w:color w:val="auto"/>
              </w:rPr>
            </w:pPr>
            <w:r>
              <w:rPr>
                <w:rFonts w:ascii="Arial" w:cs="Arial" w:eastAsia="Arial" w:hAnsi="Arial"/>
                <w:sz w:val="14"/>
                <w:szCs w:val="14"/>
                <w:b w:val="1"/>
                <w:bCs w:val="1"/>
                <w:color w:val="auto"/>
              </w:rPr>
              <w:t>June 30,</w:t>
            </w:r>
          </w:p>
        </w:tc>
        <w:tc>
          <w:tcPr>
            <w:tcW w:w="110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r>
      <w:tr>
        <w:trPr>
          <w:trHeight w:val="171"/>
        </w:trPr>
        <w:tc>
          <w:tcPr>
            <w:tcW w:w="1920" w:type="dxa"/>
            <w:vAlign w:val="bottom"/>
          </w:tcPr>
          <w:p>
            <w:pPr>
              <w:spacing w:after="0"/>
              <w:rPr>
                <w:sz w:val="14"/>
                <w:szCs w:val="14"/>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13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13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1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r>
      <w:tr>
        <w:trPr>
          <w:trHeight w:val="155"/>
        </w:trPr>
        <w:tc>
          <w:tcPr>
            <w:tcW w:w="192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2"/>
          </w:tcPr>
          <w:p>
            <w:pPr>
              <w:jc w:val="right"/>
              <w:ind w:right="188"/>
              <w:spacing w:after="0" w:line="155" w:lineRule="exact"/>
              <w:rPr>
                <w:sz w:val="20"/>
                <w:szCs w:val="20"/>
                <w:color w:val="auto"/>
              </w:rPr>
            </w:pPr>
            <w:r>
              <w:rPr>
                <w:rFonts w:ascii="Arial" w:cs="Arial" w:eastAsia="Arial" w:hAnsi="Arial"/>
                <w:sz w:val="14"/>
                <w:szCs w:val="14"/>
                <w:b w:val="1"/>
                <w:bCs w:val="1"/>
                <w:color w:val="auto"/>
              </w:rPr>
              <w:t>(in millions, except percentages)</w:t>
            </w:r>
          </w:p>
        </w:tc>
        <w:tc>
          <w:tcPr>
            <w:tcW w:w="10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r>
      <w:tr>
        <w:trPr>
          <w:trHeight w:val="155"/>
        </w:trPr>
        <w:tc>
          <w:tcPr>
            <w:tcW w:w="19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Revenue:</w:t>
            </w:r>
          </w:p>
        </w:tc>
        <w:tc>
          <w:tcPr>
            <w:tcW w:w="1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90"/>
        </w:trPr>
        <w:tc>
          <w:tcPr>
            <w:tcW w:w="1920" w:type="dxa"/>
            <w:vAlign w:val="bottom"/>
          </w:tcPr>
          <w:p>
            <w:pPr>
              <w:ind w:left="280"/>
              <w:spacing w:after="0"/>
              <w:rPr>
                <w:sz w:val="20"/>
                <w:szCs w:val="20"/>
                <w:color w:val="auto"/>
              </w:rPr>
            </w:pPr>
            <w:r>
              <w:rPr>
                <w:rFonts w:ascii="Arial" w:cs="Arial" w:eastAsia="Arial" w:hAnsi="Arial"/>
                <w:sz w:val="14"/>
                <w:szCs w:val="14"/>
                <w:color w:val="auto"/>
              </w:rPr>
              <w:t>Commission</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r>
      <w:tr>
        <w:trPr>
          <w:trHeight w:val="80"/>
        </w:trPr>
        <w:tc>
          <w:tcPr>
            <w:tcW w:w="19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162"/>
        </w:trPr>
        <w:tc>
          <w:tcPr>
            <w:tcW w:w="1920" w:type="dxa"/>
            <w:vAlign w:val="bottom"/>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1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2"/>
        </w:trPr>
        <w:tc>
          <w:tcPr>
            <w:tcW w:w="192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68</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62</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61</w:t>
            </w: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51</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60</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59</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58</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61</w:t>
            </w:r>
          </w:p>
        </w:tc>
      </w:tr>
      <w:tr>
        <w:trPr>
          <w:trHeight w:val="153"/>
        </w:trPr>
        <w:tc>
          <w:tcPr>
            <w:tcW w:w="1920" w:type="dxa"/>
            <w:vAlign w:val="bottom"/>
            <w:shd w:val="clear" w:color="auto" w:fill="CCEEFF"/>
          </w:tcPr>
          <w:p>
            <w:pPr>
              <w:ind w:left="280"/>
              <w:spacing w:after="0" w:line="153" w:lineRule="exact"/>
              <w:rPr>
                <w:sz w:val="20"/>
                <w:szCs w:val="20"/>
                <w:color w:val="auto"/>
              </w:rPr>
            </w:pPr>
            <w:r>
              <w:rPr>
                <w:rFonts w:ascii="Arial" w:cs="Arial" w:eastAsia="Arial" w:hAnsi="Arial"/>
                <w:sz w:val="14"/>
                <w:szCs w:val="14"/>
                <w:color w:val="auto"/>
              </w:rPr>
              <w:t>General and</w:t>
            </w:r>
          </w:p>
        </w:tc>
        <w:tc>
          <w:tcPr>
            <w:tcW w:w="1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71"/>
        </w:trPr>
        <w:tc>
          <w:tcPr>
            <w:tcW w:w="19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administrative</w:t>
            </w:r>
          </w:p>
        </w:tc>
        <w:tc>
          <w:tcPr>
            <w:tcW w:w="11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16</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w:t>
            </w:r>
          </w:p>
        </w:tc>
        <w:tc>
          <w:tcPr>
            <w:tcW w:w="1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w:t>
            </w:r>
          </w:p>
        </w:tc>
        <w:tc>
          <w:tcPr>
            <w:tcW w:w="13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w:t>
            </w:r>
          </w:p>
        </w:tc>
        <w:tc>
          <w:tcPr>
            <w:tcW w:w="10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14</w:t>
            </w:r>
          </w:p>
        </w:tc>
        <w:tc>
          <w:tcPr>
            <w:tcW w:w="9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9</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w:t>
            </w:r>
          </w:p>
        </w:tc>
      </w:tr>
      <w:tr>
        <w:trPr>
          <w:trHeight w:val="153"/>
        </w:trPr>
        <w:tc>
          <w:tcPr>
            <w:tcW w:w="1920" w:type="dxa"/>
            <w:vAlign w:val="bottom"/>
          </w:tcPr>
          <w:p>
            <w:pPr>
              <w:ind w:left="280"/>
              <w:spacing w:after="0" w:line="153" w:lineRule="exact"/>
              <w:rPr>
                <w:sz w:val="20"/>
                <w:szCs w:val="20"/>
                <w:color w:val="auto"/>
              </w:rPr>
            </w:pPr>
            <w:r>
              <w:rPr>
                <w:rFonts w:ascii="Arial" w:cs="Arial" w:eastAsia="Arial" w:hAnsi="Arial"/>
                <w:sz w:val="14"/>
                <w:szCs w:val="14"/>
                <w:color w:val="auto"/>
              </w:rPr>
              <w:t>Technology (exclusive</w:t>
            </w: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1920" w:type="dxa"/>
            <w:vAlign w:val="bottom"/>
          </w:tcPr>
          <w:p>
            <w:pPr>
              <w:ind w:left="420"/>
              <w:spacing w:after="0"/>
              <w:rPr>
                <w:sz w:val="20"/>
                <w:szCs w:val="20"/>
                <w:color w:val="auto"/>
              </w:rPr>
            </w:pPr>
            <w:r>
              <w:rPr>
                <w:rFonts w:ascii="Arial" w:cs="Arial" w:eastAsia="Arial" w:hAnsi="Arial"/>
                <w:sz w:val="14"/>
                <w:szCs w:val="14"/>
                <w:color w:val="auto"/>
              </w:rPr>
              <w:t>of amortization)</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13</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9</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10</w:t>
            </w: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8</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10</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10</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8</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8</w:t>
            </w:r>
          </w:p>
        </w:tc>
      </w:tr>
      <w:tr>
        <w:trPr>
          <w:trHeight w:val="162"/>
        </w:trPr>
        <w:tc>
          <w:tcPr>
            <w:tcW w:w="1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revenue</w:t>
            </w:r>
          </w:p>
        </w:tc>
        <w:tc>
          <w:tcPr>
            <w:tcW w:w="11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w:t>
            </w:r>
          </w:p>
        </w:tc>
        <w:tc>
          <w:tcPr>
            <w:tcW w:w="1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w:t>
            </w:r>
          </w:p>
        </w:tc>
        <w:tc>
          <w:tcPr>
            <w:tcW w:w="13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w:t>
            </w:r>
          </w:p>
        </w:tc>
        <w:tc>
          <w:tcPr>
            <w:tcW w:w="9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w:t>
            </w:r>
          </w:p>
        </w:tc>
      </w:tr>
      <w:tr>
        <w:trPr>
          <w:trHeight w:val="153"/>
        </w:trPr>
        <w:tc>
          <w:tcPr>
            <w:tcW w:w="1920" w:type="dxa"/>
            <w:vAlign w:val="bottom"/>
          </w:tcPr>
          <w:p>
            <w:pPr>
              <w:ind w:left="280"/>
              <w:spacing w:after="0" w:line="153" w:lineRule="exact"/>
              <w:rPr>
                <w:sz w:val="20"/>
                <w:szCs w:val="20"/>
                <w:color w:val="auto"/>
              </w:rPr>
            </w:pPr>
            <w:r>
              <w:rPr>
                <w:rFonts w:ascii="Arial" w:cs="Arial" w:eastAsia="Arial" w:hAnsi="Arial"/>
                <w:sz w:val="14"/>
                <w:szCs w:val="14"/>
                <w:color w:val="auto"/>
              </w:rPr>
              <w:t>Depreciation and</w:t>
            </w: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1920" w:type="dxa"/>
            <w:vAlign w:val="bottom"/>
          </w:tcPr>
          <w:p>
            <w:pPr>
              <w:ind w:left="420"/>
              <w:spacing w:after="0"/>
              <w:rPr>
                <w:sz w:val="20"/>
                <w:szCs w:val="20"/>
                <w:color w:val="auto"/>
              </w:rPr>
            </w:pPr>
            <w:r>
              <w:rPr>
                <w:rFonts w:ascii="Arial" w:cs="Arial" w:eastAsia="Arial" w:hAnsi="Arial"/>
                <w:sz w:val="14"/>
                <w:szCs w:val="14"/>
                <w:color w:val="auto"/>
              </w:rPr>
              <w:t>amortization</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4</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2</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1</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2</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1</w:t>
            </w:r>
          </w:p>
        </w:tc>
      </w:tr>
      <w:tr>
        <w:trPr>
          <w:trHeight w:val="162"/>
        </w:trPr>
        <w:tc>
          <w:tcPr>
            <w:tcW w:w="1920" w:type="dxa"/>
            <w:vAlign w:val="bottom"/>
            <w:shd w:val="clear" w:color="auto" w:fill="CCEEFF"/>
          </w:tcPr>
          <w:p>
            <w:pPr>
              <w:spacing w:after="0"/>
              <w:rPr>
                <w:sz w:val="20"/>
                <w:szCs w:val="20"/>
                <w:color w:val="auto"/>
              </w:rPr>
            </w:pPr>
            <w:r>
              <w:rPr>
                <w:rFonts w:ascii="Arial" w:cs="Arial" w:eastAsia="Arial" w:hAnsi="Arial"/>
                <w:sz w:val="14"/>
                <w:szCs w:val="14"/>
                <w:color w:val="auto"/>
              </w:rPr>
              <w:t>Total costs and expenses</w:t>
            </w:r>
          </w:p>
        </w:tc>
        <w:tc>
          <w:tcPr>
            <w:tcW w:w="11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105</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86</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86</w:t>
            </w:r>
          </w:p>
        </w:tc>
        <w:tc>
          <w:tcPr>
            <w:tcW w:w="1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72</w:t>
            </w:r>
          </w:p>
        </w:tc>
        <w:tc>
          <w:tcPr>
            <w:tcW w:w="13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81</w:t>
            </w:r>
          </w:p>
        </w:tc>
        <w:tc>
          <w:tcPr>
            <w:tcW w:w="10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87</w:t>
            </w:r>
          </w:p>
        </w:tc>
        <w:tc>
          <w:tcPr>
            <w:tcW w:w="9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79</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82</w:t>
            </w:r>
          </w:p>
        </w:tc>
      </w:tr>
      <w:tr>
        <w:trPr>
          <w:trHeight w:val="261"/>
        </w:trPr>
        <w:tc>
          <w:tcPr>
            <w:tcW w:w="1920" w:type="dxa"/>
            <w:vAlign w:val="bottom"/>
          </w:tcPr>
          <w:p>
            <w:pPr>
              <w:spacing w:after="0"/>
              <w:rPr>
                <w:sz w:val="20"/>
                <w:szCs w:val="20"/>
                <w:color w:val="auto"/>
              </w:rPr>
            </w:pPr>
            <w:r>
              <w:rPr>
                <w:rFonts w:ascii="Arial" w:cs="Arial" w:eastAsia="Arial" w:hAnsi="Arial"/>
                <w:sz w:val="14"/>
                <w:szCs w:val="14"/>
                <w:color w:val="auto"/>
              </w:rPr>
              <w:t>Income (loss) from</w:t>
            </w:r>
          </w:p>
        </w:tc>
        <w:tc>
          <w:tcPr>
            <w:tcW w:w="1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190"/>
        </w:trPr>
        <w:tc>
          <w:tcPr>
            <w:tcW w:w="1920" w:type="dxa"/>
            <w:vAlign w:val="bottom"/>
          </w:tcPr>
          <w:p>
            <w:pPr>
              <w:ind w:left="140"/>
              <w:spacing w:after="0"/>
              <w:rPr>
                <w:sz w:val="20"/>
                <w:szCs w:val="20"/>
                <w:color w:val="auto"/>
              </w:rPr>
            </w:pPr>
            <w:r>
              <w:rPr>
                <w:rFonts w:ascii="Arial" w:cs="Arial" w:eastAsia="Arial" w:hAnsi="Arial"/>
                <w:sz w:val="14"/>
                <w:szCs w:val="14"/>
                <w:color w:val="auto"/>
              </w:rPr>
              <w:t>operations</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14</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14</w:t>
            </w: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28</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19</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13</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21</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18</w:t>
            </w:r>
          </w:p>
        </w:tc>
      </w:tr>
    </w:tbl>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5" w:right="4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2"/>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6"/>
        </w:trPr>
        <w:tc>
          <w:tcPr>
            <w:tcW w:w="1760" w:type="dxa"/>
            <w:vAlign w:val="bottom"/>
          </w:tcPr>
          <w:p>
            <w:pPr>
              <w:spacing w:after="0"/>
              <w:rPr>
                <w:sz w:val="12"/>
                <w:szCs w:val="12"/>
                <w:color w:val="auto"/>
              </w:rPr>
            </w:pPr>
          </w:p>
        </w:tc>
        <w:tc>
          <w:tcPr>
            <w:tcW w:w="1240" w:type="dxa"/>
            <w:vAlign w:val="bottom"/>
          </w:tcPr>
          <w:p>
            <w:pPr>
              <w:jc w:val="right"/>
              <w:ind w:right="228"/>
              <w:spacing w:after="0" w:line="147" w:lineRule="exact"/>
              <w:rPr>
                <w:sz w:val="20"/>
                <w:szCs w:val="20"/>
                <w:color w:val="auto"/>
              </w:rPr>
            </w:pPr>
            <w:r>
              <w:rPr>
                <w:rFonts w:ascii="Arial" w:cs="Arial" w:eastAsia="Arial" w:hAnsi="Arial"/>
                <w:sz w:val="14"/>
                <w:szCs w:val="14"/>
                <w:b w:val="1"/>
                <w:bCs w:val="1"/>
                <w:color w:val="auto"/>
              </w:rPr>
              <w:t>December 31,</w:t>
            </w:r>
          </w:p>
        </w:tc>
        <w:tc>
          <w:tcPr>
            <w:tcW w:w="1040" w:type="dxa"/>
            <w:vAlign w:val="bottom"/>
          </w:tcPr>
          <w:p>
            <w:pPr>
              <w:jc w:val="right"/>
              <w:ind w:right="188"/>
              <w:spacing w:after="0" w:line="147" w:lineRule="exact"/>
              <w:rPr>
                <w:sz w:val="20"/>
                <w:szCs w:val="20"/>
                <w:color w:val="auto"/>
              </w:rPr>
            </w:pPr>
            <w:r>
              <w:rPr>
                <w:rFonts w:ascii="Arial" w:cs="Arial" w:eastAsia="Arial" w:hAnsi="Arial"/>
                <w:sz w:val="14"/>
                <w:szCs w:val="14"/>
                <w:b w:val="1"/>
                <w:bCs w:val="1"/>
                <w:color w:val="auto"/>
              </w:rPr>
              <w:t>March 31,</w:t>
            </w:r>
          </w:p>
        </w:tc>
        <w:tc>
          <w:tcPr>
            <w:tcW w:w="960" w:type="dxa"/>
            <w:vAlign w:val="bottom"/>
          </w:tcPr>
          <w:p>
            <w:pPr>
              <w:jc w:val="right"/>
              <w:ind w:right="188"/>
              <w:spacing w:after="0" w:line="147" w:lineRule="exact"/>
              <w:rPr>
                <w:sz w:val="20"/>
                <w:szCs w:val="20"/>
                <w:color w:val="auto"/>
              </w:rPr>
            </w:pPr>
            <w:r>
              <w:rPr>
                <w:rFonts w:ascii="Arial" w:cs="Arial" w:eastAsia="Arial" w:hAnsi="Arial"/>
                <w:sz w:val="14"/>
                <w:szCs w:val="14"/>
                <w:b w:val="1"/>
                <w:bCs w:val="1"/>
                <w:color w:val="auto"/>
              </w:rPr>
              <w:t>June 30,</w:t>
            </w:r>
          </w:p>
        </w:tc>
        <w:tc>
          <w:tcPr>
            <w:tcW w:w="136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September 30,</w:t>
            </w:r>
          </w:p>
        </w:tc>
        <w:tc>
          <w:tcPr>
            <w:tcW w:w="1340" w:type="dxa"/>
            <w:vAlign w:val="bottom"/>
          </w:tcPr>
          <w:p>
            <w:pPr>
              <w:jc w:val="right"/>
              <w:ind w:right="208"/>
              <w:spacing w:after="0" w:line="147" w:lineRule="exact"/>
              <w:rPr>
                <w:sz w:val="20"/>
                <w:szCs w:val="20"/>
                <w:color w:val="auto"/>
              </w:rPr>
            </w:pPr>
            <w:r>
              <w:rPr>
                <w:rFonts w:ascii="Arial" w:cs="Arial" w:eastAsia="Arial" w:hAnsi="Arial"/>
                <w:sz w:val="14"/>
                <w:szCs w:val="14"/>
                <w:b w:val="1"/>
                <w:bCs w:val="1"/>
                <w:color w:val="auto"/>
              </w:rPr>
              <w:t>December 31,</w:t>
            </w:r>
          </w:p>
        </w:tc>
        <w:tc>
          <w:tcPr>
            <w:tcW w:w="1040" w:type="dxa"/>
            <w:vAlign w:val="bottom"/>
          </w:tcPr>
          <w:p>
            <w:pPr>
              <w:jc w:val="right"/>
              <w:ind w:right="188"/>
              <w:spacing w:after="0" w:line="147" w:lineRule="exact"/>
              <w:rPr>
                <w:sz w:val="20"/>
                <w:szCs w:val="20"/>
                <w:color w:val="auto"/>
              </w:rPr>
            </w:pPr>
            <w:r>
              <w:rPr>
                <w:rFonts w:ascii="Arial" w:cs="Arial" w:eastAsia="Arial" w:hAnsi="Arial"/>
                <w:sz w:val="14"/>
                <w:szCs w:val="14"/>
                <w:b w:val="1"/>
                <w:bCs w:val="1"/>
                <w:color w:val="auto"/>
              </w:rPr>
              <w:t>March 31,</w:t>
            </w:r>
          </w:p>
        </w:tc>
        <w:tc>
          <w:tcPr>
            <w:tcW w:w="980" w:type="dxa"/>
            <w:vAlign w:val="bottom"/>
          </w:tcPr>
          <w:p>
            <w:pPr>
              <w:jc w:val="right"/>
              <w:ind w:right="188"/>
              <w:spacing w:after="0" w:line="147" w:lineRule="exact"/>
              <w:rPr>
                <w:sz w:val="20"/>
                <w:szCs w:val="20"/>
                <w:color w:val="auto"/>
              </w:rPr>
            </w:pPr>
            <w:r>
              <w:rPr>
                <w:rFonts w:ascii="Arial" w:cs="Arial" w:eastAsia="Arial" w:hAnsi="Arial"/>
                <w:sz w:val="14"/>
                <w:szCs w:val="14"/>
                <w:b w:val="1"/>
                <w:bCs w:val="1"/>
                <w:color w:val="auto"/>
              </w:rPr>
              <w:t>June 30,</w:t>
            </w:r>
          </w:p>
        </w:tc>
        <w:tc>
          <w:tcPr>
            <w:tcW w:w="112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r>
      <w:tr>
        <w:trPr>
          <w:trHeight w:val="171"/>
        </w:trPr>
        <w:tc>
          <w:tcPr>
            <w:tcW w:w="1760" w:type="dxa"/>
            <w:vAlign w:val="bottom"/>
          </w:tcPr>
          <w:p>
            <w:pPr>
              <w:spacing w:after="0"/>
              <w:rPr>
                <w:sz w:val="14"/>
                <w:szCs w:val="14"/>
                <w:color w:val="auto"/>
              </w:rPr>
            </w:pPr>
          </w:p>
        </w:tc>
        <w:tc>
          <w:tcPr>
            <w:tcW w:w="12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2023</w:t>
            </w: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13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13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9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r>
      <w:tr>
        <w:trPr>
          <w:trHeight w:val="155"/>
        </w:trPr>
        <w:tc>
          <w:tcPr>
            <w:tcW w:w="176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2"/>
          </w:tcPr>
          <w:p>
            <w:pPr>
              <w:jc w:val="right"/>
              <w:ind w:right="228"/>
              <w:spacing w:after="0" w:line="155" w:lineRule="exact"/>
              <w:rPr>
                <w:sz w:val="20"/>
                <w:szCs w:val="20"/>
                <w:color w:val="auto"/>
              </w:rPr>
            </w:pPr>
            <w:r>
              <w:rPr>
                <w:rFonts w:ascii="Arial" w:cs="Arial" w:eastAsia="Arial" w:hAnsi="Arial"/>
                <w:sz w:val="14"/>
                <w:szCs w:val="14"/>
                <w:b w:val="1"/>
                <w:bCs w:val="1"/>
                <w:color w:val="auto"/>
              </w:rPr>
              <w:t>(in millions, except percentages)</w:t>
            </w:r>
          </w:p>
        </w:tc>
        <w:tc>
          <w:tcPr>
            <w:tcW w:w="10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r>
      <w:tr>
        <w:trPr>
          <w:trHeight w:val="88"/>
        </w:trPr>
        <w:tc>
          <w:tcPr>
            <w:tcW w:w="17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r>
      <w:tr>
        <w:trPr>
          <w:trHeight w:val="153"/>
        </w:trPr>
        <w:tc>
          <w:tcPr>
            <w:tcW w:w="17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Other income</w:t>
            </w:r>
          </w:p>
        </w:tc>
        <w:tc>
          <w:tcPr>
            <w:tcW w:w="12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71"/>
        </w:trPr>
        <w:tc>
          <w:tcPr>
            <w:tcW w:w="1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1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2"/>
        </w:trPr>
        <w:tc>
          <w:tcPr>
            <w:tcW w:w="1760" w:type="dxa"/>
            <w:vAlign w:val="bottom"/>
          </w:tcPr>
          <w:p>
            <w:pPr>
              <w:ind w:left="280"/>
              <w:spacing w:after="0"/>
              <w:rPr>
                <w:sz w:val="20"/>
                <w:szCs w:val="20"/>
                <w:color w:val="auto"/>
              </w:rPr>
            </w:pPr>
            <w:r>
              <w:rPr>
                <w:rFonts w:ascii="Arial" w:cs="Arial" w:eastAsia="Arial" w:hAnsi="Arial"/>
                <w:sz w:val="14"/>
                <w:szCs w:val="14"/>
                <w:color w:val="auto"/>
              </w:rPr>
              <w:t>Interest expense</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(0)</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(1)</w:t>
            </w:r>
          </w:p>
        </w:tc>
      </w:tr>
      <w:tr>
        <w:trPr>
          <w:trHeight w:val="162"/>
        </w:trPr>
        <w:tc>
          <w:tcPr>
            <w:tcW w:w="1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income</w:t>
            </w:r>
          </w:p>
        </w:tc>
        <w:tc>
          <w:tcPr>
            <w:tcW w:w="12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4</w:t>
            </w:r>
          </w:p>
        </w:tc>
        <w:tc>
          <w:tcPr>
            <w:tcW w:w="10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w:t>
            </w:r>
          </w:p>
        </w:tc>
        <w:tc>
          <w:tcPr>
            <w:tcW w:w="9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w:t>
            </w:r>
          </w:p>
        </w:tc>
        <w:tc>
          <w:tcPr>
            <w:tcW w:w="1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w:t>
            </w:r>
          </w:p>
        </w:tc>
        <w:tc>
          <w:tcPr>
            <w:tcW w:w="1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w:t>
            </w:r>
          </w:p>
        </w:tc>
        <w:tc>
          <w:tcPr>
            <w:tcW w:w="10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w:t>
            </w:r>
          </w:p>
        </w:tc>
        <w:tc>
          <w:tcPr>
            <w:tcW w:w="9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w:t>
            </w:r>
          </w:p>
        </w:tc>
      </w:tr>
      <w:tr>
        <w:trPr>
          <w:trHeight w:val="153"/>
        </w:trPr>
        <w:tc>
          <w:tcPr>
            <w:tcW w:w="1760" w:type="dxa"/>
            <w:vAlign w:val="bottom"/>
          </w:tcPr>
          <w:p>
            <w:pPr>
              <w:ind w:left="280"/>
              <w:spacing w:after="0" w:line="153" w:lineRule="exact"/>
              <w:rPr>
                <w:sz w:val="20"/>
                <w:szCs w:val="20"/>
                <w:color w:val="auto"/>
              </w:rPr>
            </w:pPr>
            <w:r>
              <w:rPr>
                <w:rFonts w:ascii="Arial" w:cs="Arial" w:eastAsia="Arial" w:hAnsi="Arial"/>
                <w:sz w:val="14"/>
                <w:szCs w:val="14"/>
                <w:color w:val="auto"/>
              </w:rPr>
              <w:t>Other income</w:t>
            </w: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1760" w:type="dxa"/>
            <w:vAlign w:val="bottom"/>
          </w:tcPr>
          <w:p>
            <w:pPr>
              <w:ind w:left="420"/>
              <w:spacing w:after="0"/>
              <w:rPr>
                <w:sz w:val="20"/>
                <w:szCs w:val="20"/>
                <w:color w:val="auto"/>
              </w:rPr>
            </w:pPr>
            <w:r>
              <w:rPr>
                <w:rFonts w:ascii="Arial" w:cs="Arial" w:eastAsia="Arial" w:hAnsi="Arial"/>
                <w:sz w:val="14"/>
                <w:szCs w:val="14"/>
                <w:color w:val="auto"/>
              </w:rPr>
              <w:t>(expense), net</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0</w:t>
            </w: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0</w:t>
            </w:r>
          </w:p>
        </w:tc>
        <w:tc>
          <w:tcPr>
            <w:tcW w:w="1340" w:type="dxa"/>
            <w:vAlign w:val="bottom"/>
          </w:tcPr>
          <w:p>
            <w:pPr>
              <w:jc w:val="right"/>
              <w:ind w:right="188"/>
              <w:spacing w:after="0"/>
              <w:rPr>
                <w:sz w:val="20"/>
                <w:szCs w:val="20"/>
                <w:color w:val="auto"/>
              </w:rPr>
            </w:pPr>
            <w:r>
              <w:rPr>
                <w:rFonts w:ascii="Arial" w:cs="Arial" w:eastAsia="Arial" w:hAnsi="Arial"/>
                <w:sz w:val="14"/>
                <w:szCs w:val="14"/>
                <w:color w:val="auto"/>
              </w:rPr>
              <w:t>0</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0</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0</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0</w:t>
            </w:r>
          </w:p>
        </w:tc>
      </w:tr>
      <w:tr>
        <w:trPr>
          <w:trHeight w:val="153"/>
        </w:trPr>
        <w:tc>
          <w:tcPr>
            <w:tcW w:w="17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Total other income</w:t>
            </w:r>
          </w:p>
        </w:tc>
        <w:tc>
          <w:tcPr>
            <w:tcW w:w="12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71"/>
        </w:trPr>
        <w:tc>
          <w:tcPr>
            <w:tcW w:w="1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 net</w:t>
            </w:r>
          </w:p>
        </w:tc>
        <w:tc>
          <w:tcPr>
            <w:tcW w:w="12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3</w:t>
            </w:r>
          </w:p>
        </w:tc>
        <w:tc>
          <w:tcPr>
            <w:tcW w:w="10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w:t>
            </w:r>
          </w:p>
        </w:tc>
        <w:tc>
          <w:tcPr>
            <w:tcW w:w="9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w:t>
            </w:r>
          </w:p>
        </w:tc>
        <w:tc>
          <w:tcPr>
            <w:tcW w:w="1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w:t>
            </w:r>
          </w:p>
        </w:tc>
        <w:tc>
          <w:tcPr>
            <w:tcW w:w="1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w:t>
            </w:r>
          </w:p>
        </w:tc>
        <w:tc>
          <w:tcPr>
            <w:tcW w:w="10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w:t>
            </w:r>
          </w:p>
        </w:tc>
        <w:tc>
          <w:tcPr>
            <w:tcW w:w="9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w:t>
            </w:r>
          </w:p>
        </w:tc>
      </w:tr>
      <w:tr>
        <w:trPr>
          <w:trHeight w:val="261"/>
        </w:trPr>
        <w:tc>
          <w:tcPr>
            <w:tcW w:w="1760" w:type="dxa"/>
            <w:vAlign w:val="bottom"/>
          </w:tcPr>
          <w:p>
            <w:pPr>
              <w:spacing w:after="0"/>
              <w:rPr>
                <w:sz w:val="20"/>
                <w:szCs w:val="20"/>
                <w:color w:val="auto"/>
              </w:rPr>
            </w:pPr>
            <w:r>
              <w:rPr>
                <w:rFonts w:ascii="Arial" w:cs="Arial" w:eastAsia="Arial" w:hAnsi="Arial"/>
                <w:sz w:val="14"/>
                <w:szCs w:val="14"/>
                <w:color w:val="auto"/>
              </w:rPr>
              <w:t>Net income (loss)</w:t>
            </w:r>
          </w:p>
        </w:tc>
        <w:tc>
          <w:tcPr>
            <w:tcW w:w="1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162"/>
        </w:trPr>
        <w:tc>
          <w:tcPr>
            <w:tcW w:w="1760" w:type="dxa"/>
            <w:vAlign w:val="bottom"/>
          </w:tcPr>
          <w:p>
            <w:pPr>
              <w:ind w:left="140"/>
              <w:spacing w:after="0"/>
              <w:rPr>
                <w:sz w:val="20"/>
                <w:szCs w:val="20"/>
                <w:color w:val="auto"/>
              </w:rPr>
            </w:pPr>
            <w:r>
              <w:rPr>
                <w:rFonts w:ascii="Arial" w:cs="Arial" w:eastAsia="Arial" w:hAnsi="Arial"/>
                <w:sz w:val="14"/>
                <w:szCs w:val="14"/>
                <w:color w:val="auto"/>
              </w:rPr>
              <w:t>before provision for</w:t>
            </w: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1760" w:type="dxa"/>
            <w:vAlign w:val="bottom"/>
          </w:tcPr>
          <w:p>
            <w:pPr>
              <w:ind w:left="140"/>
              <w:spacing w:after="0"/>
              <w:rPr>
                <w:sz w:val="20"/>
                <w:szCs w:val="20"/>
                <w:color w:val="auto"/>
              </w:rPr>
            </w:pPr>
            <w:r>
              <w:rPr>
                <w:rFonts w:ascii="Arial" w:cs="Arial" w:eastAsia="Arial" w:hAnsi="Arial"/>
                <w:sz w:val="14"/>
                <w:szCs w:val="14"/>
                <w:color w:val="auto"/>
              </w:rPr>
              <w:t>income taxes</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(2)</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16</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16</w:t>
            </w: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30</w:t>
            </w:r>
          </w:p>
        </w:tc>
        <w:tc>
          <w:tcPr>
            <w:tcW w:w="1340" w:type="dxa"/>
            <w:vAlign w:val="bottom"/>
          </w:tcPr>
          <w:p>
            <w:pPr>
              <w:jc w:val="right"/>
              <w:ind w:right="188"/>
              <w:spacing w:after="0"/>
              <w:rPr>
                <w:sz w:val="20"/>
                <w:szCs w:val="20"/>
                <w:color w:val="auto"/>
              </w:rPr>
            </w:pPr>
            <w:r>
              <w:rPr>
                <w:rFonts w:ascii="Arial" w:cs="Arial" w:eastAsia="Arial" w:hAnsi="Arial"/>
                <w:sz w:val="14"/>
                <w:szCs w:val="14"/>
                <w:color w:val="auto"/>
              </w:rPr>
              <w:t>21</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14</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22</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19</w:t>
            </w:r>
          </w:p>
        </w:tc>
      </w:tr>
      <w:tr>
        <w:trPr>
          <w:trHeight w:val="153"/>
        </w:trPr>
        <w:tc>
          <w:tcPr>
            <w:tcW w:w="17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Income tax benefit</w:t>
            </w:r>
          </w:p>
        </w:tc>
        <w:tc>
          <w:tcPr>
            <w:tcW w:w="12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71"/>
        </w:trPr>
        <w:tc>
          <w:tcPr>
            <w:tcW w:w="1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12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(0)</w:t>
            </w:r>
          </w:p>
        </w:tc>
        <w:tc>
          <w:tcPr>
            <w:tcW w:w="10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w:t>
            </w:r>
          </w:p>
        </w:tc>
        <w:tc>
          <w:tcPr>
            <w:tcW w:w="13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w:t>
            </w:r>
          </w:p>
        </w:tc>
        <w:tc>
          <w:tcPr>
            <w:tcW w:w="1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w:t>
            </w:r>
          </w:p>
        </w:tc>
        <w:tc>
          <w:tcPr>
            <w:tcW w:w="10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w:t>
            </w:r>
          </w:p>
        </w:tc>
        <w:tc>
          <w:tcPr>
            <w:tcW w:w="9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w:t>
            </w:r>
          </w:p>
        </w:tc>
      </w:tr>
      <w:tr>
        <w:trPr>
          <w:trHeight w:val="190"/>
        </w:trPr>
        <w:tc>
          <w:tcPr>
            <w:tcW w:w="1760" w:type="dxa"/>
            <w:vAlign w:val="bottom"/>
          </w:tcPr>
          <w:p>
            <w:pPr>
              <w:spacing w:after="0"/>
              <w:rPr>
                <w:sz w:val="20"/>
                <w:szCs w:val="20"/>
                <w:color w:val="auto"/>
              </w:rPr>
            </w:pPr>
            <w:r>
              <w:rPr>
                <w:rFonts w:ascii="Arial" w:cs="Arial" w:eastAsia="Arial" w:hAnsi="Arial"/>
                <w:sz w:val="14"/>
                <w:szCs w:val="14"/>
                <w:color w:val="auto"/>
              </w:rPr>
              <w:t>Net income (loss)</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17%</w:t>
            </w:r>
          </w:p>
        </w:tc>
      </w:tr>
    </w:tbl>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Quarterly Trends in Gross Profit, Net Income and Non-GAAP Adjusted EBITDA and Related Margins: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6"/>
        </w:trPr>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106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March 31,</w:t>
            </w:r>
          </w:p>
        </w:tc>
        <w:tc>
          <w:tcPr>
            <w:tcW w:w="98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June 30,</w:t>
            </w:r>
          </w:p>
        </w:tc>
        <w:tc>
          <w:tcPr>
            <w:tcW w:w="140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December 31,</w:t>
            </w:r>
          </w:p>
        </w:tc>
        <w:tc>
          <w:tcPr>
            <w:tcW w:w="1080" w:type="dxa"/>
            <w:vAlign w:val="bottom"/>
            <w:gridSpan w:val="2"/>
          </w:tcPr>
          <w:p>
            <w:pPr>
              <w:ind w:left="160"/>
              <w:spacing w:after="0" w:line="147" w:lineRule="exact"/>
              <w:rPr>
                <w:sz w:val="20"/>
                <w:szCs w:val="20"/>
                <w:color w:val="auto"/>
              </w:rPr>
            </w:pPr>
            <w:r>
              <w:rPr>
                <w:rFonts w:ascii="Arial" w:cs="Arial" w:eastAsia="Arial" w:hAnsi="Arial"/>
                <w:sz w:val="14"/>
                <w:szCs w:val="14"/>
                <w:b w:val="1"/>
                <w:bCs w:val="1"/>
                <w:color w:val="auto"/>
              </w:rPr>
              <w:t>March 31,</w:t>
            </w:r>
          </w:p>
        </w:tc>
        <w:tc>
          <w:tcPr>
            <w:tcW w:w="100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June 30,</w:t>
            </w:r>
          </w:p>
        </w:tc>
        <w:tc>
          <w:tcPr>
            <w:tcW w:w="112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r>
      <w:tr>
        <w:trPr>
          <w:trHeight w:val="171"/>
        </w:trPr>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8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r>
      <w:tr>
        <w:trPr>
          <w:trHeight w:val="155"/>
        </w:trPr>
        <w:tc>
          <w:tcPr>
            <w:tcW w:w="13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4"/>
          </w:tcPr>
          <w:p>
            <w:pPr>
              <w:jc w:val="center"/>
              <w:ind w:right="28"/>
              <w:spacing w:after="0" w:line="155" w:lineRule="exact"/>
              <w:rPr>
                <w:sz w:val="20"/>
                <w:szCs w:val="20"/>
                <w:color w:val="auto"/>
              </w:rPr>
            </w:pPr>
            <w:r>
              <w:rPr>
                <w:rFonts w:ascii="Arial" w:cs="Arial" w:eastAsia="Arial" w:hAnsi="Arial"/>
                <w:sz w:val="14"/>
                <w:szCs w:val="14"/>
                <w:b w:val="1"/>
                <w:bCs w:val="1"/>
                <w:color w:val="auto"/>
              </w:rPr>
              <w:t>(in millions, except percentages)</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r>
      <w:tr>
        <w:trPr>
          <w:trHeight w:val="156"/>
        </w:trPr>
        <w:tc>
          <w:tcPr>
            <w:tcW w:w="13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Gross Profit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48"/>
              <w:spacing w:after="0" w:line="155" w:lineRule="exact"/>
              <w:rPr>
                <w:sz w:val="20"/>
                <w:szCs w:val="20"/>
                <w:color w:val="auto"/>
              </w:rPr>
            </w:pPr>
            <w:r>
              <w:rPr>
                <w:rFonts w:ascii="Arial" w:cs="Arial" w:eastAsia="Arial" w:hAnsi="Arial"/>
                <w:sz w:val="14"/>
                <w:szCs w:val="14"/>
                <w:color w:val="auto"/>
              </w:rPr>
              <w:t>  38</w:t>
            </w:r>
          </w:p>
        </w:tc>
        <w:tc>
          <w:tcPr>
            <w:tcW w:w="24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88"/>
              <w:spacing w:after="0" w:line="155" w:lineRule="exact"/>
              <w:rPr>
                <w:sz w:val="20"/>
                <w:szCs w:val="20"/>
                <w:color w:val="auto"/>
              </w:rPr>
            </w:pPr>
            <w:r>
              <w:rPr>
                <w:rFonts w:ascii="Arial" w:cs="Arial" w:eastAsia="Arial" w:hAnsi="Arial"/>
                <w:sz w:val="14"/>
                <w:szCs w:val="14"/>
                <w:color w:val="auto"/>
              </w:rPr>
              <w:t>  60</w:t>
            </w:r>
          </w:p>
        </w:tc>
        <w:tc>
          <w:tcPr>
            <w:tcW w:w="24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88"/>
              <w:spacing w:after="0" w:line="155" w:lineRule="exact"/>
              <w:rPr>
                <w:sz w:val="20"/>
                <w:szCs w:val="20"/>
                <w:color w:val="auto"/>
              </w:rPr>
            </w:pPr>
            <w:r>
              <w:rPr>
                <w:rFonts w:ascii="Arial" w:cs="Arial" w:eastAsia="Arial" w:hAnsi="Arial"/>
                <w:sz w:val="14"/>
                <w:szCs w:val="14"/>
                <w:color w:val="auto"/>
              </w:rPr>
              <w:t>  55</w:t>
            </w:r>
          </w:p>
        </w:tc>
        <w:tc>
          <w:tcPr>
            <w:tcW w:w="36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88"/>
              <w:spacing w:after="0" w:line="155" w:lineRule="exact"/>
              <w:rPr>
                <w:sz w:val="20"/>
                <w:szCs w:val="20"/>
                <w:color w:val="auto"/>
              </w:rPr>
            </w:pPr>
            <w:r>
              <w:rPr>
                <w:rFonts w:ascii="Arial" w:cs="Arial" w:eastAsia="Arial" w:hAnsi="Arial"/>
                <w:sz w:val="14"/>
                <w:szCs w:val="14"/>
                <w:color w:val="auto"/>
              </w:rPr>
              <w:t>  68</w:t>
            </w:r>
          </w:p>
        </w:tc>
        <w:tc>
          <w:tcPr>
            <w:tcW w:w="80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88"/>
              <w:spacing w:after="0" w:line="155" w:lineRule="exact"/>
              <w:rPr>
                <w:sz w:val="20"/>
                <w:szCs w:val="20"/>
                <w:color w:val="auto"/>
              </w:rPr>
            </w:pPr>
            <w:r>
              <w:rPr>
                <w:rFonts w:ascii="Arial" w:cs="Arial" w:eastAsia="Arial" w:hAnsi="Arial"/>
                <w:sz w:val="14"/>
                <w:szCs w:val="14"/>
                <w:color w:val="auto"/>
                <w:w w:val="95"/>
              </w:rPr>
              <w:t>  65</w:t>
            </w:r>
          </w:p>
        </w:tc>
        <w:tc>
          <w:tcPr>
            <w:tcW w:w="28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88"/>
              <w:spacing w:after="0" w:line="155" w:lineRule="exact"/>
              <w:rPr>
                <w:sz w:val="20"/>
                <w:szCs w:val="20"/>
                <w:color w:val="auto"/>
              </w:rPr>
            </w:pPr>
            <w:r>
              <w:rPr>
                <w:rFonts w:ascii="Arial" w:cs="Arial" w:eastAsia="Arial" w:hAnsi="Arial"/>
                <w:sz w:val="14"/>
                <w:szCs w:val="14"/>
                <w:color w:val="auto"/>
              </w:rPr>
              <w:t>  93</w:t>
            </w:r>
          </w:p>
        </w:tc>
        <w:tc>
          <w:tcPr>
            <w:tcW w:w="26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08"/>
              <w:spacing w:after="0" w:line="155" w:lineRule="exact"/>
              <w:rPr>
                <w:sz w:val="20"/>
                <w:szCs w:val="20"/>
                <w:color w:val="auto"/>
              </w:rPr>
            </w:pPr>
            <w:r>
              <w:rPr>
                <w:rFonts w:ascii="Arial" w:cs="Arial" w:eastAsia="Arial" w:hAnsi="Arial"/>
                <w:sz w:val="14"/>
                <w:szCs w:val="14"/>
                <w:color w:val="auto"/>
              </w:rPr>
              <w:t>  87</w:t>
            </w:r>
          </w:p>
        </w:tc>
        <w:tc>
          <w:tcPr>
            <w:tcW w:w="34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  92</w:t>
            </w:r>
          </w:p>
        </w:tc>
        <w:tc>
          <w:tcPr>
            <w:tcW w:w="180" w:type="dxa"/>
            <w:vAlign w:val="bottom"/>
            <w:shd w:val="clear" w:color="auto" w:fill="CCEEFF"/>
          </w:tcPr>
          <w:p>
            <w:pPr>
              <w:spacing w:after="0"/>
              <w:rPr>
                <w:sz w:val="13"/>
                <w:szCs w:val="13"/>
                <w:color w:val="auto"/>
              </w:rPr>
            </w:pPr>
          </w:p>
        </w:tc>
      </w:tr>
      <w:tr>
        <w:trPr>
          <w:trHeight w:val="162"/>
        </w:trPr>
        <w:tc>
          <w:tcPr>
            <w:tcW w:w="1380" w:type="dxa"/>
            <w:vAlign w:val="bottom"/>
          </w:tcPr>
          <w:p>
            <w:pPr>
              <w:spacing w:after="0"/>
              <w:rPr>
                <w:sz w:val="20"/>
                <w:szCs w:val="20"/>
                <w:color w:val="auto"/>
              </w:rPr>
            </w:pPr>
            <w:r>
              <w:rPr>
                <w:rFonts w:ascii="Arial" w:cs="Arial" w:eastAsia="Arial" w:hAnsi="Arial"/>
                <w:sz w:val="14"/>
                <w:szCs w:val="14"/>
                <w:color w:val="auto"/>
              </w:rPr>
              <w:t>Gross Margin</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96%</w:t>
            </w:r>
          </w:p>
        </w:tc>
        <w:tc>
          <w:tcPr>
            <w:tcW w:w="2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97%</w:t>
            </w:r>
          </w:p>
        </w:tc>
        <w:tc>
          <w:tcPr>
            <w:tcW w:w="24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97%</w:t>
            </w:r>
          </w:p>
        </w:tc>
        <w:tc>
          <w:tcPr>
            <w:tcW w:w="3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98%</w:t>
            </w:r>
          </w:p>
        </w:tc>
        <w:tc>
          <w:tcPr>
            <w:tcW w:w="800" w:type="dxa"/>
            <w:vAlign w:val="bottom"/>
          </w:tcPr>
          <w:p>
            <w:pPr>
              <w:spacing w:after="0"/>
              <w:rPr>
                <w:sz w:val="14"/>
                <w:szCs w:val="14"/>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98%</w:t>
            </w:r>
          </w:p>
        </w:tc>
        <w:tc>
          <w:tcPr>
            <w:tcW w:w="28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98%</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98%</w:t>
            </w:r>
          </w:p>
        </w:tc>
        <w:tc>
          <w:tcPr>
            <w:tcW w:w="34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98%</w:t>
            </w:r>
          </w:p>
        </w:tc>
      </w:tr>
      <w:tr>
        <w:trPr>
          <w:trHeight w:val="162"/>
        </w:trPr>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9</w:t>
            </w:r>
          </w:p>
        </w:tc>
        <w:tc>
          <w:tcPr>
            <w:tcW w:w="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21</w:t>
            </w:r>
          </w:p>
        </w:tc>
        <w:tc>
          <w:tcPr>
            <w:tcW w:w="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w:t>
            </w:r>
          </w:p>
        </w:tc>
        <w:tc>
          <w:tcPr>
            <w:tcW w:w="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18</w:t>
            </w:r>
          </w:p>
        </w:tc>
        <w:tc>
          <w:tcPr>
            <w:tcW w:w="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w:t>
            </w:r>
          </w:p>
        </w:tc>
      </w:tr>
      <w:tr>
        <w:trPr>
          <w:trHeight w:val="153"/>
        </w:trPr>
        <w:tc>
          <w:tcPr>
            <w:tcW w:w="1380" w:type="dxa"/>
            <w:vAlign w:val="bottom"/>
          </w:tcPr>
          <w:p>
            <w:pPr>
              <w:spacing w:after="0" w:line="153" w:lineRule="exact"/>
              <w:rPr>
                <w:sz w:val="20"/>
                <w:szCs w:val="20"/>
                <w:color w:val="auto"/>
              </w:rPr>
            </w:pPr>
            <w:r>
              <w:rPr>
                <w:rFonts w:ascii="Arial" w:cs="Arial" w:eastAsia="Arial" w:hAnsi="Arial"/>
                <w:sz w:val="14"/>
                <w:szCs w:val="14"/>
                <w:color w:val="auto"/>
              </w:rPr>
              <w:t>Net Income (Loss)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1380" w:type="dxa"/>
            <w:vAlign w:val="bottom"/>
          </w:tcPr>
          <w:p>
            <w:pPr>
              <w:ind w:left="140"/>
              <w:spacing w:after="0"/>
              <w:rPr>
                <w:sz w:val="20"/>
                <w:szCs w:val="20"/>
                <w:color w:val="auto"/>
              </w:rPr>
            </w:pPr>
            <w:r>
              <w:rPr>
                <w:rFonts w:ascii="Arial" w:cs="Arial" w:eastAsia="Arial" w:hAnsi="Arial"/>
                <w:sz w:val="14"/>
                <w:szCs w:val="14"/>
                <w:color w:val="auto"/>
              </w:rPr>
              <w:t>Margin</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3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800" w:type="dxa"/>
            <w:vAlign w:val="bottom"/>
          </w:tcPr>
          <w:p>
            <w:pPr>
              <w:spacing w:after="0"/>
              <w:rPr>
                <w:sz w:val="14"/>
                <w:szCs w:val="14"/>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28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34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17%</w:t>
            </w:r>
          </w:p>
        </w:tc>
      </w:tr>
      <w:tr>
        <w:trPr>
          <w:trHeight w:val="162"/>
        </w:trPr>
        <w:tc>
          <w:tcPr>
            <w:tcW w:w="1380" w:type="dxa"/>
            <w:vAlign w:val="bottom"/>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11</w:t>
            </w:r>
          </w:p>
        </w:tc>
        <w:tc>
          <w:tcPr>
            <w:tcW w:w="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w:t>
            </w:r>
          </w:p>
        </w:tc>
        <w:tc>
          <w:tcPr>
            <w:tcW w:w="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22</w:t>
            </w:r>
          </w:p>
        </w:tc>
        <w:tc>
          <w:tcPr>
            <w:tcW w:w="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15</w:t>
            </w:r>
          </w:p>
        </w:tc>
        <w:tc>
          <w:tcPr>
            <w:tcW w:w="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24</w:t>
            </w:r>
          </w:p>
        </w:tc>
        <w:tc>
          <w:tcPr>
            <w:tcW w:w="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21</w:t>
            </w:r>
          </w:p>
        </w:tc>
        <w:tc>
          <w:tcPr>
            <w:tcW w:w="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w:t>
            </w:r>
          </w:p>
        </w:tc>
      </w:tr>
      <w:tr>
        <w:trPr>
          <w:trHeight w:val="153"/>
        </w:trPr>
        <w:tc>
          <w:tcPr>
            <w:tcW w:w="1380" w:type="dxa"/>
            <w:vAlign w:val="bottom"/>
          </w:tcPr>
          <w:p>
            <w:pPr>
              <w:spacing w:after="0" w:line="153" w:lineRule="exact"/>
              <w:rPr>
                <w:sz w:val="20"/>
                <w:szCs w:val="20"/>
                <w:color w:val="auto"/>
              </w:rPr>
            </w:pPr>
            <w:r>
              <w:rPr>
                <w:rFonts w:ascii="Arial" w:cs="Arial" w:eastAsia="Arial" w:hAnsi="Arial"/>
                <w:sz w:val="14"/>
                <w:szCs w:val="14"/>
                <w:color w:val="auto"/>
              </w:rPr>
              <w:t>Adjusted EBITDA</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90"/>
        </w:trPr>
        <w:tc>
          <w:tcPr>
            <w:tcW w:w="1380" w:type="dxa"/>
            <w:vAlign w:val="bottom"/>
          </w:tcPr>
          <w:p>
            <w:pPr>
              <w:ind w:left="140"/>
              <w:spacing w:after="0"/>
              <w:rPr>
                <w:sz w:val="20"/>
                <w:szCs w:val="20"/>
                <w:color w:val="auto"/>
              </w:rPr>
            </w:pPr>
            <w:r>
              <w:rPr>
                <w:rFonts w:ascii="Arial" w:cs="Arial" w:eastAsia="Arial" w:hAnsi="Arial"/>
                <w:sz w:val="14"/>
                <w:szCs w:val="14"/>
                <w:color w:val="auto"/>
              </w:rPr>
              <w:t>Margin</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36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31%</w:t>
            </w:r>
          </w:p>
        </w:tc>
        <w:tc>
          <w:tcPr>
            <w:tcW w:w="8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28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26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34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20%</w:t>
            </w:r>
          </w:p>
        </w:tc>
      </w:tr>
    </w:tbl>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Non-GAAP Adjusted EBITDA and Adjusted EBITDA Margin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Adjusted EBITDA and Adjusted EBITDA margin, the most directly comparable GAAP financial measures, to non-</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GAAP Adjusted EBITDA and Adjusted EBITDA margin is presented below:</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90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90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June 30,</w:t>
            </w:r>
          </w:p>
        </w:tc>
        <w:tc>
          <w:tcPr>
            <w:tcW w:w="122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11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90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920" w:type="dxa"/>
            <w:vAlign w:val="bottom"/>
            <w:gridSpan w:val="2"/>
          </w:tcPr>
          <w:p>
            <w:pPr>
              <w:jc w:val="right"/>
              <w:ind w:right="340"/>
              <w:spacing w:after="0" w:line="147" w:lineRule="exact"/>
              <w:rPr>
                <w:sz w:val="20"/>
                <w:szCs w:val="20"/>
                <w:color w:val="auto"/>
              </w:rPr>
            </w:pPr>
            <w:r>
              <w:rPr>
                <w:rFonts w:ascii="Arial" w:cs="Arial" w:eastAsia="Arial" w:hAnsi="Arial"/>
                <w:sz w:val="14"/>
                <w:szCs w:val="14"/>
                <w:b w:val="1"/>
                <w:bCs w:val="1"/>
                <w:color w:val="auto"/>
                <w:w w:val="99"/>
              </w:rPr>
              <w:t>June 30,</w:t>
            </w:r>
          </w:p>
        </w:tc>
        <w:tc>
          <w:tcPr>
            <w:tcW w:w="98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b w:val="1"/>
                <w:bCs w:val="1"/>
                <w:color w:val="auto"/>
              </w:rPr>
              <w:t>2024</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1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Net income (loss)</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(935)</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9,744</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8,953</w:t>
            </w:r>
          </w:p>
        </w:tc>
        <w:tc>
          <w:tcPr>
            <w:tcW w:w="3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20,587</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9,548</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12,247</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$ 18,469</w:t>
            </w:r>
          </w:p>
        </w:tc>
        <w:tc>
          <w:tcPr>
            <w:tcW w:w="3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15,874</w:t>
            </w:r>
          </w:p>
        </w:tc>
        <w:tc>
          <w:tcPr>
            <w:tcW w:w="1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0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(1,519)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(1,389)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(1,405)</w:t>
            </w:r>
          </w:p>
        </w:tc>
        <w:tc>
          <w:tcPr>
            <w:tcW w:w="22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(1,483)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(1,322)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(1,513)</w:t>
            </w:r>
          </w:p>
        </w:tc>
        <w:tc>
          <w:tcPr>
            <w:tcW w:w="1020" w:type="dxa"/>
            <w:vAlign w:val="bottom"/>
            <w:gridSpan w:val="3"/>
          </w:tcPr>
          <w:p>
            <w:pPr>
              <w:jc w:val="right"/>
              <w:ind w:right="280"/>
              <w:spacing w:after="0"/>
              <w:rPr>
                <w:sz w:val="20"/>
                <w:szCs w:val="20"/>
                <w:color w:val="auto"/>
              </w:rPr>
            </w:pPr>
            <w:r>
              <w:rPr>
                <w:rFonts w:ascii="Arial" w:cs="Arial" w:eastAsia="Arial" w:hAnsi="Arial"/>
                <w:sz w:val="14"/>
                <w:szCs w:val="14"/>
                <w:color w:val="auto"/>
              </w:rPr>
              <w:t>(1,549)</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162"/>
        </w:trPr>
        <w:tc>
          <w:tcPr>
            <w:tcW w:w="2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152</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973</w:t>
            </w: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646</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153"/>
        </w:trPr>
        <w:tc>
          <w:tcPr>
            <w:tcW w:w="2100" w:type="dxa"/>
            <w:vAlign w:val="bottom"/>
          </w:tcPr>
          <w:p>
            <w:pPr>
              <w:ind w:left="280"/>
              <w:spacing w:after="0" w:line="153" w:lineRule="exact"/>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00" w:type="dxa"/>
            <w:vAlign w:val="bottom"/>
          </w:tcPr>
          <w:p>
            <w:pPr>
              <w:ind w:left="420"/>
              <w:spacing w:after="0"/>
              <w:rPr>
                <w:sz w:val="20"/>
                <w:szCs w:val="20"/>
                <w:color w:val="auto"/>
              </w:rPr>
            </w:pPr>
            <w:r>
              <w:rPr>
                <w:rFonts w:ascii="Arial" w:cs="Arial" w:eastAsia="Arial" w:hAnsi="Arial"/>
                <w:sz w:val="14"/>
                <w:szCs w:val="14"/>
                <w:color w:val="auto"/>
              </w:rPr>
              <w:t>(benefit)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227</w:t>
            </w:r>
          </w:p>
        </w:tc>
        <w:tc>
          <w:tcPr>
            <w:tcW w:w="2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4,162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864</w:t>
            </w:r>
          </w:p>
        </w:tc>
        <w:tc>
          <w:tcPr>
            <w:tcW w:w="1020" w:type="dxa"/>
            <w:vAlign w:val="bottom"/>
            <w:gridSpan w:val="3"/>
          </w:tcPr>
          <w:p>
            <w:pPr>
              <w:jc w:val="right"/>
              <w:ind w:right="340"/>
              <w:spacing w:after="0"/>
              <w:rPr>
                <w:sz w:val="20"/>
                <w:szCs w:val="20"/>
                <w:color w:val="auto"/>
              </w:rPr>
            </w:pPr>
            <w:r>
              <w:rPr>
                <w:rFonts w:ascii="Arial" w:cs="Arial" w:eastAsia="Arial" w:hAnsi="Arial"/>
                <w:sz w:val="14"/>
                <w:szCs w:val="14"/>
                <w:color w:val="auto"/>
              </w:rPr>
              <w:t>1,302</w:t>
            </w:r>
          </w:p>
        </w:tc>
        <w:tc>
          <w:tcPr>
            <w:tcW w:w="2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1,863</w:t>
            </w:r>
          </w:p>
        </w:tc>
        <w:tc>
          <w:tcPr>
            <w:tcW w:w="0" w:type="dxa"/>
            <w:vAlign w:val="bottom"/>
          </w:tcPr>
          <w:p>
            <w:pPr>
              <w:spacing w:after="0"/>
              <w:rPr>
                <w:sz w:val="1"/>
                <w:szCs w:val="1"/>
                <w:color w:val="auto"/>
              </w:rPr>
            </w:pPr>
          </w:p>
        </w:tc>
      </w:tr>
      <w:tr>
        <w:trPr>
          <w:trHeight w:val="153"/>
        </w:trPr>
        <w:tc>
          <w:tcPr>
            <w:tcW w:w="2100" w:type="dxa"/>
            <w:vAlign w:val="bottom"/>
            <w:shd w:val="clear" w:color="auto" w:fill="CCEEFF"/>
          </w:tcPr>
          <w:p>
            <w:pPr>
              <w:ind w:left="280"/>
              <w:spacing w:after="0" w:line="153" w:lineRule="exact"/>
              <w:rPr>
                <w:sz w:val="20"/>
                <w:szCs w:val="20"/>
                <w:color w:val="auto"/>
              </w:rPr>
            </w:pPr>
            <w:r>
              <w:rPr>
                <w:rFonts w:ascii="Arial" w:cs="Arial" w:eastAsia="Arial" w:hAnsi="Arial"/>
                <w:sz w:val="14"/>
                <w:szCs w:val="14"/>
                <w:color w:val="auto"/>
              </w:rPr>
              <w:t>Depreciation and</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1,566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1,344</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1,337</w:t>
            </w: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1,406</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1,332</w:t>
            </w:r>
          </w:p>
        </w:tc>
        <w:tc>
          <w:tcPr>
            <w:tcW w:w="0" w:type="dxa"/>
            <w:vAlign w:val="bottom"/>
          </w:tcPr>
          <w:p>
            <w:pPr>
              <w:spacing w:after="0"/>
              <w:rPr>
                <w:sz w:val="1"/>
                <w:szCs w:val="1"/>
                <w:color w:val="auto"/>
              </w:rPr>
            </w:pPr>
          </w:p>
        </w:tc>
      </w:tr>
      <w:tr>
        <w:trPr>
          <w:trHeight w:val="20"/>
        </w:trPr>
        <w:tc>
          <w:tcPr>
            <w:tcW w:w="2100" w:type="dxa"/>
            <w:vAlign w:val="bottom"/>
            <w:vMerge w:val="restart"/>
          </w:tcPr>
          <w:p>
            <w:pPr>
              <w:spacing w:after="0"/>
              <w:rPr>
                <w:sz w:val="20"/>
                <w:szCs w:val="20"/>
                <w:color w:val="auto"/>
              </w:rPr>
            </w:pPr>
            <w:r>
              <w:rPr>
                <w:rFonts w:ascii="Arial" w:cs="Arial" w:eastAsia="Arial" w:hAnsi="Arial"/>
                <w:sz w:val="14"/>
                <w:szCs w:val="14"/>
                <w:color w:val="auto"/>
              </w:rPr>
              <w:t>EBITDA</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10,131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9,271</w:t>
            </w:r>
          </w:p>
        </w:tc>
        <w:tc>
          <w:tcPr>
            <w:tcW w:w="2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21,173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13,795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13,908</w:t>
            </w:r>
          </w:p>
        </w:tc>
        <w:tc>
          <w:tcPr>
            <w:tcW w:w="1020" w:type="dxa"/>
            <w:vAlign w:val="bottom"/>
            <w:gridSpan w:val="3"/>
          </w:tcPr>
          <w:p>
            <w:pPr>
              <w:jc w:val="right"/>
              <w:ind w:right="340"/>
              <w:spacing w:after="0"/>
              <w:rPr>
                <w:sz w:val="20"/>
                <w:szCs w:val="20"/>
                <w:color w:val="auto"/>
              </w:rPr>
            </w:pPr>
            <w:r>
              <w:rPr>
                <w:rFonts w:ascii="Arial" w:cs="Arial" w:eastAsia="Arial" w:hAnsi="Arial"/>
                <w:sz w:val="14"/>
                <w:szCs w:val="14"/>
                <w:color w:val="auto"/>
              </w:rPr>
              <w:t>20,274</w:t>
            </w:r>
          </w:p>
        </w:tc>
        <w:tc>
          <w:tcPr>
            <w:tcW w:w="2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18,445</w:t>
            </w:r>
          </w:p>
        </w:tc>
        <w:tc>
          <w:tcPr>
            <w:tcW w:w="0" w:type="dxa"/>
            <w:vAlign w:val="bottom"/>
          </w:tcPr>
          <w:p>
            <w:pPr>
              <w:spacing w:after="0"/>
              <w:rPr>
                <w:sz w:val="1"/>
                <w:szCs w:val="1"/>
                <w:color w:val="auto"/>
              </w:rPr>
            </w:pPr>
          </w:p>
        </w:tc>
      </w:tr>
      <w:tr>
        <w:trPr>
          <w:trHeight w:val="153"/>
        </w:trPr>
        <w:tc>
          <w:tcPr>
            <w:tcW w:w="2100" w:type="dxa"/>
            <w:vAlign w:val="bottom"/>
            <w:shd w:val="clear" w:color="auto" w:fill="CCEEFF"/>
          </w:tcPr>
          <w:p>
            <w:pPr>
              <w:ind w:left="280"/>
              <w:spacing w:after="0" w:line="153" w:lineRule="exact"/>
              <w:rPr>
                <w:sz w:val="20"/>
                <w:szCs w:val="20"/>
                <w:color w:val="auto"/>
              </w:rPr>
            </w:pPr>
            <w:r>
              <w:rPr>
                <w:rFonts w:ascii="Arial" w:cs="Arial" w:eastAsia="Arial" w:hAnsi="Arial"/>
                <w:sz w:val="14"/>
                <w:szCs w:val="14"/>
                <w:color w:val="auto"/>
              </w:rPr>
              <w:t>Stock-based compensation</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expense</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817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783</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669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9,814</w:t>
            </w: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478</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20"/>
        </w:trPr>
        <w:tc>
          <w:tcPr>
            <w:tcW w:w="2100" w:type="dxa"/>
            <w:vAlign w:val="bottom"/>
            <w:vMerge w:val="restart"/>
          </w:tcPr>
          <w:p>
            <w:pPr>
              <w:spacing w:after="0"/>
              <w:rPr>
                <w:sz w:val="20"/>
                <w:szCs w:val="20"/>
                <w:color w:val="auto"/>
              </w:rPr>
            </w:pPr>
            <w:r>
              <w:rPr>
                <w:rFonts w:ascii="Arial" w:cs="Arial" w:eastAsia="Arial" w:hAnsi="Arial"/>
                <w:sz w:val="14"/>
                <w:szCs w:val="14"/>
                <w:color w:val="auto"/>
              </w:rPr>
              <w:t>Adjusted EBITDA</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100" w:type="dxa"/>
            <w:vAlign w:val="bottom"/>
            <w:vMerge w:val="continue"/>
          </w:tcPr>
          <w:p>
            <w:pPr>
              <w:spacing w:after="0"/>
              <w:rPr>
                <w:sz w:val="14"/>
                <w:szCs w:val="14"/>
                <w:color w:val="auto"/>
              </w:rPr>
            </w:pPr>
          </w:p>
        </w:tc>
        <w:tc>
          <w:tcPr>
            <w:tcW w:w="3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253</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10,948</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10,054</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21,842</w:t>
            </w:r>
          </w:p>
        </w:tc>
        <w:tc>
          <w:tcPr>
            <w:tcW w:w="3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14,692</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23,722</w:t>
            </w:r>
          </w:p>
        </w:tc>
        <w:tc>
          <w:tcPr>
            <w:tcW w:w="1020" w:type="dxa"/>
            <w:vAlign w:val="bottom"/>
            <w:gridSpan w:val="3"/>
          </w:tcPr>
          <w:p>
            <w:pPr>
              <w:jc w:val="right"/>
              <w:ind w:right="340"/>
              <w:spacing w:after="0"/>
              <w:rPr>
                <w:sz w:val="20"/>
                <w:szCs w:val="20"/>
                <w:color w:val="auto"/>
              </w:rPr>
            </w:pPr>
            <w:r>
              <w:rPr>
                <w:rFonts w:ascii="Arial" w:cs="Arial" w:eastAsia="Arial" w:hAnsi="Arial"/>
                <w:sz w:val="14"/>
                <w:szCs w:val="14"/>
                <w:color w:val="auto"/>
              </w:rPr>
              <w:t>$ 20,752</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18,717</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Adjusted EBITDA Margin</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18%</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25%</w:t>
            </w:r>
          </w:p>
        </w:tc>
        <w:tc>
          <w:tcPr>
            <w:tcW w:w="1020" w:type="dxa"/>
            <w:vAlign w:val="bottom"/>
            <w:gridSpan w:val="3"/>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23%</w:t>
            </w: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5"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Since our inception, we have financed our operations primarily through net proceeds from the issuance of our redeemable convertible preferred stock and commissions received from the sale of our products. As of September 30, 2025, our principal sources of liquidity were cash, cash equivalents, and investments of $161.2 million and working capital of $126.8 million. Cash and cash equivalents are comprised of cash held in demand deposit accounts and short-term, highly liquid investments with original maturities of three months or less. Marketable securities are comprised primarily of commercial paper and investment grade U.S. and non-U.S.-issued corporate debt securities. Our principal use of cash has been to fund our operations and invest in technology to support our growth.</w:t>
      </w:r>
    </w:p>
    <w:p>
      <w:pPr>
        <w:spacing w:after="0" w:line="179" w:lineRule="exact"/>
        <w:rPr>
          <w:sz w:val="20"/>
          <w:szCs w:val="20"/>
          <w:color w:val="auto"/>
        </w:rPr>
      </w:pPr>
    </w:p>
    <w:p>
      <w:pPr>
        <w:ind w:left="120" w:right="200" w:firstLine="551"/>
        <w:spacing w:after="0" w:line="247" w:lineRule="auto"/>
        <w:rPr>
          <w:sz w:val="20"/>
          <w:szCs w:val="20"/>
          <w:color w:val="auto"/>
        </w:rPr>
      </w:pPr>
      <w:r>
        <w:rPr>
          <w:rFonts w:ascii="Arial" w:cs="Arial" w:eastAsia="Arial" w:hAnsi="Arial"/>
          <w:sz w:val="18"/>
          <w:szCs w:val="18"/>
          <w:color w:val="auto"/>
        </w:rPr>
        <w:t>We have generated significant losses from operations and negative cash flows from operating activities in the past as reflected in our accumulated deficit of $127.1 million as of September 30, 2025. Our future cash flows from operating activities may fluctuate as a result of investments we continue to make across our organization. As a result, we may require additional capital resources to execute strategic initiatives to grow our business.</w:t>
      </w:r>
    </w:p>
    <w:p>
      <w:pPr>
        <w:spacing w:after="0" w:line="174"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We believe that our existing cash and cash equivalents will be sufficient to meet our working capital requirements for at least the next twelve months. However, our liquidity assumptions may prove to be incorrect, and we could utilize our available financial resources sooner than we currently expect. Our future capital requirements and the adequacy of available funds will depend on many factors, including our growth rate, accuracy of persistency estimates, expansion of sales and marketing activities, expansion of carrier and agency relationships, investments in technology enhancements, continued market adoption of our platform and services, and timing and amount of sales of commissions receivable. In addition, we may enter into agreements to acquire or invest in complementary businesses, products, teams, and technologies, including intellectual property rights, which could increase our cash requirements. As a result of these and other factors, we may be required to seek additional financing sooner than we currently anticipate. However, we may not be able to secure additional financing to meet our operating requirements or growth strategies on acceptable terms, or at all.</w:t>
      </w:r>
    </w:p>
    <w:p>
      <w:pPr>
        <w:spacing w:after="0" w:line="183" w:lineRule="exact"/>
        <w:rPr>
          <w:sz w:val="20"/>
          <w:szCs w:val="20"/>
          <w:color w:val="auto"/>
        </w:rPr>
      </w:pPr>
    </w:p>
    <w:p>
      <w:pPr>
        <w:ind w:left="120" w:right="100" w:firstLine="551"/>
        <w:spacing w:after="0" w:line="239" w:lineRule="auto"/>
        <w:rPr>
          <w:sz w:val="20"/>
          <w:szCs w:val="20"/>
          <w:color w:val="auto"/>
        </w:rPr>
      </w:pPr>
      <w:r>
        <w:rPr>
          <w:rFonts w:ascii="Arial" w:cs="Arial" w:eastAsia="Arial" w:hAnsi="Arial"/>
          <w:sz w:val="18"/>
          <w:szCs w:val="18"/>
          <w:color w:val="auto"/>
        </w:rPr>
        <w:t>In particular, recent volatility in the global financial markets, including due to heightened inflation, rising interest rates, tariffs, and other macroeconomic conditions, geopolitical events, such as the ongoing conflicts between Russia and Ukraine and in the Middle East, and disruptions in access to bank deposits or lending commitments due to bank failures could reduce our ability to access capital and negatively affect our liquidity in the future.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costs, which would impair our growth prospects and could otherwise negatively impact our business.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Nine Months Ended September 30, 2024 and 2025</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cash flow information for the periods presented: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6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66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2024</w:t>
            </w:r>
          </w:p>
        </w:tc>
        <w:tc>
          <w:tcPr>
            <w:tcW w:w="80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r>
      <w:tr>
        <w:trPr>
          <w:trHeight w:val="146"/>
        </w:trPr>
        <w:tc>
          <w:tcPr>
            <w:tcW w:w="6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7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171"/>
        </w:trPr>
        <w:tc>
          <w:tcPr>
            <w:tcW w:w="66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unaudited)</w:t>
            </w: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 (used in) operating activities</w:t>
            </w:r>
          </w:p>
        </w:tc>
        <w:tc>
          <w:tcPr>
            <w:tcW w:w="348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$(13,072)</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$31,281</w:t>
            </w:r>
          </w:p>
        </w:tc>
      </w:tr>
      <w:tr>
        <w:trPr>
          <w:trHeight w:val="203"/>
        </w:trPr>
        <w:tc>
          <w:tcPr>
            <w:tcW w:w="6620" w:type="dxa"/>
            <w:vAlign w:val="bottom"/>
          </w:tcPr>
          <w:p>
            <w:pPr>
              <w:spacing w:after="0" w:line="202" w:lineRule="exact"/>
              <w:rPr>
                <w:sz w:val="20"/>
                <w:szCs w:val="20"/>
                <w:color w:val="auto"/>
              </w:rPr>
            </w:pPr>
            <w:r>
              <w:rPr>
                <w:rFonts w:ascii="Arial" w:cs="Arial" w:eastAsia="Arial" w:hAnsi="Arial"/>
                <w:sz w:val="18"/>
                <w:szCs w:val="18"/>
                <w:color w:val="auto"/>
              </w:rPr>
              <w:t>Net cash provided by investing activities</w:t>
            </w:r>
          </w:p>
        </w:tc>
        <w:tc>
          <w:tcPr>
            <w:tcW w:w="3480" w:type="dxa"/>
            <w:vAlign w:val="bottom"/>
            <w:gridSpan w:val="2"/>
          </w:tcPr>
          <w:p>
            <w:pPr>
              <w:jc w:val="right"/>
              <w:ind w:right="128"/>
              <w:spacing w:after="0" w:line="202" w:lineRule="exact"/>
              <w:rPr>
                <w:sz w:val="20"/>
                <w:szCs w:val="20"/>
                <w:color w:val="auto"/>
              </w:rPr>
            </w:pPr>
            <w:r>
              <w:rPr>
                <w:rFonts w:ascii="Arial" w:cs="Arial" w:eastAsia="Arial" w:hAnsi="Arial"/>
                <w:sz w:val="18"/>
                <w:szCs w:val="18"/>
                <w:color w:val="auto"/>
              </w:rPr>
              <w:t>11,279</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23,115</w:t>
            </w: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348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(1,236)</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(5,183)</w:t>
            </w:r>
          </w:p>
        </w:tc>
      </w:tr>
    </w:tbl>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Flows Provided by / (Used In) Operating Activities</w:t>
      </w:r>
    </w:p>
    <w:p>
      <w:pPr>
        <w:spacing w:after="0" w:line="210"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For the nine months ended September 30, 2025, net cash provided by operating activities was $31.3 million. This was driven primarily by net income of $ 46.6 million, non-cash expenses of $4.1 million related to depreciation and amortization, $3.5 million related to deferred taxes, $2.4 million related to interest expense and $10.6 million related to stock-based compensation, in addition to non-cash income of $ 1.0 million related to the amortization of discounts and premiums of investments. In addition, during the nine months ended September 30, 2025, significant changes in our operating assets and liabilities resulted from the following:</w:t>
      </w:r>
    </w:p>
    <w:p>
      <w:pPr>
        <w:spacing w:after="0" w:line="82" w:lineRule="exact"/>
        <w:rPr>
          <w:sz w:val="20"/>
          <w:szCs w:val="20"/>
          <w:color w:val="auto"/>
        </w:rPr>
      </w:pPr>
    </w:p>
    <w:p>
      <w:pPr>
        <w:ind w:left="880" w:right="600" w:hanging="224"/>
        <w:spacing w:after="0" w:line="271"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 in commissions receivable of $46.5 million due to an increase in the earned commissions resulting from the 61% growth in activated policies.</w:t>
      </w:r>
    </w:p>
    <w:p>
      <w:pPr>
        <w:spacing w:after="0" w:line="59" w:lineRule="exact"/>
        <w:rPr>
          <w:rFonts w:ascii="Arial" w:cs="Arial" w:eastAsia="Arial" w:hAnsi="Arial"/>
          <w:sz w:val="18"/>
          <w:szCs w:val="18"/>
          <w:color w:val="auto"/>
        </w:rPr>
      </w:pPr>
    </w:p>
    <w:p>
      <w:pPr>
        <w:ind w:left="880" w:right="440" w:hanging="224"/>
        <w:spacing w:after="0" w:line="271"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 in prepaid and other assets of $15.9 million due primarily to growth in expected clawbacks from payments made to agents for policies sold.</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 in accounts receivable of $5.6 million due primarily to an increase in commission owned to us by the insurance carriers.</w:t>
      </w:r>
    </w:p>
    <w:p>
      <w:pPr>
        <w:spacing w:after="0" w:line="117" w:lineRule="exact"/>
        <w:rPr>
          <w:rFonts w:ascii="Arial" w:cs="Arial" w:eastAsia="Arial" w:hAnsi="Arial"/>
          <w:sz w:val="18"/>
          <w:szCs w:val="18"/>
          <w:color w:val="auto"/>
        </w:rPr>
      </w:pPr>
    </w:p>
    <w:p>
      <w:pPr>
        <w:ind w:left="880" w:right="40" w:hanging="224"/>
        <w:spacing w:after="0" w:line="271"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 in accounts payable of $35.3 million due primarily to increase in expected commissions to be paid to carriers as a result of clawbacks.</w:t>
      </w:r>
    </w:p>
    <w:p>
      <w:pPr>
        <w:spacing w:after="0" w:line="59" w:lineRule="exact"/>
        <w:rPr>
          <w:rFonts w:ascii="Arial" w:cs="Arial" w:eastAsia="Arial" w:hAnsi="Arial"/>
          <w:sz w:val="18"/>
          <w:szCs w:val="18"/>
          <w:color w:val="auto"/>
        </w:rPr>
      </w:pPr>
    </w:p>
    <w:p>
      <w:pPr>
        <w:ind w:left="880" w:right="120" w:hanging="224"/>
        <w:spacing w:after="0" w:line="271"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 in accrued expenses of $10.5 million due primarily to an increase in accrued agent payments driven by growth in third-party revenue.</w:t>
      </w:r>
    </w:p>
    <w:p>
      <w:pPr>
        <w:spacing w:after="0" w:line="154" w:lineRule="exact"/>
        <w:rPr>
          <w:sz w:val="20"/>
          <w:szCs w:val="20"/>
          <w:color w:val="auto"/>
        </w:rPr>
      </w:pPr>
    </w:p>
    <w:p>
      <w:pPr>
        <w:jc w:val="both"/>
        <w:ind w:left="120" w:right="60" w:firstLine="551"/>
        <w:spacing w:after="0" w:line="244" w:lineRule="auto"/>
        <w:rPr>
          <w:sz w:val="20"/>
          <w:szCs w:val="20"/>
          <w:color w:val="auto"/>
        </w:rPr>
      </w:pPr>
      <w:r>
        <w:rPr>
          <w:rFonts w:ascii="Arial" w:cs="Arial" w:eastAsia="Arial" w:hAnsi="Arial"/>
          <w:sz w:val="18"/>
          <w:szCs w:val="18"/>
          <w:color w:val="auto"/>
        </w:rPr>
        <w:t>For the nine months ended September 30, 2024, cash used in operating activities was $13.1 million. This was driven primarily by net income of $39.3 million, non-cash expenses of $4.2 million related to depreciation and amortization and $2.3 million related to stock-based compensation in addition to non-cash income of $2.6 million related to the amortization of discounts and premiums of investments. In addition, during the nine months ended September 30, 2024, significant changes in our operating assets and liabilities resulted from the following:</w:t>
      </w:r>
    </w:p>
    <w:p>
      <w:pPr>
        <w:spacing w:after="0" w:line="82" w:lineRule="exact"/>
        <w:rPr>
          <w:sz w:val="20"/>
          <w:szCs w:val="20"/>
          <w:color w:val="auto"/>
        </w:rPr>
      </w:pPr>
    </w:p>
    <w:p>
      <w:pPr>
        <w:ind w:left="880" w:right="600" w:hanging="224"/>
        <w:spacing w:after="0" w:line="271"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 in commissions receivable of $48.7 million due to an increase in the earned commissions resulting from the 65% growth in activated policies.</w:t>
      </w:r>
    </w:p>
    <w:p>
      <w:pPr>
        <w:spacing w:after="0" w:line="59" w:lineRule="exact"/>
        <w:rPr>
          <w:rFonts w:ascii="Arial" w:cs="Arial" w:eastAsia="Arial" w:hAnsi="Arial"/>
          <w:sz w:val="18"/>
          <w:szCs w:val="18"/>
          <w:color w:val="auto"/>
        </w:rPr>
      </w:pPr>
    </w:p>
    <w:p>
      <w:pPr>
        <w:ind w:left="880" w:right="640" w:hanging="224"/>
        <w:spacing w:after="0" w:line="271"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 in accounts receivable of $12.6 million due primarily to an increase in commission owned to us by the insurance carries.</w:t>
      </w:r>
    </w:p>
    <w:p>
      <w:pPr>
        <w:spacing w:after="0" w:line="59" w:lineRule="exact"/>
        <w:rPr>
          <w:rFonts w:ascii="Arial" w:cs="Arial" w:eastAsia="Arial" w:hAnsi="Arial"/>
          <w:sz w:val="18"/>
          <w:szCs w:val="18"/>
          <w:color w:val="auto"/>
        </w:rPr>
      </w:pPr>
    </w:p>
    <w:p>
      <w:pPr>
        <w:ind w:left="880" w:right="460" w:hanging="224"/>
        <w:spacing w:after="0" w:line="271"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 in prepaid and other assets of $11.6 million due primarily to growth in expected clawbacks from payments made to agents for policies sold.</w:t>
      </w:r>
    </w:p>
    <w:p>
      <w:pPr>
        <w:spacing w:after="0" w:line="59" w:lineRule="exact"/>
        <w:rPr>
          <w:rFonts w:ascii="Arial" w:cs="Arial" w:eastAsia="Arial" w:hAnsi="Arial"/>
          <w:sz w:val="18"/>
          <w:szCs w:val="18"/>
          <w:color w:val="auto"/>
        </w:rPr>
      </w:pPr>
    </w:p>
    <w:p>
      <w:pPr>
        <w:ind w:left="880" w:right="280" w:hanging="224"/>
        <w:spacing w:after="0" w:line="271"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 in accounts payable of $10.0 million due primarily to an increase in expected commissions to be paid to carriers as a result of clawbacks.</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5"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Flows Provided By Investing Activities</w:t>
      </w:r>
    </w:p>
    <w:p>
      <w:pPr>
        <w:spacing w:after="0" w:line="210"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Our primary investing activities during the periods presented included purchases, sales and maturities of short-term and long-term investments.</w:t>
      </w:r>
    </w:p>
    <w:p>
      <w:pPr>
        <w:spacing w:after="0" w:line="154" w:lineRule="exact"/>
        <w:rPr>
          <w:sz w:val="20"/>
          <w:szCs w:val="20"/>
          <w:color w:val="auto"/>
        </w:rPr>
      </w:pPr>
    </w:p>
    <w:p>
      <w:pPr>
        <w:ind w:left="120" w:right="60" w:firstLine="551"/>
        <w:spacing w:after="0" w:line="271" w:lineRule="auto"/>
        <w:rPr>
          <w:sz w:val="20"/>
          <w:szCs w:val="20"/>
          <w:color w:val="auto"/>
        </w:rPr>
      </w:pPr>
      <w:r>
        <w:rPr>
          <w:rFonts w:ascii="Arial" w:cs="Arial" w:eastAsia="Arial" w:hAnsi="Arial"/>
          <w:sz w:val="18"/>
          <w:szCs w:val="18"/>
          <w:color w:val="auto"/>
        </w:rPr>
        <w:t>For the nine months ended September 30, 2025, net cash provided by investing activities was $23.1 million. This was primarily due to proceeds from maturity and sale of investments of $79.9 million, partially offset by purchases of investments of $52.5 million.</w:t>
      </w:r>
    </w:p>
    <w:p>
      <w:pPr>
        <w:spacing w:after="0" w:line="154"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color w:val="auto"/>
        </w:rPr>
        <w:t>For the nine months ended September 30, 2024, net cash provided by investing activities was $11.3 million. This was primarily due to proceeds from maturity and sale of investments of $122.4 million, partially offset by purchases of investments of $107.6 million.</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Flows Used In Financing Activities</w:t>
      </w:r>
    </w:p>
    <w:p>
      <w:pPr>
        <w:spacing w:after="0" w:line="210" w:lineRule="exact"/>
        <w:rPr>
          <w:sz w:val="20"/>
          <w:szCs w:val="20"/>
          <w:color w:val="auto"/>
        </w:rPr>
      </w:pPr>
    </w:p>
    <w:p>
      <w:pPr>
        <w:ind w:left="120" w:right="260" w:firstLine="551"/>
        <w:spacing w:after="0" w:line="271" w:lineRule="auto"/>
        <w:rPr>
          <w:sz w:val="20"/>
          <w:szCs w:val="20"/>
          <w:color w:val="auto"/>
        </w:rPr>
      </w:pPr>
      <w:r>
        <w:rPr>
          <w:rFonts w:ascii="Arial" w:cs="Arial" w:eastAsia="Arial" w:hAnsi="Arial"/>
          <w:sz w:val="18"/>
          <w:szCs w:val="18"/>
          <w:color w:val="auto"/>
        </w:rPr>
        <w:t>Our financing activities during the periods presented consisted primarily of proceeds or repayments related to liabilities related to sale of commissions receivable as well as payments of deferred offering costs.</w:t>
      </w:r>
    </w:p>
    <w:p>
      <w:pPr>
        <w:spacing w:after="0" w:line="154" w:lineRule="exact"/>
        <w:rPr>
          <w:sz w:val="20"/>
          <w:szCs w:val="20"/>
          <w:color w:val="auto"/>
        </w:rPr>
      </w:pPr>
    </w:p>
    <w:p>
      <w:pPr>
        <w:ind w:left="120" w:right="240" w:firstLine="551"/>
        <w:spacing w:after="0" w:line="275" w:lineRule="auto"/>
        <w:rPr>
          <w:sz w:val="20"/>
          <w:szCs w:val="20"/>
          <w:color w:val="auto"/>
        </w:rPr>
      </w:pPr>
      <w:r>
        <w:rPr>
          <w:rFonts w:ascii="Arial" w:cs="Arial" w:eastAsia="Arial" w:hAnsi="Arial"/>
          <w:sz w:val="17"/>
          <w:szCs w:val="17"/>
          <w:color w:val="auto"/>
        </w:rPr>
        <w:t>For the nine months ended September 30, 2025, cash used in financing activities was $5.2 million, which primarily consisted of payments of deferred offering costs of $3.2 million and repayments of the liabilities related to the sale of commissions receivable of $7.8 million, partially offset by the sale of commissions receivable of $5.0 million and proceeds from exercise of stock options of $0.8 million.</w:t>
      </w:r>
    </w:p>
    <w:p>
      <w:pPr>
        <w:spacing w:after="0" w:line="152" w:lineRule="exact"/>
        <w:rPr>
          <w:sz w:val="20"/>
          <w:szCs w:val="20"/>
          <w:color w:val="auto"/>
        </w:rPr>
      </w:pPr>
    </w:p>
    <w:p>
      <w:pPr>
        <w:ind w:left="120" w:right="400" w:firstLine="551"/>
        <w:spacing w:after="0" w:line="271" w:lineRule="auto"/>
        <w:rPr>
          <w:sz w:val="20"/>
          <w:szCs w:val="20"/>
          <w:color w:val="auto"/>
        </w:rPr>
      </w:pPr>
      <w:r>
        <w:rPr>
          <w:rFonts w:ascii="Arial" w:cs="Arial" w:eastAsia="Arial" w:hAnsi="Arial"/>
          <w:sz w:val="18"/>
          <w:szCs w:val="18"/>
          <w:color w:val="auto"/>
        </w:rPr>
        <w:t>For the nine months ended September 30, 2024, cash used in financing activities was $1.2 million, which primarily consisted of repayments of the liabilities related to the sale of commissions receivable.</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Years Ended December 31, 2023 and 2024</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cash flow information for the periods presented:</w:t>
      </w:r>
    </w:p>
    <w:p>
      <w:pPr>
        <w:spacing w:after="0" w:line="248" w:lineRule="exact"/>
        <w:rPr>
          <w:sz w:val="20"/>
          <w:szCs w:val="20"/>
          <w:color w:val="auto"/>
        </w:rPr>
      </w:pPr>
    </w:p>
    <w:p>
      <w:pPr>
        <w:jc w:val="center"/>
        <w:ind w:left="886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6350</wp:posOffset>
            </wp:positionV>
            <wp:extent cx="12090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9" w:lineRule="exact"/>
        <w:rPr>
          <w:sz w:val="20"/>
          <w:szCs w:val="20"/>
          <w:color w:val="auto"/>
        </w:rPr>
      </w:pPr>
    </w:p>
    <w:p>
      <w:pPr>
        <w:ind w:left="9320"/>
        <w:spacing w:after="0"/>
        <w:tabs>
          <w:tab w:leader="none" w:pos="1046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20904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ind w:left="9560"/>
        <w:spacing w:after="0"/>
        <w:rPr>
          <w:sz w:val="20"/>
          <w:szCs w:val="20"/>
          <w:color w:val="auto"/>
        </w:rPr>
      </w:pPr>
      <w:r>
        <w:rPr>
          <w:rFonts w:ascii="Arial" w:cs="Arial" w:eastAsia="Arial" w:hAnsi="Arial"/>
          <w:sz w:val="14"/>
          <w:szCs w:val="14"/>
          <w:b w:val="1"/>
          <w:bCs w:val="1"/>
          <w:color w:val="auto"/>
        </w:rPr>
        <w:t>(in thousands)</w:t>
      </w:r>
    </w:p>
    <w:tbl>
      <w:tblPr>
        <w:tblLayout w:type="fixed"/>
        <w:tblInd w:w="120" w:type="dxa"/>
        <w:tblCellMar>
          <w:top w:w="0" w:type="dxa"/>
          <w:left w:w="0" w:type="dxa"/>
          <w:bottom w:w="0" w:type="dxa"/>
          <w:right w:w="0" w:type="dxa"/>
        </w:tblCellMar>
      </w:tblPr>
      <w:tr>
        <w:trPr>
          <w:trHeight w:val="203"/>
        </w:trPr>
        <w:tc>
          <w:tcPr>
            <w:tcW w:w="65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3440" w:type="dxa"/>
            <w:vAlign w:val="bottom"/>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$(37,124)</w:t>
            </w: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$(10,908)</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3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(9,159)</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(896)</w:t>
            </w: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 (used in) financing activities</w:t>
            </w:r>
          </w:p>
        </w:tc>
        <w:tc>
          <w:tcPr>
            <w:tcW w:w="34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(1,642)</w:t>
            </w:r>
          </w:p>
        </w:tc>
        <w:tc>
          <w:tcPr>
            <w:tcW w:w="10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21,857</w:t>
            </w:r>
          </w:p>
        </w:tc>
      </w:tr>
    </w:tbl>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Flows Used In Operating Activities</w:t>
      </w:r>
    </w:p>
    <w:p>
      <w:pPr>
        <w:spacing w:after="0" w:line="210" w:lineRule="exact"/>
        <w:rPr>
          <w:sz w:val="20"/>
          <w:szCs w:val="20"/>
          <w:color w:val="auto"/>
        </w:rPr>
      </w:pPr>
    </w:p>
    <w:p>
      <w:pPr>
        <w:ind w:left="120" w:right="100" w:firstLine="551"/>
        <w:spacing w:after="0" w:line="244" w:lineRule="auto"/>
        <w:rPr>
          <w:sz w:val="20"/>
          <w:szCs w:val="20"/>
          <w:color w:val="auto"/>
        </w:rPr>
      </w:pPr>
      <w:r>
        <w:rPr>
          <w:rFonts w:ascii="Arial" w:cs="Arial" w:eastAsia="Arial" w:hAnsi="Arial"/>
          <w:sz w:val="18"/>
          <w:szCs w:val="18"/>
          <w:color w:val="auto"/>
        </w:rPr>
        <w:t>For the year ended December 31, 2024, net cash used in operating activities was $10.9 million. This was driven primarily by net income of $48.8 million, non-cash expenses of $5.4 million related to depreciation and amortization, $3.9 million related to deferred taxes, and $3.2 million related to stock-based compensation, in addition to non-cash income of $ 3.1 million related to the amortization of discounts and premiums of investments. In addition, during the year ended December 31, 2024, significant changes in our operating assets and liabilities resulted from the following:</w:t>
      </w:r>
    </w:p>
    <w:p>
      <w:pPr>
        <w:spacing w:after="0" w:line="82" w:lineRule="exact"/>
        <w:rPr>
          <w:sz w:val="20"/>
          <w:szCs w:val="20"/>
          <w:color w:val="auto"/>
        </w:rPr>
      </w:pPr>
    </w:p>
    <w:p>
      <w:pPr>
        <w:ind w:left="880" w:right="780" w:hanging="224"/>
        <w:spacing w:after="0" w:line="271"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 in long-term commissions receivable of $53.9 million due to an increase in the commissions owed to us by the insurance carriers.</w:t>
      </w:r>
    </w:p>
    <w:p>
      <w:pPr>
        <w:spacing w:after="0" w:line="59" w:lineRule="exact"/>
        <w:rPr>
          <w:rFonts w:ascii="Arial" w:cs="Arial" w:eastAsia="Arial" w:hAnsi="Arial"/>
          <w:sz w:val="18"/>
          <w:szCs w:val="18"/>
          <w:color w:val="auto"/>
        </w:rPr>
      </w:pPr>
    </w:p>
    <w:p>
      <w:pPr>
        <w:ind w:left="880" w:right="440" w:hanging="224"/>
        <w:spacing w:after="0" w:line="271"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 in prepaid and other assets of $23.9 million due primarily to growth in expected clawbacks from payments made to agents for policies sold.</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5"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 in accounts receivable of $13.6 million due primarily to 77% growth in activated policies.</w:t>
      </w:r>
    </w:p>
    <w:p>
      <w:pPr>
        <w:spacing w:after="0" w:line="117" w:lineRule="exact"/>
        <w:rPr>
          <w:rFonts w:ascii="Arial" w:cs="Arial" w:eastAsia="Arial" w:hAnsi="Arial"/>
          <w:sz w:val="18"/>
          <w:szCs w:val="18"/>
          <w:color w:val="auto"/>
        </w:rPr>
      </w:pPr>
    </w:p>
    <w:p>
      <w:pPr>
        <w:ind w:left="880" w:hanging="224"/>
        <w:spacing w:after="0" w:line="271"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 in accounts payable of $12.7 million due primarily to increase in expected commissions to be paid to carriers as a result of clawbacks.</w:t>
      </w:r>
    </w:p>
    <w:p>
      <w:pPr>
        <w:spacing w:after="0" w:line="59" w:lineRule="exact"/>
        <w:rPr>
          <w:rFonts w:ascii="Arial" w:cs="Arial" w:eastAsia="Arial" w:hAnsi="Arial"/>
          <w:sz w:val="18"/>
          <w:szCs w:val="18"/>
          <w:color w:val="auto"/>
        </w:rPr>
      </w:pPr>
    </w:p>
    <w:p>
      <w:pPr>
        <w:ind w:left="880" w:right="600" w:hanging="224"/>
        <w:spacing w:after="0" w:line="271"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 in other current liabilities of $12.4 million due primarily to a reclassification of contract asset balances to contract liabilities.</w:t>
      </w:r>
    </w:p>
    <w:p>
      <w:pPr>
        <w:spacing w:after="0" w:line="154" w:lineRule="exact"/>
        <w:rPr>
          <w:sz w:val="20"/>
          <w:szCs w:val="20"/>
          <w:color w:val="auto"/>
        </w:rPr>
      </w:pPr>
    </w:p>
    <w:p>
      <w:pPr>
        <w:ind w:left="120" w:right="40" w:firstLine="551"/>
        <w:spacing w:after="0" w:line="266" w:lineRule="auto"/>
        <w:rPr>
          <w:sz w:val="20"/>
          <w:szCs w:val="20"/>
          <w:color w:val="auto"/>
        </w:rPr>
      </w:pPr>
      <w:r>
        <w:rPr>
          <w:rFonts w:ascii="Arial" w:cs="Arial" w:eastAsia="Arial" w:hAnsi="Arial"/>
          <w:sz w:val="17"/>
          <w:szCs w:val="17"/>
          <w:color w:val="auto"/>
        </w:rPr>
        <w:t>For the year ended December 31, 2023, cash used in operating activities was $37.1 million. This was driven primarily by net income of $1.7 million, non-cash expenses of $5.7 million related to depreciation and amortization, an increase in commissions receivable of $29.1 million relating to an increase in volume of activated policies sold in the year ended December 31, 2023, $3.6 million related to stock-based compensation, and non-cash income of $3.6 million related to the amortization of discounts and premiums of investments.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210"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Our primary investing activities during the periods presented included purchases, sales and maturities of short-term and long-term investments.</w:t>
      </w:r>
    </w:p>
    <w:p>
      <w:pPr>
        <w:spacing w:after="0" w:line="154"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color w:val="auto"/>
        </w:rPr>
        <w:t>For the year ended December 31, 2024, net cash used in investing activities was $0.9 million. This was primarily due to purchases of investments of $154.7 million offset by proceeds from maturity and sale of investments of $158.4 million.</w:t>
      </w:r>
    </w:p>
    <w:p>
      <w:pPr>
        <w:spacing w:after="0" w:line="154"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color w:val="auto"/>
        </w:rPr>
        <w:t>For the year ended December 31, 2023, net cash used in investing activities was $9.2 million. This was primarily due to purchases of investments of $154.2 million offset by proceeds from maturity and sale of investments of $149.9 million.</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Flows Provided By / (Used In) Financing Activities</w:t>
      </w:r>
    </w:p>
    <w:p>
      <w:pPr>
        <w:spacing w:after="0" w:line="210" w:lineRule="exact"/>
        <w:rPr>
          <w:sz w:val="20"/>
          <w:szCs w:val="20"/>
          <w:color w:val="auto"/>
        </w:rPr>
      </w:pPr>
    </w:p>
    <w:p>
      <w:pPr>
        <w:ind w:left="120" w:right="220" w:firstLine="551"/>
        <w:spacing w:after="0" w:line="271" w:lineRule="auto"/>
        <w:rPr>
          <w:sz w:val="20"/>
          <w:szCs w:val="20"/>
          <w:color w:val="auto"/>
        </w:rPr>
      </w:pPr>
      <w:r>
        <w:rPr>
          <w:rFonts w:ascii="Arial" w:cs="Arial" w:eastAsia="Arial" w:hAnsi="Arial"/>
          <w:sz w:val="18"/>
          <w:szCs w:val="18"/>
          <w:color w:val="auto"/>
        </w:rPr>
        <w:t>Our financing activities during the periods presented consisted primarily of proceeds or repayments related to liabilities related to sale of commissions receivable.</w:t>
      </w:r>
    </w:p>
    <w:p>
      <w:pPr>
        <w:spacing w:after="0" w:line="154"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For the year ended December 31, 2024, cash provided by financing activities was $21.9 million, which primarily consisted of proceeds from the sale of commissions receivable of $23.6 million, offset by repayments of the liabilities related to the sale of commissions receivable of $1.9 million. In December 2024, we sold a portion of our commissions receivable to an unaffiliated third party re-insurer for upfront cash, as further described in Note 11 to our consolidated financial statements included elsewhere in this prospectus. We may consider entering into such arrangements in the future depending on our capital and business needs.</w:t>
      </w:r>
    </w:p>
    <w:p>
      <w:pPr>
        <w:spacing w:after="0" w:line="176" w:lineRule="exact"/>
        <w:rPr>
          <w:sz w:val="20"/>
          <w:szCs w:val="20"/>
          <w:color w:val="auto"/>
        </w:rPr>
      </w:pPr>
    </w:p>
    <w:p>
      <w:pPr>
        <w:ind w:left="120" w:right="920" w:firstLine="551"/>
        <w:spacing w:after="0" w:line="271" w:lineRule="auto"/>
        <w:rPr>
          <w:sz w:val="20"/>
          <w:szCs w:val="20"/>
          <w:color w:val="auto"/>
        </w:rPr>
      </w:pPr>
      <w:r>
        <w:rPr>
          <w:rFonts w:ascii="Arial" w:cs="Arial" w:eastAsia="Arial" w:hAnsi="Arial"/>
          <w:sz w:val="18"/>
          <w:szCs w:val="18"/>
          <w:color w:val="auto"/>
        </w:rPr>
        <w:t>For the year ended December 31, 2023, cash used in financing activities was $(1.6) million, which primarily consisted of repayments of the liabilities related to the sale of commissions receivable.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4" w:lineRule="exact"/>
        <w:rPr>
          <w:sz w:val="20"/>
          <w:szCs w:val="20"/>
          <w:color w:val="auto"/>
        </w:rPr>
      </w:pPr>
    </w:p>
    <w:p>
      <w:pPr>
        <w:ind w:left="120" w:right="380" w:firstLine="551"/>
        <w:spacing w:after="0" w:line="253" w:lineRule="auto"/>
        <w:rPr>
          <w:sz w:val="20"/>
          <w:szCs w:val="20"/>
          <w:color w:val="auto"/>
        </w:rPr>
      </w:pPr>
      <w:r>
        <w:rPr>
          <w:rFonts w:ascii="Arial" w:cs="Arial" w:eastAsia="Arial" w:hAnsi="Arial"/>
          <w:sz w:val="18"/>
          <w:szCs w:val="18"/>
          <w:color w:val="auto"/>
        </w:rPr>
        <w:t>Our operating lease commitments primarily include corporate offices. As of September 30, 2025, we had fixed lease payment obligations of $2.8 million, with $1.2 million to be paid within 12 months and the remainder thereafter. For additional discussion on our operating leases, see Note 10 to our audited consolidated financial statements included elsewhere in this prospectus.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04" w:lineRule="exact"/>
        <w:rPr>
          <w:sz w:val="20"/>
          <w:szCs w:val="20"/>
          <w:color w:val="auto"/>
        </w:rPr>
      </w:pPr>
    </w:p>
    <w:p>
      <w:pPr>
        <w:ind w:left="120" w:right="160" w:firstLine="551"/>
        <w:spacing w:after="0" w:line="25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long-term borrowings as of September 30, 2025.</w:t>
      </w:r>
    </w:p>
    <w:p>
      <w:pPr>
        <w:spacing w:after="0" w:line="212" w:lineRule="exact"/>
        <w:rPr>
          <w:sz w:val="20"/>
          <w:szCs w:val="20"/>
          <w:color w:val="auto"/>
        </w:rPr>
      </w:pPr>
    </w:p>
    <w:p>
      <w:pPr>
        <w:ind w:left="120" w:right="120" w:firstLine="551"/>
        <w:spacing w:after="0" w:line="253" w:lineRule="auto"/>
        <w:rPr>
          <w:sz w:val="20"/>
          <w:szCs w:val="20"/>
          <w:color w:val="auto"/>
        </w:rPr>
      </w:pPr>
      <w:r>
        <w:rPr>
          <w:rFonts w:ascii="Arial" w:cs="Arial" w:eastAsia="Arial" w:hAnsi="Arial"/>
          <w:sz w:val="18"/>
          <w:szCs w:val="18"/>
          <w:color w:val="auto"/>
        </w:rPr>
        <w:t>We invest our excess cash primarily in commercial paper and money market accounts. Our current investment strategy seeks first to preserve principal, second to provide liquidity for our operating and capital needs and third to maximize yield without putting our principal at risk.</w:t>
      </w:r>
    </w:p>
    <w:p>
      <w:pPr>
        <w:spacing w:after="0" w:line="169"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Our investments are exposed to market risk due to the fluctuation of prevailing interest rates that may reduce the yield on our investments or their fair value. We do not believe an immediate 10% increase in interest rates would have a material effect on the fair market value of our portfolio, and therefore we do not expect our results of operations or cash flows to be materially affected to any degree by a sudden change in market interest rates.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1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functional currencies of our foreign subsidiaries are the respective local currencies. Substantially all of our sales are denominated in U.S. dollars, and therefore our revenue is not currently subject to any significant foreign currency risk. Our operating expenses are denominated in the currencies of the countries in which our operations are located, which are primarily in the United States, Singapore and India. Our consolidated results of operations and cash flows are, therefore, subject to fluctuations due to changes in foreign currency exchange rates and may be adversely affected in the future due to changes in foreign currency exchange rates. To date, we have not entered into any hedging arrangements with respect to foreign currency risk or other derivative financial instruments. We do not believe a hypothetical 10% increase or decrease in the relative value of the U.S. dollar to other currencies would have a material effect on our operating results.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4" w:lineRule="exact"/>
        <w:rPr>
          <w:sz w:val="20"/>
          <w:szCs w:val="20"/>
          <w:color w:val="auto"/>
        </w:rPr>
      </w:pPr>
    </w:p>
    <w:p>
      <w:pPr>
        <w:ind w:left="120" w:right="140" w:firstLine="551"/>
        <w:spacing w:after="0" w:line="239" w:lineRule="auto"/>
        <w:rPr>
          <w:sz w:val="20"/>
          <w:szCs w:val="20"/>
          <w:color w:val="auto"/>
        </w:rPr>
      </w:pPr>
      <w:r>
        <w:rPr>
          <w:rFonts w:ascii="Arial" w:cs="Arial" w:eastAsia="Arial" w:hAnsi="Arial"/>
          <w:sz w:val="18"/>
          <w:szCs w:val="18"/>
          <w:color w:val="auto"/>
        </w:rPr>
        <w:t>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and the amount of revenue and expenses that are not readily apparent from other sources. Actual results may differ from these estimates under different assumptions or conditions, and any such differences may be material. We believe that of our significant accounting policies, which are described in Note 2 to our consolidated financial statements included elsewhere in this prospectus, the following accounting policies involve a greater degree of judgment and complexity. Accordingly, these are the policies we believe are the most critical to aid in fully understanding and evaluating our consolidated financial condition, results of operations, and cash flows.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2" w:lineRule="exact"/>
        <w:rPr>
          <w:sz w:val="20"/>
          <w:szCs w:val="20"/>
          <w:color w:val="auto"/>
        </w:rPr>
      </w:pPr>
    </w:p>
    <w:p>
      <w:pPr>
        <w:ind w:left="120" w:right="260" w:firstLine="551"/>
        <w:spacing w:after="0" w:line="271" w:lineRule="auto"/>
        <w:rPr>
          <w:sz w:val="20"/>
          <w:szCs w:val="20"/>
          <w:color w:val="auto"/>
        </w:rPr>
      </w:pPr>
      <w:r>
        <w:rPr>
          <w:rFonts w:ascii="Arial" w:cs="Arial" w:eastAsia="Arial" w:hAnsi="Arial"/>
          <w:sz w:val="18"/>
          <w:szCs w:val="18"/>
          <w:color w:val="auto"/>
        </w:rPr>
        <w:t>Revenue is recognized when control of the promised goods or services is transferred to the customer, in the amount that reflects the consideration we expect to receive in exchange for those goods or services.</w:t>
      </w:r>
    </w:p>
    <w:p>
      <w:pPr>
        <w:spacing w:after="0" w:line="154"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Our revenue comes in the form of commissions paid to us by insurance carriers for the provision of placement and TPA services. We recognize revenue when a customer obtains control of promised goods or services and recognizes an amount that reflects the consideration that an entity expects to receive in exchange for those goods or services. We apply the following five step model in order to determine this amount: (i) identification of the contract with a customer; (ii) identification of the performance obligations in the contract,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w:t>
      </w:r>
    </w:p>
    <w:p>
      <w:pPr>
        <w:spacing w:after="0" w:line="185"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Our primary customers are the insurance carriers that it contracts with to provide placement and/or TPA services through direct and indirect sales channels, related to consumers and partnerships with insurance agencies, respectively. We earn commissions for first year and renewal policies from the insurance carriers for both placement and TPA services. The contracts with the insurance carriers are non-exclusive and can typically be terminated unilaterally by either party. We review individual contracts to determine our legal and enforceable rights to renewal commissions upon contract termination when determining variable consideration.</w:t>
      </w:r>
    </w:p>
    <w:p>
      <w:pPr>
        <w:spacing w:after="0" w:line="176"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We review each contract with customers to determine what promises we must deliver and which of these promises are capable of being distinct and are distinct in the context of the contract. The delivery of new policyholders to the insurance carriers is the only material promise specified within the contracts. After a policy is sold, we have no material additional or recurring obligations to the policyholder or the insurance carrier.</w:t>
      </w:r>
    </w:p>
    <w:p>
      <w:pPr>
        <w:spacing w:after="0" w:line="174"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color w:val="auto"/>
        </w:rPr>
        <w:t>Our contracts do not include downstream policyholder activities such as claims support or payment collection services. While the primary promise is the sale of policies, some contracts include the promise to provide TPA services to policyholders on behalf of the insurance carrier such as responding to policyholder inquiries regarding coverage or providing proof of insurance. We have reviewed and do not have any material ongoing costs for the provision of insurance placement or TPA services. As a result, for a given policy, our performance obligation to insurance carriers is met upon the issuance and activation of an insurance policy.</w:t>
      </w:r>
    </w:p>
    <w:p>
      <w:pPr>
        <w:spacing w:after="0" w:line="176" w:lineRule="exact"/>
        <w:rPr>
          <w:sz w:val="20"/>
          <w:szCs w:val="20"/>
          <w:color w:val="auto"/>
        </w:rPr>
      </w:pPr>
    </w:p>
    <w:p>
      <w:pPr>
        <w:jc w:val="both"/>
        <w:ind w:left="120" w:right="300" w:firstLine="551"/>
        <w:spacing w:after="0" w:line="244" w:lineRule="auto"/>
        <w:rPr>
          <w:sz w:val="20"/>
          <w:szCs w:val="20"/>
          <w:color w:val="auto"/>
        </w:rPr>
      </w:pPr>
      <w:r>
        <w:rPr>
          <w:rFonts w:ascii="Arial" w:cs="Arial" w:eastAsia="Arial" w:hAnsi="Arial"/>
          <w:sz w:val="18"/>
          <w:szCs w:val="18"/>
          <w:color w:val="auto"/>
        </w:rPr>
        <w:t>The transaction price is the amount of consideration we expect to be entitled to in exchange for transferring promised goods or services to a customer. The transaction price is identified as the first year commission due upon the initial sale of a policy as well as an estimate of renewal commissions. The estimates of renewal commissions are considered variable consideration and require significant judgment including determining the number of periods in which a renewal will occur and the value of those renewal commissions to be received if renewed.</w:t>
      </w:r>
    </w:p>
    <w:p>
      <w:pPr>
        <w:spacing w:after="0" w:line="176" w:lineRule="exact"/>
        <w:rPr>
          <w:sz w:val="20"/>
          <w:szCs w:val="20"/>
          <w:color w:val="auto"/>
        </w:rPr>
      </w:pPr>
    </w:p>
    <w:p>
      <w:pPr>
        <w:ind w:left="120" w:right="180" w:firstLine="551"/>
        <w:spacing w:after="0" w:line="242" w:lineRule="auto"/>
        <w:rPr>
          <w:sz w:val="20"/>
          <w:szCs w:val="20"/>
          <w:color w:val="auto"/>
        </w:rPr>
      </w:pPr>
      <w:r>
        <w:rPr>
          <w:rFonts w:ascii="Arial" w:cs="Arial" w:eastAsia="Arial" w:hAnsi="Arial"/>
          <w:sz w:val="18"/>
          <w:szCs w:val="18"/>
          <w:color w:val="auto"/>
        </w:rPr>
        <w:t>For renewal commissions, we utilize the expected value approach. This approach is based on persistency to estimate renewal commissions at the time of policy activations considering historical data and performance, and we recognize adjustments in revenue for differences in actual commissions received versus persistency estimates. Our persistency estimates incorporate a combination of historical lapse and performance of the placed policy, available insurance carrier experience data, historical payment data by distribution channel, and insurance carrier to estimate forecasted renewal consideration and constrain revenue recognized to the extent that it is probable that a significant reversal in the amount of cumulative revenue recognized will not occur. The uncertainty associated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with the variable consideration related to each periodic policy renewal is subsequently resolved when the policy renews, and adjustments in variable consideration are recognized in the period incurred.</w:t>
      </w:r>
    </w:p>
    <w:p>
      <w:pPr>
        <w:spacing w:after="0" w:line="154" w:lineRule="exact"/>
        <w:rPr>
          <w:sz w:val="20"/>
          <w:szCs w:val="20"/>
          <w:color w:val="auto"/>
        </w:rPr>
      </w:pPr>
    </w:p>
    <w:p>
      <w:pPr>
        <w:ind w:left="120" w:firstLine="551"/>
        <w:spacing w:after="0" w:line="266" w:lineRule="auto"/>
        <w:rPr>
          <w:sz w:val="20"/>
          <w:szCs w:val="20"/>
          <w:color w:val="auto"/>
        </w:rPr>
      </w:pPr>
      <w:r>
        <w:rPr>
          <w:rFonts w:ascii="Arial" w:cs="Arial" w:eastAsia="Arial" w:hAnsi="Arial"/>
          <w:sz w:val="17"/>
          <w:szCs w:val="17"/>
          <w:color w:val="auto"/>
        </w:rPr>
        <w:t>We recognize all commissions expected to be received over the expected life of the insurance policy at the policy effective date which is when it has completed its performance obligation for both placement and TPA services. At the policy effective date, we apply its management estimate of policyholder persistency; the attrition rate of policy holders who cease to maintain their insurance policy, due to cancellation or mortality, and accrues a churn reserve based on industry data and our experience in the industry and with different carriers.</w:t>
      </w:r>
    </w:p>
    <w:p>
      <w:pPr>
        <w:spacing w:after="0" w:line="159"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We continuously evaluate the assumptions and inputs into its calculation of renewal commissions. As a result of these continuous evaluations, we recognize adjustments for revenue from prior periods when the cash collections are different from the estimated constrained renewal commissions. These adjustments are a result of a change in estimate of expected cash collections when actual cash collections differ from the estimated constrained renewal commissions for the revenue recognized at the time of approval. These adjustments can be positive or negative and are recognized using actual experience from policy renewals.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Commissions Receivable</w:t>
      </w:r>
    </w:p>
    <w:p>
      <w:pPr>
        <w:spacing w:after="0" w:line="102"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The estimated variable consideration related to performance obligations that have been satisfied but for which payment is not yet due is classified as commissions receivable. Commissions receivable are contract assets and are reclassified as accounts receivable when the rights to payment become unconditional (upon renewal of the underlying policy). Commissions receivable represent the variable consideration for policies that have not renewed yet and therefore are subject to the same assumptions, judgments, and estimates used when recognizing revenue as noted above.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Liabilities Related to Sale of Commissions Receivable</w:t>
      </w:r>
    </w:p>
    <w:p>
      <w:pPr>
        <w:spacing w:after="0" w:line="102"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From time to time, we enter into agreements to sell a portion of our commissions receivable. We account for the sale of future rights to commissions from insurance carriers as debt, amortized under the effective interest method. We have elected to use the prospective method in the calculation of the effective interest rate and will update this calculation quarterly when there are changes in the projected cash flows. The amortization of the liabilities is based on our current estimates of future commission payments, which represents the variable consideration for policies that have not renewed yet and therefore are subject to the same assumptions, judgments and estimates used when recognizing revenue as noted above.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2" w:lineRule="exact"/>
        <w:rPr>
          <w:sz w:val="20"/>
          <w:szCs w:val="20"/>
          <w:color w:val="auto"/>
        </w:rPr>
      </w:pPr>
    </w:p>
    <w:p>
      <w:pPr>
        <w:ind w:left="120" w:right="60" w:firstLine="551"/>
        <w:spacing w:after="0" w:line="257" w:lineRule="auto"/>
        <w:rPr>
          <w:sz w:val="20"/>
          <w:szCs w:val="20"/>
          <w:color w:val="auto"/>
        </w:rPr>
      </w:pPr>
      <w:r>
        <w:rPr>
          <w:rFonts w:ascii="Arial" w:cs="Arial" w:eastAsia="Arial" w:hAnsi="Arial"/>
          <w:sz w:val="17"/>
          <w:szCs w:val="17"/>
          <w:color w:val="auto"/>
        </w:rPr>
        <w:t>We measure and recognize our stock-based compensation expense for stock options based on the estimated fair value of the award. We use the Black-Scholes-Merton pricing model to determine the grant date fair value of stock options. For awards with service conditions only, stock-based compensation expense is recognized on a straight-line basis over the requisite service period of the awards, which is generally the vesting period. For awards with both a time and liquidity event condition, stock-based compensation expense is recognized using the accelerated-attribution method over the estimated vesting period of the awards if and when we conclude that it is probable that the liquidity event condition will be achieved. We reassess the probability of vesting at each reporting period for awards with liquidity event conditions and adjust compensation expense based on its probability assessment. We account for forfeitures as they occur.</w:t>
      </w:r>
    </w:p>
    <w:p>
      <w:pPr>
        <w:spacing w:after="0" w:line="168"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We measure and recognize our stock-based compensation expense for RSUs based on the estimated fair value of the underlying common stock on the date of grant. Our RSUs vest upon the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auto"/>
        </w:rPr>
        <w:t>satisfaction of both a time and liquidity event condition. We recognize compensation expense for awards with both a time and liquidity event condition on a straight-line basis over the requisite service period for each separately vesting portion of the award and, for awards with liquidity event conditions, when we conclude it is probable that the liquidity event condition will be achieved. We reassess the probability of vesting at each balance sheet date and adjust compensation expense based on the probability assessment.</w:t>
      </w:r>
    </w:p>
    <w:p>
      <w:pPr>
        <w:spacing w:after="0" w:line="174"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We continue to use judgment in evaluating the expected volatility and expected term utilized in our stock-based compensation expense calculation on a prospective basis. As we continue to accumulate additional data related to our common stock, we may refine our estimates of expected volatility and expected term, which could materially impact our future stock-based compensation expense.</w:t>
      </w:r>
    </w:p>
    <w:p>
      <w:pPr>
        <w:spacing w:after="0" w:line="169"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As of September 30, 2025, total unrecognized stock-based compensation cost related to unvested RSUs was $92.1 million, which is expected to be recognized over a weighted-average period of 2.01 years. Following the completion of this offering, stock-based compensation expense related to our RSUs will result in increases in our expenses in future periods, in particular the quarter in which this offering is completed for RSUs for which the service-based vesting condition will be fully or partially satisfied and for which the liquidity event condition will be satisfied upon the effectiveness of the registration statement of which this prospectus forms a part.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After the closing of this offering, based on RSUs outstanding as of September 30, 2025, we expect that approximately             ,</w:t>
      </w:r>
    </w:p>
    <w:p>
      <w:pPr>
        <w:spacing w:after="0" w:line="14" w:lineRule="exact"/>
        <w:rPr>
          <w:sz w:val="20"/>
          <w:szCs w:val="20"/>
          <w:color w:val="auto"/>
        </w:rPr>
      </w:pPr>
    </w:p>
    <w:p>
      <w:pPr>
        <w:ind w:left="120" w:right="320" w:hanging="4"/>
        <w:spacing w:after="0" w:line="242" w:lineRule="auto"/>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 and         RSUs will satisfy their service-based vesting conditions by each of         ,         , and         , respectively, assuming no forfeitures. We may delay the settlement of certain of these vested RSUs until after the expiration of lock-up agreements and market stand-off provisions described elsewhere in this prospectus.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Common Stock Valuations</w:t>
      </w:r>
    </w:p>
    <w:p>
      <w:pPr>
        <w:spacing w:after="0" w:line="102"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7"/>
          <w:szCs w:val="17"/>
          <w:color w:val="auto"/>
        </w:rPr>
        <w:t>Since June 2018, we have obtained periodic valuation analyses prepared by independent third-party valuation firms to assist us with the determination of the fair value of our common stock. The valuation firms utilized approaches and methodologies consistent with the American Institute of Certified Public Accountants Practice Aid, Valuation of Privately-Held-Company Equity Securities Issued as Compensation and information provided by our management, including historical and projected financial statements, prospects and risks, our performance, various corporate documents, capitalization, and economic and financial market conditions. The third-party valuation firms also utilized other economic, industry, and market information obtained from other resources considered reliable. The valuation analyses were reviewed by management and the board of directors in conjunction with stock-based compensation grants. Management and our board of directors have considered these valuation analyses and other qualitative and quantitative factors to determine the best estimate of the fair value of our common stock at each stock option, RSU, or warrant grant date. These factors included:</w:t>
      </w:r>
    </w:p>
    <w:p>
      <w:pPr>
        <w:spacing w:after="0" w:line="75" w:lineRule="exact"/>
        <w:rPr>
          <w:sz w:val="20"/>
          <w:szCs w:val="20"/>
          <w:color w:val="auto"/>
        </w:rPr>
      </w:pPr>
    </w:p>
    <w:p>
      <w:pPr>
        <w:ind w:left="880" w:right="460" w:hanging="224"/>
        <w:spacing w:after="0" w:line="271"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results of contemporaneous valuations of our common stock at periodic intervals, performed by independent third-party specialists;</w:t>
      </w:r>
    </w:p>
    <w:p>
      <w:pPr>
        <w:spacing w:after="0" w:line="59" w:lineRule="exact"/>
        <w:rPr>
          <w:rFonts w:ascii="Arial" w:cs="Arial" w:eastAsia="Arial" w:hAnsi="Arial"/>
          <w:sz w:val="18"/>
          <w:szCs w:val="18"/>
          <w:color w:val="auto"/>
        </w:rPr>
      </w:pPr>
    </w:p>
    <w:p>
      <w:pPr>
        <w:ind w:left="880" w:right="480" w:hanging="224"/>
        <w:spacing w:after="0" w:line="271"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prices, right, preferences, and privileges of our redeemable convertible preferred stock relative to those of our common stock;</w:t>
      </w:r>
    </w:p>
    <w:p>
      <w:pPr>
        <w:spacing w:after="0" w:line="59" w:lineRule="exact"/>
        <w:rPr>
          <w:rFonts w:ascii="Arial" w:cs="Arial" w:eastAsia="Arial" w:hAnsi="Arial"/>
          <w:sz w:val="18"/>
          <w:szCs w:val="18"/>
          <w:color w:val="auto"/>
        </w:rPr>
      </w:pPr>
    </w:p>
    <w:p>
      <w:pPr>
        <w:ind w:left="880" w:right="580" w:hanging="224"/>
        <w:spacing w:after="0" w:line="271"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prices paid for redeemable convertible preferred stock sold to third-party investors by our Company and prices paid in secondary transactions for shares repurchased by us in arm’s-length transactions, including any tender offers;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actual operating and financial results;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5" w:right="4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current business conditions and projections;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our management;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operational, financial, and market performance of companies considered comparable to our Company;</w:t>
      </w:r>
    </w:p>
    <w:p>
      <w:pPr>
        <w:spacing w:after="0" w:line="117" w:lineRule="exact"/>
        <w:rPr>
          <w:rFonts w:ascii="Arial" w:cs="Arial" w:eastAsia="Arial" w:hAnsi="Arial"/>
          <w:sz w:val="18"/>
          <w:szCs w:val="18"/>
          <w:color w:val="auto"/>
        </w:rPr>
      </w:pPr>
    </w:p>
    <w:p>
      <w:pPr>
        <w:ind w:left="880" w:right="180" w:hanging="224"/>
        <w:spacing w:after="0" w:line="271"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likelihood of achieving certain liquidity events, such as a sale or merger or initial public offering, or IPO, given prevailing market conditions; and</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U.S. and global capital market conditions.</w:t>
      </w:r>
    </w:p>
    <w:p>
      <w:pPr>
        <w:spacing w:after="0" w:line="212" w:lineRule="exact"/>
        <w:rPr>
          <w:sz w:val="20"/>
          <w:szCs w:val="20"/>
          <w:color w:val="auto"/>
        </w:rPr>
      </w:pPr>
    </w:p>
    <w:p>
      <w:pPr>
        <w:ind w:left="120" w:right="180" w:firstLine="551"/>
        <w:spacing w:after="0" w:line="253" w:lineRule="auto"/>
        <w:rPr>
          <w:sz w:val="20"/>
          <w:szCs w:val="20"/>
          <w:color w:val="auto"/>
        </w:rPr>
      </w:pPr>
      <w:r>
        <w:rPr>
          <w:rFonts w:ascii="Arial" w:cs="Arial" w:eastAsia="Arial" w:hAnsi="Arial"/>
          <w:sz w:val="18"/>
          <w:szCs w:val="18"/>
          <w:color w:val="auto"/>
        </w:rPr>
        <w:t>The valuation analyses employed market and income approaches to estimate our enterprise value and allocated our enterprise value among our various equity classes utilizing option pricing, or OPM, and probability-weighted expected return, or PWERM, methods. The valuation analyses were based on contemporaneous information as of each respective valuation date.</w:t>
      </w:r>
    </w:p>
    <w:p>
      <w:pPr>
        <w:spacing w:after="0" w:line="169"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Under the income approach, specifically the discounted cash flow, or DCF method, forecast cash flows are discounted to the present value at a risk-adjusted discount rate. The valuation analyses determine discrete free cash flows over several years based on forecast financial information provided by our management and a terminal value for the residual period beyond the discrete forecast, which are discounted at our estimated weighted average cost of capital to estimate our enterprise value.</w:t>
      </w:r>
    </w:p>
    <w:p>
      <w:pPr>
        <w:spacing w:after="0" w:line="17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Under the market approach, the guideline public company method and subject company transaction method were considered. The guideline public company method involves selecting publicly traded companies with similar financial and operating characteristics as us and calculating valuation multiples based on the guideline public company’s financial information and market data. Based on the observed valuation multiples, an appropriate multiple was selected to apply to our financial statistics. The same set of guideline public companies was utilized for both the common stock valuation and the expected volatility estimate for the valuation of the stock-based compensation awards. The subject company transaction method involves the utilization of a company’s own relevant stock transactions, such as a preferred stock issuance, to calculate the enterprise value based on the transaction price of the stock.</w:t>
      </w:r>
    </w:p>
    <w:p>
      <w:pPr>
        <w:spacing w:after="0" w:line="185"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After determining an estimate of the fair value of the enterprise, the valuation analyses allocated the enterprise value among the equity classes outstanding at each valuation date utilizing the OPM, specifically the Black-Scholes-Merton option pricing model. The OPM requires inputs for the exercise price, term, expected volatility, and risk-free rate. The exercise prices were calculated based on the enterprise values at which the equity classes either begin or stop participating in the next incremental enterprise value, which were determined based on the liquidation preferences and conversion rights of each equity class. The term was the estimated time to a liquidity event, such as a sale or merger or IPO, which was determined based on information provided by our management and outside research. The expected volatility for the enterprise was estimated based on a historical analysis of publicly traded companies with similar financial and operating characteristics as us and consideration of the relative differences between us and the selected comparable companies, such as stage of development, earning margins, leverage, and other risk factors. The risk-free rates were based on U.S. treasury securities with terms to maturity consistent with the estimated time to a liquidity event.</w:t>
      </w:r>
    </w:p>
    <w:p>
      <w:pPr>
        <w:spacing w:after="0" w:line="180"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color w:val="auto"/>
        </w:rPr>
        <w:t>The PWERM was utilized starting on May 31, 2024, which was determined to be appropriate given the expectation of a liquidity event in the near-term (approximately zero to two years) and a more discrete distribution of likely liquidity events. Under the PWERM, the fair value of common stock is estimated based on likely liquidity event scenarios. For each identified liquidity scenario, it is necessary to estimate the timing to a liquidity event, future enterprise value, probability of occurrence, and risk-adjusted discount rate. The valuation analyses estimated the future enterprise values utilizing the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guideline public company method and information provided by our management. The timing to each liquidity event and the probability of occurrence were estimated based on information provided by our management and outside research. The risk-adjusted discount rates were estimated based on market data and outside research of required rates of return for companies at a similar stage of development and risk factors. The future enterprise values under each scenario were allocated to the various equity classes based on the liquidation preferences and conversion rights of each equity class. The future values for each equity class under each scenario were discounted to a present value at the selected risk-adjusted discount rate. The present values under each scenario were probability-weighted to determine the value of common stock before applicable discounts.</w:t>
      </w:r>
    </w:p>
    <w:p>
      <w:pPr>
        <w:spacing w:after="0" w:line="185"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After obtaining the value allocated to the common stock under either the OPM or PWERM, a discount was considered to adjust for the fact that a share of common stock is a minority, non-marketable interest. The discounts are determined based on qualitative and quantitative analyses.</w:t>
      </w:r>
    </w:p>
    <w:p>
      <w:pPr>
        <w:spacing w:after="0" w:line="169" w:lineRule="exact"/>
        <w:rPr>
          <w:sz w:val="20"/>
          <w:szCs w:val="20"/>
          <w:color w:val="auto"/>
        </w:rPr>
      </w:pPr>
    </w:p>
    <w:p>
      <w:pPr>
        <w:ind w:left="120" w:right="520" w:firstLine="551"/>
        <w:spacing w:after="0" w:line="271" w:lineRule="auto"/>
        <w:rPr>
          <w:sz w:val="20"/>
          <w:szCs w:val="20"/>
          <w:color w:val="auto"/>
        </w:rPr>
      </w:pPr>
      <w:r>
        <w:rPr>
          <w:rFonts w:ascii="Arial" w:cs="Arial" w:eastAsia="Arial" w:hAnsi="Arial"/>
          <w:sz w:val="18"/>
          <w:szCs w:val="18"/>
          <w:color w:val="auto"/>
        </w:rPr>
        <w:t>We derived the estimated fair value per share as of each grant date by applying a linear proration of fair values between the valuation performed immediately prior to each set of grants and the valuation performed after each set of grants.</w:t>
      </w:r>
    </w:p>
    <w:p>
      <w:pPr>
        <w:spacing w:after="0" w:line="154" w:lineRule="exact"/>
        <w:rPr>
          <w:sz w:val="20"/>
          <w:szCs w:val="20"/>
          <w:color w:val="auto"/>
        </w:rPr>
      </w:pPr>
    </w:p>
    <w:p>
      <w:pPr>
        <w:ind w:left="120" w:right="280" w:firstLine="551"/>
        <w:spacing w:after="0" w:line="271" w:lineRule="auto"/>
        <w:rPr>
          <w:sz w:val="20"/>
          <w:szCs w:val="20"/>
          <w:color w:val="auto"/>
        </w:rPr>
      </w:pPr>
      <w:r>
        <w:rPr>
          <w:rFonts w:ascii="Arial" w:cs="Arial" w:eastAsia="Arial" w:hAnsi="Arial"/>
          <w:sz w:val="18"/>
          <w:szCs w:val="18"/>
          <w:color w:val="auto"/>
        </w:rPr>
        <w:t>As of September 30, 2025, total unrecognized compensation expense, adjusted for estimated forfeitures, related to non-vested awards was $92.2 million which is expected to be recognized over the next 2.01 years.</w:t>
      </w:r>
    </w:p>
    <w:p>
      <w:pPr>
        <w:spacing w:after="0" w:line="154" w:lineRule="exact"/>
        <w:rPr>
          <w:sz w:val="20"/>
          <w:szCs w:val="20"/>
          <w:color w:val="auto"/>
        </w:rPr>
      </w:pPr>
    </w:p>
    <w:p>
      <w:pPr>
        <w:ind w:left="120" w:right="280" w:firstLine="551"/>
        <w:spacing w:after="0" w:line="271" w:lineRule="auto"/>
        <w:rPr>
          <w:sz w:val="20"/>
          <w:szCs w:val="20"/>
          <w:color w:val="auto"/>
        </w:rPr>
      </w:pPr>
      <w:r>
        <w:rPr>
          <w:rFonts w:ascii="Arial" w:cs="Arial" w:eastAsia="Arial" w:hAnsi="Arial"/>
          <w:sz w:val="18"/>
          <w:szCs w:val="18"/>
          <w:color w:val="auto"/>
        </w:rPr>
        <w:t>Based upon an estimated offering price of $        per share, which is the midpoint of the offering price range set forth on the cover page of this prospectus, the options and warrants would have an intrinsic value of approximately $        million.</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2" w:lineRule="exact"/>
        <w:rPr>
          <w:sz w:val="20"/>
          <w:szCs w:val="20"/>
          <w:color w:val="auto"/>
        </w:rPr>
      </w:pPr>
    </w:p>
    <w:p>
      <w:pPr>
        <w:ind w:left="120" w:right="300" w:firstLine="551"/>
        <w:spacing w:after="0" w:line="271" w:lineRule="auto"/>
        <w:rPr>
          <w:sz w:val="20"/>
          <w:szCs w:val="20"/>
          <w:color w:val="auto"/>
        </w:rPr>
      </w:pPr>
      <w:r>
        <w:rPr>
          <w:rFonts w:ascii="Arial" w:cs="Arial" w:eastAsia="Arial" w:hAnsi="Arial"/>
          <w:sz w:val="18"/>
          <w:szCs w:val="18"/>
          <w:color w:val="auto"/>
        </w:rPr>
        <w:t>See Note 2 to our consolidated financial statements included elsewhere in this prospectus for a description of recently adopted accounting pronouncements and recently issued accounting pronouncements not yet adopted.</w:t>
      </w:r>
    </w:p>
    <w:p>
      <w:pPr>
        <w:spacing w:after="0" w:line="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20"/>
          </w:cols>
          <w:pgMar w:left="320" w:top="455" w:right="5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Overview</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Mission</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mission is to protect families by democratizing access to life insurance and empowering agents at scale.</w:t>
      </w:r>
    </w:p>
    <w:p>
      <w:pPr>
        <w:spacing w:after="0" w:line="212"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color w:val="auto"/>
        </w:rPr>
        <w:t>To achieve this mission, we built Ethos, a three-sided technology platform that transforms the buying, selling, and risk management experience of life insurance for consumers, agents, and carriers alike.</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Problem with the Legacy Life Insurance Process</w:t>
      </w:r>
    </w:p>
    <w:p>
      <w:pPr>
        <w:spacing w:after="0" w:line="102" w:lineRule="exact"/>
        <w:rPr>
          <w:sz w:val="20"/>
          <w:szCs w:val="20"/>
          <w:color w:val="auto"/>
        </w:rPr>
      </w:pPr>
    </w:p>
    <w:p>
      <w:pPr>
        <w:ind w:left="120" w:right="60" w:firstLine="551"/>
        <w:spacing w:after="0" w:line="271" w:lineRule="auto"/>
        <w:rPr>
          <w:sz w:val="20"/>
          <w:szCs w:val="20"/>
          <w:color w:val="auto"/>
        </w:rPr>
      </w:pPr>
      <w:r>
        <w:rPr>
          <w:rFonts w:ascii="Arial" w:cs="Arial" w:eastAsia="Arial" w:hAnsi="Arial"/>
          <w:sz w:val="18"/>
          <w:szCs w:val="18"/>
          <w:color w:val="auto"/>
        </w:rPr>
        <w:t>Life insurance is a pillar of financial security. It provides individuals and their families peace of mind and financial protection against unforeseen events.</w:t>
      </w:r>
    </w:p>
    <w:p>
      <w:pPr>
        <w:spacing w:after="0" w:line="154" w:lineRule="exact"/>
        <w:rPr>
          <w:sz w:val="20"/>
          <w:szCs w:val="20"/>
          <w:color w:val="auto"/>
        </w:rPr>
      </w:pPr>
    </w:p>
    <w:p>
      <w:pPr>
        <w:jc w:val="both"/>
        <w:ind w:left="120" w:right="360" w:firstLine="551"/>
        <w:spacing w:after="0" w:line="253" w:lineRule="auto"/>
        <w:rPr>
          <w:sz w:val="20"/>
          <w:szCs w:val="20"/>
          <w:color w:val="auto"/>
        </w:rPr>
      </w:pPr>
      <w:r>
        <w:rPr>
          <w:rFonts w:ascii="Arial" w:cs="Arial" w:eastAsia="Arial" w:hAnsi="Arial"/>
          <w:sz w:val="18"/>
          <w:szCs w:val="18"/>
          <w:color w:val="auto"/>
        </w:rPr>
        <w:t>While technology has transformed almost every important personal and financial experience, from education to buying a home, banking, or investing, the experience of purchasing, selling, and administering life insurance has not meaningfully improved in several decades:</w:t>
      </w:r>
    </w:p>
    <w:p>
      <w:pPr>
        <w:spacing w:after="0" w:line="74" w:lineRule="exact"/>
        <w:rPr>
          <w:sz w:val="20"/>
          <w:szCs w:val="20"/>
          <w:color w:val="auto"/>
        </w:rPr>
      </w:pPr>
    </w:p>
    <w:p>
      <w:pPr>
        <w:ind w:left="880" w:right="760" w:hanging="224"/>
        <w:spacing w:after="0" w:line="271"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Consumers: </w:t>
      </w:r>
      <w:r>
        <w:rPr>
          <w:rFonts w:ascii="Arial" w:cs="Arial" w:eastAsia="Arial" w:hAnsi="Arial"/>
          <w:sz w:val="18"/>
          <w:szCs w:val="18"/>
          <w:color w:val="auto"/>
        </w:rPr>
        <w:t>Consumers today face slow, complex, and opaque application processes that often discourage them from</w:t>
      </w:r>
      <w:r>
        <w:rPr>
          <w:rFonts w:ascii="Arial" w:cs="Arial" w:eastAsia="Arial" w:hAnsi="Arial"/>
          <w:sz w:val="18"/>
          <w:szCs w:val="18"/>
          <w:b w:val="1"/>
          <w:bCs w:val="1"/>
          <w:color w:val="auto"/>
        </w:rPr>
        <w:t xml:space="preserve"> </w:t>
      </w:r>
      <w:r>
        <w:rPr>
          <w:rFonts w:ascii="Arial" w:cs="Arial" w:eastAsia="Arial" w:hAnsi="Arial"/>
          <w:sz w:val="18"/>
          <w:szCs w:val="18"/>
          <w:color w:val="auto"/>
        </w:rPr>
        <w:t>obtaining the coverage they need.</w:t>
      </w:r>
    </w:p>
    <w:p>
      <w:pPr>
        <w:spacing w:after="0" w:line="59" w:lineRule="exact"/>
        <w:rPr>
          <w:rFonts w:ascii="Arial" w:cs="Arial" w:eastAsia="Arial" w:hAnsi="Arial"/>
          <w:sz w:val="18"/>
          <w:szCs w:val="18"/>
          <w:color w:val="auto"/>
        </w:rPr>
      </w:pPr>
    </w:p>
    <w:p>
      <w:pPr>
        <w:ind w:left="880" w:right="140" w:hanging="224"/>
        <w:spacing w:after="0" w:line="271"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Agents: </w:t>
      </w:r>
      <w:r>
        <w:rPr>
          <w:rFonts w:ascii="Arial" w:cs="Arial" w:eastAsia="Arial" w:hAnsi="Arial"/>
          <w:sz w:val="18"/>
          <w:szCs w:val="18"/>
          <w:color w:val="auto"/>
        </w:rPr>
        <w:t>Agents are required to navigate complex underwriting guidelines and rely on legacy, disparate technology applications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that distract from insurance sales, create long sales cycles, and make case management labor-intensive.</w:t>
      </w:r>
    </w:p>
    <w:p>
      <w:pPr>
        <w:spacing w:after="0" w:line="59" w:lineRule="exact"/>
        <w:rPr>
          <w:rFonts w:ascii="Arial" w:cs="Arial" w:eastAsia="Arial" w:hAnsi="Arial"/>
          <w:sz w:val="18"/>
          <w:szCs w:val="18"/>
          <w:color w:val="auto"/>
        </w:rPr>
      </w:pPr>
    </w:p>
    <w:p>
      <w:pPr>
        <w:ind w:left="880" w:right="340" w:hanging="224"/>
        <w:spacing w:after="0" w:line="271"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Carriers: </w:t>
      </w:r>
      <w:r>
        <w:rPr>
          <w:rFonts w:ascii="Arial" w:cs="Arial" w:eastAsia="Arial" w:hAnsi="Arial"/>
          <w:sz w:val="18"/>
          <w:szCs w:val="18"/>
          <w:color w:val="auto"/>
        </w:rPr>
        <w:t>Carriers rely on analog underwriting processes and siloed data, which limits the speed and scale at which they can</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 policies.</w:t>
      </w:r>
    </w:p>
    <w:p>
      <w:pPr>
        <w:spacing w:after="0" w:line="154" w:lineRule="exact"/>
        <w:rPr>
          <w:sz w:val="20"/>
          <w:szCs w:val="20"/>
          <w:color w:val="auto"/>
        </w:rPr>
      </w:pPr>
    </w:p>
    <w:p>
      <w:pPr>
        <w:jc w:val="both"/>
        <w:ind w:left="120" w:right="240" w:firstLine="551"/>
        <w:spacing w:after="0" w:line="247" w:lineRule="auto"/>
        <w:rPr>
          <w:sz w:val="20"/>
          <w:szCs w:val="20"/>
          <w:color w:val="auto"/>
        </w:rPr>
      </w:pPr>
      <w:r>
        <w:rPr>
          <w:rFonts w:ascii="Arial" w:cs="Arial" w:eastAsia="Arial" w:hAnsi="Arial"/>
          <w:sz w:val="18"/>
          <w:szCs w:val="18"/>
          <w:color w:val="auto"/>
        </w:rPr>
        <w:t>As a result, there is a significant need for a new approach to life insurance in the United States. In 2024, 42% of American adults recognized they needed life insurance coverage but did not purchase it due to multiple reasons, notably the complexity of the products, perceived cost, and other financial priorities, according to the Life Insurance Marketing and Research Association, or LIMRA, a leading research organization for insurance and financial services companies.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Value Proposition to Consumers, Agents, and Carriers</w:t>
      </w:r>
    </w:p>
    <w:p>
      <w:pPr>
        <w:spacing w:after="0" w:line="102" w:lineRule="exact"/>
        <w:rPr>
          <w:sz w:val="20"/>
          <w:szCs w:val="20"/>
          <w:color w:val="auto"/>
        </w:rPr>
      </w:pPr>
    </w:p>
    <w:p>
      <w:pPr>
        <w:jc w:val="both"/>
        <w:ind w:left="120" w:right="280" w:firstLine="551"/>
        <w:spacing w:after="0" w:line="301" w:lineRule="auto"/>
        <w:rPr>
          <w:sz w:val="20"/>
          <w:szCs w:val="20"/>
          <w:color w:val="auto"/>
        </w:rPr>
      </w:pPr>
      <w:r>
        <w:rPr>
          <w:rFonts w:ascii="Arial" w:cs="Arial" w:eastAsia="Arial" w:hAnsi="Arial"/>
          <w:sz w:val="17"/>
          <w:szCs w:val="17"/>
          <w:color w:val="auto"/>
        </w:rPr>
        <w:t>Through our three-sided technology platform, we serve a growing ecosystem of consumers, agents, and carriers, each of which benefits from the scale, ease-of-use, and efficiency of our platform. This creates strong network effects that drive our continued growth.</w:t>
      </w:r>
    </w:p>
    <w:p>
      <w:pPr>
        <w:spacing w:after="0" w:line="131"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color w:val="auto"/>
        </w:rPr>
        <w:t>Since inception, we have activated over 480,000 policies, and as of September 30, 2025, we had over 10,000 active selling agents and several active carriers on our platform.</w:t>
      </w:r>
    </w:p>
    <w:p>
      <w:pPr>
        <w:spacing w:after="0" w:line="59" w:lineRule="exact"/>
        <w:rPr>
          <w:sz w:val="20"/>
          <w:szCs w:val="20"/>
          <w:color w:val="auto"/>
        </w:rPr>
      </w:pPr>
    </w:p>
    <w:p>
      <w:pPr>
        <w:ind w:left="880" w:right="20" w:hanging="224"/>
        <w:spacing w:after="0" w:line="253"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Consumers: </w:t>
      </w:r>
      <w:r>
        <w:rPr>
          <w:rFonts w:ascii="Arial" w:cs="Arial" w:eastAsia="Arial" w:hAnsi="Arial"/>
          <w:sz w:val="18"/>
          <w:szCs w:val="18"/>
          <w:color w:val="auto"/>
        </w:rPr>
        <w:t>We remove the friction from buying life insurance with a 100% digital application and underwriting process that</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transparent pricing, a few health questions driven by our proprietary underwriting engine instead of lengthy and invasive medical exams, and decisions in minutes for almost all consumers.</w:t>
      </w:r>
    </w:p>
    <w:p>
      <w:pPr>
        <w:spacing w:after="0" w:line="74" w:lineRule="exact"/>
        <w:rPr>
          <w:rFonts w:ascii="Arial" w:cs="Arial" w:eastAsia="Arial" w:hAnsi="Arial"/>
          <w:sz w:val="18"/>
          <w:szCs w:val="18"/>
          <w:color w:val="auto"/>
        </w:rPr>
      </w:pPr>
    </w:p>
    <w:p>
      <w:pPr>
        <w:ind w:left="880" w:hanging="224"/>
        <w:spacing w:after="0" w:line="247"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Agents: </w:t>
      </w:r>
      <w:r>
        <w:rPr>
          <w:rFonts w:ascii="Arial" w:cs="Arial" w:eastAsia="Arial" w:hAnsi="Arial"/>
          <w:sz w:val="18"/>
          <w:szCs w:val="18"/>
          <w:color w:val="auto"/>
        </w:rPr>
        <w:t>Our platform is designed to enable agents to sell more policies and get paid quickly across a broad portfolio of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We provide agents with an all-in-one agent operating system, or Agent OS, that streamlines quoting, application submission, and policy management. This reduces case management work and streamlines payments infrastructure, all of which substantially increase an agent’s time available to prospect and sell.</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880" w:hanging="224"/>
        <w:spacing w:after="0" w:line="253"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Carriers: </w:t>
      </w:r>
      <w:r>
        <w:rPr>
          <w:rFonts w:ascii="Arial" w:cs="Arial" w:eastAsia="Arial" w:hAnsi="Arial"/>
          <w:sz w:val="18"/>
          <w:szCs w:val="18"/>
          <w:color w:val="auto"/>
        </w:rPr>
        <w:t>We help life insurance carriers expand their consumer and agent reach in a manner designed to optimize risk selection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profitability, as carriers assume the insurance risk of the underlying policies. We do not assume balance sheet risk for the policies on our platform.</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Platform</w:t>
      </w:r>
    </w:p>
    <w:p>
      <w:pPr>
        <w:spacing w:after="0" w:line="102"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Our technology platform is fully digital and vertically integrated. We simplify the insurance value chain from distribution to underwriting, activation, payments, and administration. Combining key elements of the insurance sales and administrative process into a singular platform enables us to build insurance products quickly, dynamically adjust underwriting and pricing, and rapidly iterate to deliver a delightful consumer and agent experience.</w:t>
      </w:r>
    </w:p>
    <w:p>
      <w:pPr>
        <w:spacing w:after="0" w:line="17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Our platform makes the application process faster and more accessible for consumers and agents while reducing errors, including by validating disclosures against third-party data in real-time. Our proprietary underwriting engine leverages predictive and real-time data acquired with the consent of the applicant to create a bespoke information graph that allows us to instantly assess risk and deliver quick, competitively priced policies with high approval rates. Once issued, our cloud-native policy administration system provides consumers with seamless servicing and billing. The unified, end-to-end nature of our platform enables us to collect and analyze granular data across the entire consumer and agent journey. We then identify patterns across cohorts to continuously optimize our underwriting and improve conversion and platform usability.</w:t>
      </w:r>
    </w:p>
    <w:p>
      <w:pPr>
        <w:spacing w:after="0" w:line="18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technology platform is extensible, demonstrated by our ability to launch and scale new life insurance and estate planning products. This has enabled us to expand our offerings from just one product in 2019 to ten as of December 31, 2024. We have launched multiple Term Life Insurance, Whole Life Insurance, and Indexed Universal Life Insurance products, as well as Wills &amp; Estate Planning and Supplemental Health Insurance products. As a result, we have achieved significant scale with broad demographic and geographic distribution. We have activated over 480,000 policies, and these consumers come from a wide range of educational backgrounds, income levels, and ages, consistent with our mission of democratizing access to life insurance. Our technology platform continuously improves as we scale and collect data, which further refines underwriting accuracy, pricing efficiency, and our platform engagement strategy to create durable network effects.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102" w:lineRule="exact"/>
        <w:rPr>
          <w:sz w:val="20"/>
          <w:szCs w:val="20"/>
          <w:color w:val="auto"/>
        </w:rPr>
      </w:pPr>
    </w:p>
    <w:p>
      <w:pPr>
        <w:ind w:left="120" w:right="540" w:firstLine="551"/>
        <w:spacing w:after="0" w:line="253" w:lineRule="auto"/>
        <w:rPr>
          <w:sz w:val="20"/>
          <w:szCs w:val="20"/>
          <w:color w:val="auto"/>
        </w:rPr>
      </w:pPr>
      <w:r>
        <w:rPr>
          <w:rFonts w:ascii="Arial" w:cs="Arial" w:eastAsia="Arial" w:hAnsi="Arial"/>
          <w:sz w:val="18"/>
          <w:szCs w:val="18"/>
          <w:color w:val="auto"/>
        </w:rPr>
        <w:t>Our business model is capital and asset light and highly scalable. In contrast to a traditional carrier model, we do not assume balance sheet risk for the policies sold on our platform. We power the technology, distribution, digital underwriting, and consumer experience while our insurance carriers assume the underlying insurance risk of the policies.</w:t>
      </w:r>
    </w:p>
    <w:p>
      <w:pPr>
        <w:spacing w:after="0" w:line="169"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We have achieved significant scale and rapid growth, and have expanded our margins since inception. The number of activated policies on our platform increased by 77% from 72,018 in the year ended December 31, 2023 to 127,623 in the year ended December 31, 2024, and increased by 61% from 89,108 in the nine months ended September 30, 2024 to 143,625 in the nine months ended September 30, 2025. Our revenue for the years ended December 31, 2022, 2023 and 2024 was $104 million, $ 160 million and $255 million, respectively, representing increases of 53% and 60%. Over the same period, we also increased our gross profit margin from 96% to 97%, respectively, and Contribution Margin from 32% to 41%, respectively. Our revenue for the nine months ended September 30, 2024 and 2025 was $ 188 million and $278 million, respectively, representing an increase of 47%. Over the same period, we also increased our gross profit margin from 97% to 98%, respectively, and Contribution Margin from 40% to 41%, respectively. In the years ended December 31, 2023 and 2024, our net income margin was 1% and 19%, and our Adjusted EBITDA Margin increased from 4% to 23%. In the nine</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66" w:lineRule="auto"/>
        <w:rPr>
          <w:sz w:val="20"/>
          <w:szCs w:val="20"/>
          <w:color w:val="auto"/>
        </w:rPr>
      </w:pPr>
      <w:r>
        <w:rPr>
          <w:rFonts w:ascii="Arial" w:cs="Arial" w:eastAsia="Arial" w:hAnsi="Arial"/>
          <w:sz w:val="17"/>
          <w:szCs w:val="17"/>
          <w:color w:val="auto"/>
        </w:rPr>
        <w:t>months ended September 30, 2024 and 2025, our net income margin was 21% and 17% and our Adjusted EBITDA Margin was 23% for both periods. For more information about Contribution Margin and Adjusted EBITDA Margin, including the limitations of such measures and a reconciliation of each metric to its most directly comparable financial measure under GAAP, see the section titled “Management’s Discussion and Analysis of Financial Condition and Results of Operations–Key Business Metrics and Non-GAAP Financial Measures.”</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Ethos Platform</w:t>
      </w:r>
    </w:p>
    <w:p>
      <w:pPr>
        <w:spacing w:after="0" w:line="104" w:lineRule="exact"/>
        <w:rPr>
          <w:sz w:val="20"/>
          <w:szCs w:val="20"/>
          <w:color w:val="auto"/>
        </w:rPr>
      </w:pPr>
    </w:p>
    <w:p>
      <w:pPr>
        <w:ind w:left="120" w:right="440" w:firstLine="551"/>
        <w:spacing w:after="0" w:line="253" w:lineRule="auto"/>
        <w:rPr>
          <w:sz w:val="20"/>
          <w:szCs w:val="20"/>
          <w:color w:val="auto"/>
        </w:rPr>
      </w:pPr>
      <w:r>
        <w:rPr>
          <w:rFonts w:ascii="Arial" w:cs="Arial" w:eastAsia="Arial" w:hAnsi="Arial"/>
          <w:sz w:val="18"/>
          <w:szCs w:val="18"/>
          <w:color w:val="auto"/>
        </w:rPr>
        <w:t>We operate a vertically integrated platform transforming how life insurance is bought and sold through end-to-end distribution, underwriting, and policy administration. Our platform is natively built on a unified data infrastructure and our technology allows for continuous platform improvement, creating network effects as we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136525</wp:posOffset>
            </wp:positionV>
            <wp:extent cx="5186045" cy="20656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8604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Vertically Integrated</w:t>
      </w:r>
    </w:p>
    <w:p>
      <w:pPr>
        <w:spacing w:after="0" w:line="102"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Our vertical integration yields comprehensive data and insights across the value chain, enabling us to deliver superior value to consumers, agents, and carriers, while continuously improving our platform. By integrating multiple carriers on our unified platform, we are also able to offer a wider array of products tailored to various consumer profiles, creating a significant competitive advantage that compounds over time and helps us achieve our mission of democratizing access to life insurance.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w:t>
      </w:r>
    </w:p>
    <w:p>
      <w:pPr>
        <w:spacing w:after="0" w:line="102"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We believe we have transformed distribution for constituents in the life insurance value chain, simplifying and improving the policy experience for consumers, agents, and carriers alike.</w:t>
      </w:r>
    </w:p>
    <w:p>
      <w:pPr>
        <w:spacing w:after="0" w:line="154" w:lineRule="exact"/>
        <w:rPr>
          <w:sz w:val="20"/>
          <w:szCs w:val="20"/>
          <w:color w:val="auto"/>
        </w:rPr>
      </w:pPr>
    </w:p>
    <w:p>
      <w:pPr>
        <w:ind w:left="120" w:right="160" w:firstLine="551"/>
        <w:spacing w:after="0" w:line="253" w:lineRule="auto"/>
        <w:rPr>
          <w:sz w:val="20"/>
          <w:szCs w:val="20"/>
          <w:color w:val="auto"/>
        </w:rPr>
      </w:pPr>
      <w:r>
        <w:rPr>
          <w:rFonts w:ascii="Arial" w:cs="Arial" w:eastAsia="Arial" w:hAnsi="Arial"/>
          <w:sz w:val="18"/>
          <w:szCs w:val="18"/>
          <w:color w:val="auto"/>
        </w:rPr>
        <w:t>We serve consumers by unifying the direct-to-consumer, or DTC, and third-party distribution channels on a single digital platform. This integrated model creates powerful flywheel effects: consumer marketing drives brand visibility and inbound interest from agents leading to higher sales and data captured from both channels that collectively improve our platform.</w:t>
      </w:r>
    </w:p>
    <w:p>
      <w:pPr>
        <w:spacing w:after="0" w:line="169" w:lineRule="exact"/>
        <w:rPr>
          <w:sz w:val="20"/>
          <w:szCs w:val="20"/>
          <w:color w:val="auto"/>
        </w:rPr>
      </w:pPr>
    </w:p>
    <w:p>
      <w:pPr>
        <w:ind w:left="120" w:right="520" w:firstLine="551"/>
        <w:spacing w:after="0" w:line="253" w:lineRule="auto"/>
        <w:rPr>
          <w:sz w:val="20"/>
          <w:szCs w:val="20"/>
          <w:color w:val="auto"/>
        </w:rPr>
      </w:pPr>
      <w:r>
        <w:rPr>
          <w:rFonts w:ascii="Arial" w:cs="Arial" w:eastAsia="Arial" w:hAnsi="Arial"/>
          <w:sz w:val="18"/>
          <w:szCs w:val="18"/>
          <w:color w:val="auto"/>
        </w:rPr>
        <w:t>Our data engine and machine learning models identify patterns from historical consumer cohorts and use that data to predict purchase behavior, consumer lifetime values, and underwriting outcomes early in the funnel, improving our targeting while offering consumers an experience that is personalized to their needs.</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80"/>
          </w:cols>
          <w:pgMar w:left="320" w:top="455" w:right="4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Our platform also integrates with third-party channels such as fintech companies via application programming interfaces, or APIs, allowing these companies to quote, process, and activate policies within their own platform. This further expands our reach and reinforces our distribution.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Underwriting</w:t>
      </w:r>
    </w:p>
    <w:p>
      <w:pPr>
        <w:spacing w:after="0" w:line="102" w:lineRule="exact"/>
        <w:rPr>
          <w:sz w:val="20"/>
          <w:szCs w:val="20"/>
          <w:color w:val="auto"/>
        </w:rPr>
      </w:pPr>
    </w:p>
    <w:p>
      <w:pPr>
        <w:ind w:left="120" w:right="340" w:firstLine="551"/>
        <w:spacing w:after="0" w:line="271" w:lineRule="auto"/>
        <w:rPr>
          <w:sz w:val="20"/>
          <w:szCs w:val="20"/>
          <w:color w:val="auto"/>
        </w:rPr>
      </w:pPr>
      <w:r>
        <w:rPr>
          <w:rFonts w:ascii="Arial" w:cs="Arial" w:eastAsia="Arial" w:hAnsi="Arial"/>
          <w:sz w:val="18"/>
          <w:szCs w:val="18"/>
          <w:color w:val="auto"/>
        </w:rPr>
        <w:t>Our proprietary underwriting engine leverages real-time, sophisticated data analytics designed to deliver faster decision-making and higher approval rates at competitive prices compared to traditional models.</w:t>
      </w:r>
    </w:p>
    <w:p>
      <w:pPr>
        <w:spacing w:after="0" w:line="15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Traditional underwriting often requires in-person blood tests, urine analysis, and medical exams, as well as time-intensive, static, fillable forms. Such processes can take several weeks and subsequently can result in denial of coverage. With our digital technology platform, the majority of applicants receive a decision within ten minutes of starting their application. We leverage the services of reputable third-party vendors to efficiently obtain necessary medical information for our underwriting system to provide carriers with the information they need to approve policy issuances. These vendors include, among others, Milliman, TransUnion, and MIB Group, and they source data including credit-based insurance scores, driving records, prescription data, medical records, and other consumer information. When applicants first engage with our platform through any channel, they answer a few questions regarding their life insurance goals and medical history. Applicants then provide the necessary authorizations and consents directly through our platform before we obtain any third-party information regarding the applicant. Once such consents are obtained, our underwriting engine collects relevant third-party data from our third-party vendors and combines that data with consumer-submitted application information to generate a holistic information graph for carriers, supporting their individualized risk assessments and allowing them to rapidly arrive at an underwriting decision. Our underwriting engine is designed to share this information with carriers only to the extent permitted by the applicants’ authorizations. As we grow in scale and collect more data, we continue to refine and improve our underwriting system’s decision-making accuracy, allowing us to maintain our approval speeds while staying within our carriers’ acceptable ranges of mortality predictiveness. For example, our large and growing volume of policy applications gives us differentiated insights into decision-making accuracy across multiple risk dimensions, providing pricing adjustment insights and refinements to product-market fit, in addition to fueling the speed of approvals. We also work with our carriers to mitigate accuracy issues further through customer post-issue audits.</w:t>
      </w:r>
    </w:p>
    <w:p>
      <w:pPr>
        <w:spacing w:after="0" w:line="184" w:lineRule="exact"/>
        <w:rPr>
          <w:sz w:val="20"/>
          <w:szCs w:val="20"/>
          <w:color w:val="auto"/>
        </w:rPr>
      </w:pPr>
    </w:p>
    <w:p>
      <w:pPr>
        <w:ind w:left="120" w:right="40" w:firstLine="551"/>
        <w:spacing w:after="0" w:line="257" w:lineRule="auto"/>
        <w:rPr>
          <w:sz w:val="20"/>
          <w:szCs w:val="20"/>
          <w:color w:val="auto"/>
        </w:rPr>
      </w:pPr>
      <w:r>
        <w:rPr>
          <w:rFonts w:ascii="Arial" w:cs="Arial" w:eastAsia="Arial" w:hAnsi="Arial"/>
          <w:sz w:val="17"/>
          <w:szCs w:val="17"/>
          <w:color w:val="auto"/>
        </w:rPr>
        <w:t>Our underwriting engine ingests up to 250,000 data points per application, including prescription history, credit-based insurance scores, historical underwriting outcomes and motor vehicle records. Importantly, it is designed to intelligently determine which data is most relevant for each individual consumer, which minimizes both cost and friction in the process. Our underwriting engine then combines such relevant third-party data with consumer-submitted application data to create a proprietary information graph that allows us to identify and assess risk instantly in an individualized manner. This scale of data integration and evaluation is difficult to achieve and is powered by our proprietary technology. When paired with our comprehensive product suite spanning a broad array of risk profiles, 95% of applicants receive decisions instantly based on internal data compared to four to eight weeks on average for traditional underwriting processes.</w:t>
      </w:r>
    </w:p>
    <w:p>
      <w:pPr>
        <w:spacing w:after="0" w:line="168"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As a testament to our capabilities, many of our carriers entrust us with underwriting administration and execution. In these arrangements, we administer underwriting pursuant to certain standards that we develop and modify as necessary pursuant to carrier-specific requirements. The final standards, as agreed to by carriers, are set forth in carrier-specific manuals or guidelines. These standards are specific to each carrier and also vary by product, and address matters such as persistency, mortality, and post-issue audits. These standards generally apply consistently regardless of whether a policy is activated on our platform through our DTC channel or third-party channel, including APIs. These standards provide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600"/>
        <w:spacing w:after="0" w:line="253" w:lineRule="auto"/>
        <w:rPr>
          <w:sz w:val="20"/>
          <w:szCs w:val="20"/>
          <w:color w:val="auto"/>
        </w:rPr>
      </w:pPr>
      <w:r>
        <w:rPr>
          <w:rFonts w:ascii="Arial" w:cs="Arial" w:eastAsia="Arial" w:hAnsi="Arial"/>
          <w:sz w:val="18"/>
          <w:szCs w:val="18"/>
          <w:color w:val="auto"/>
        </w:rPr>
        <w:t>the framework within which our underwriting engine operates. Our underwriting engine continuously improves with each application processed, refining logic-based rules for risk selection, optimizing pricing, and enhancing approval rates, which drives better unit economics for us and our carriers.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Policy Administration</w:t>
      </w:r>
    </w:p>
    <w:p>
      <w:pPr>
        <w:spacing w:after="0" w:line="102"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color w:val="auto"/>
        </w:rPr>
        <w:t>Our cloud-native policy administration system is able to automate significant portions of the full policy lifecycle, from issuance to servicing and policyholder payments. These services include dynamic contract generation, payment processing and reinstatements, endorsements (policy changes such as coverage amount or beneficiary updates), full servicing workflows (including consumer self-service), and structured data pipelines for auditing and compliance reporting. Owning our own policy administration stack allows us to deploy new product features, pricing updates, and carrier configurations in days, not quarters. This reduces unnecessary integration with, and reliance on, legacy carrier systems, which tend to be less flexible and therefore slower to iterate or improve.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Platform Extensibility</w:t>
      </w:r>
    </w:p>
    <w:p>
      <w:pPr>
        <w:spacing w:after="0" w:line="102" w:lineRule="exact"/>
        <w:rPr>
          <w:sz w:val="20"/>
          <w:szCs w:val="20"/>
          <w:color w:val="auto"/>
        </w:rPr>
      </w:pPr>
    </w:p>
    <w:p>
      <w:pPr>
        <w:ind w:left="120" w:right="200" w:firstLine="551"/>
        <w:spacing w:after="0" w:line="247" w:lineRule="auto"/>
        <w:rPr>
          <w:sz w:val="20"/>
          <w:szCs w:val="20"/>
          <w:color w:val="auto"/>
        </w:rPr>
      </w:pPr>
      <w:r>
        <w:rPr>
          <w:rFonts w:ascii="Arial" w:cs="Arial" w:eastAsia="Arial" w:hAnsi="Arial"/>
          <w:sz w:val="18"/>
          <w:szCs w:val="18"/>
          <w:color w:val="auto"/>
        </w:rPr>
        <w:t>Our integrated distribution, underwriting, and policy administration capabilities enable us to efficiently develop and scale new products. We leverage ongoing feedback from agents, which is grounded in their understanding of consumer demand, to help guide product development. We also collaborate with carriers to introduce additional offerings that expand their distribution reach and broaden our product suite on our platform.</w:t>
      </w:r>
    </w:p>
    <w:p>
      <w:pPr>
        <w:spacing w:after="0" w:line="174"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We continue to remain active in product development, including launching Indexed Universal Life Insurance in September 2023 and enhancing the consumer experience for certain of our existing products in 2024. We believe that our ability to rapidly develop and launch new products sets us apart. For example, we launched one of our most recent Term Life Insurance products in less than half of the industry average product development time based on average timelines cited in a 2023 Deloitte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216535</wp:posOffset>
            </wp:positionV>
            <wp:extent cx="5194935" cy="21088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9493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Network Effects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technology platform benefits from three key network effects:</w:t>
      </w:r>
    </w:p>
    <w:p>
      <w:pPr>
        <w:spacing w:after="0" w:line="117" w:lineRule="exact"/>
        <w:rPr>
          <w:sz w:val="20"/>
          <w:szCs w:val="20"/>
          <w:color w:val="auto"/>
        </w:rPr>
      </w:pPr>
    </w:p>
    <w:p>
      <w:pPr>
        <w:ind w:left="880" w:right="400" w:hanging="224"/>
        <w:spacing w:after="0" w:line="253"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Data Advantage: </w:t>
      </w:r>
      <w:r>
        <w:rPr>
          <w:rFonts w:ascii="Arial" w:cs="Arial" w:eastAsia="Arial" w:hAnsi="Arial"/>
          <w:sz w:val="18"/>
          <w:szCs w:val="18"/>
          <w:color w:val="auto"/>
        </w:rPr>
        <w:t>Because we vertically integrate the distribution, underwriting and administration of policies, we are able to</w:t>
      </w:r>
      <w:r>
        <w:rPr>
          <w:rFonts w:ascii="Arial" w:cs="Arial" w:eastAsia="Arial" w:hAnsi="Arial"/>
          <w:sz w:val="18"/>
          <w:szCs w:val="18"/>
          <w:b w:val="1"/>
          <w:bCs w:val="1"/>
          <w:color w:val="auto"/>
        </w:rPr>
        <w:t xml:space="preserve"> </w:t>
      </w:r>
      <w:r>
        <w:rPr>
          <w:rFonts w:ascii="Arial" w:cs="Arial" w:eastAsia="Arial" w:hAnsi="Arial"/>
          <w:sz w:val="18"/>
          <w:szCs w:val="18"/>
          <w:color w:val="auto"/>
        </w:rPr>
        <w:t>gather and utilize data across the entire consumer journey. As more consumers apply for policies through our platform, our machine-learning</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880" w:right="140"/>
        <w:spacing w:after="0" w:line="253" w:lineRule="auto"/>
        <w:rPr>
          <w:sz w:val="20"/>
          <w:szCs w:val="20"/>
          <w:color w:val="auto"/>
        </w:rPr>
      </w:pPr>
      <w:r>
        <w:rPr>
          <w:rFonts w:ascii="Arial" w:cs="Arial" w:eastAsia="Arial" w:hAnsi="Arial"/>
          <w:sz w:val="18"/>
          <w:szCs w:val="18"/>
          <w:color w:val="auto"/>
        </w:rPr>
        <w:t>driven consumer intelligence engine strengthens and adapts, resulting in optimized targeting in marketing, better consumer experiences, and improved conversion, allowing us to scale efficiently. As we underwrite more policies, our underwriting engine leverages these insights to optimize our risk assessment, which improves the unit economics for us and our carriers.</w:t>
      </w:r>
    </w:p>
    <w:p>
      <w:pPr>
        <w:spacing w:after="0" w:line="74" w:lineRule="exact"/>
        <w:rPr>
          <w:sz w:val="20"/>
          <w:szCs w:val="20"/>
          <w:color w:val="auto"/>
        </w:rPr>
      </w:pPr>
    </w:p>
    <w:p>
      <w:pPr>
        <w:ind w:left="880" w:right="100" w:hanging="224"/>
        <w:spacing w:after="0" w:line="247"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Platform Engagement: </w:t>
      </w:r>
      <w:r>
        <w:rPr>
          <w:rFonts w:ascii="Arial" w:cs="Arial" w:eastAsia="Arial" w:hAnsi="Arial"/>
          <w:sz w:val="18"/>
          <w:szCs w:val="18"/>
          <w:color w:val="auto"/>
        </w:rPr>
        <w:t>Our data advantage, increasing scale, and risk-management expertise lead to more carriers joining our</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for incremental growth. As we add new carriers, our existing agents have a broader and more competitive suite of products to sell. This broader offering enables us to attract more agents and agencies onto our platform and strengthens our consumer value proposition and marketing efficiency.</w:t>
      </w:r>
    </w:p>
    <w:p>
      <w:pPr>
        <w:spacing w:after="0" w:line="79" w:lineRule="exact"/>
        <w:rPr>
          <w:rFonts w:ascii="Arial" w:cs="Arial" w:eastAsia="Arial" w:hAnsi="Arial"/>
          <w:sz w:val="18"/>
          <w:szCs w:val="18"/>
          <w:color w:val="auto"/>
        </w:rPr>
      </w:pPr>
    </w:p>
    <w:p>
      <w:pPr>
        <w:ind w:left="880" w:hanging="224"/>
        <w:spacing w:after="0" w:line="247"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Economies of Scale: </w:t>
      </w:r>
      <w:r>
        <w:rPr>
          <w:rFonts w:ascii="Arial" w:cs="Arial" w:eastAsia="Arial" w:hAnsi="Arial"/>
          <w:sz w:val="18"/>
          <w:szCs w:val="18"/>
          <w:color w:val="auto"/>
        </w:rPr>
        <w:t>As more agents engage with our platform, we can more efficiently leverage the fixed costs associated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our platform across a larger agent base. This more efficient cost structure allows us to invest more heavily in improving our agent experience and agent incentives. These improvements help attract new agencies and grow our agent base, which further compounds our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216535</wp:posOffset>
            </wp:positionV>
            <wp:extent cx="5186045" cy="26060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8604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Ecosystem — Who We Serve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platform connects thousands of consumers and agents, and multiple agencies and carriers daily.</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Why Consumers Choose Ethos: Life Insurance Reimagined for the Digital Age</w:t>
      </w:r>
    </w:p>
    <w:p>
      <w:pPr>
        <w:spacing w:after="0" w:line="102"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We aim to make buying life insurance as seamless and intuitive as any modern e-commerce experience—fast, transparent, and entirely online. We believe we have revolutionized the application process, enabling consumers to apply and receive decisions in minutes, not weeks. The consumer experience on the Ethos platform eliminates the cumbersome medical exams and extensive paperwork of traditional processes. Our NPS score is 70, compared to the carrier industry average of 14.</w:t>
      </w:r>
    </w:p>
    <w:p>
      <w:pPr>
        <w:spacing w:after="0" w:line="174" w:lineRule="exact"/>
        <w:rPr>
          <w:sz w:val="20"/>
          <w:szCs w:val="20"/>
          <w:color w:val="auto"/>
        </w:rPr>
      </w:pPr>
    </w:p>
    <w:p>
      <w:pPr>
        <w:ind w:left="120" w:right="240" w:firstLine="551"/>
        <w:spacing w:after="0" w:line="271" w:lineRule="auto"/>
        <w:rPr>
          <w:sz w:val="20"/>
          <w:szCs w:val="20"/>
          <w:color w:val="auto"/>
        </w:rPr>
      </w:pPr>
      <w:r>
        <w:rPr>
          <w:rFonts w:ascii="Arial" w:cs="Arial" w:eastAsia="Arial" w:hAnsi="Arial"/>
          <w:sz w:val="18"/>
          <w:szCs w:val="18"/>
          <w:color w:val="auto"/>
        </w:rPr>
        <w:t>We also believe in transparency and value. Consumers have traditionally faced an opaque and confusing array of policy options. Our consumers benefit from competitive pricing from the start,</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ensuring confidence in their coverage. We streamline life insurance selection with precision, recommending the optimal policy available on our platform for each consumer at a risk-adjusted price and ensuring clarity, confidence and the right coverage without unnecessary complexity or hidden surprises.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Why Agents Choose Ethos: Empowering Growth and Efficiency</w:t>
      </w:r>
    </w:p>
    <w:p>
      <w:pPr>
        <w:spacing w:after="0" w:line="21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Without Ethos, agents rely on antiquated technology with multiple logins, consumer relationship management, or CRM, platforms, contracting and compensation systems, and quoting tools that lead to fragmented and tedious consumer outreach and case management. Our operating system empowers agents to improve the efficiency of their outreach and increase conversion while making it easier to manage their business. Our end-to-end digital platform streamlines carrier contracting, quoting, applications, and policy management, freeing agents to focus on what they do best: selling policies, rather than administrative work. Additionally, we have added features and functionalities to our platform that help agencies recruit more agents, enhance agent efficiency, and boost overall productivity—delivering better outcomes for agencies, agents, carriers, and us.</w:t>
      </w:r>
    </w:p>
    <w:p>
      <w:pPr>
        <w:spacing w:after="0" w:line="18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With our agent platform, agents can enroll in minutes, acquire high-intent leads, sell a policy the same day, and get paid as early as the next day. Our CRM capabilities enable continuous and efficient engagement with current and prospective consumers. We believe our proprietary underwriting engine leads to faster approvals, helping agents close more policies in less time. Real-time tracking of consumer application status and automated payouts help agents optimize their cash flow, all while avoiding administrative burdens. Additionally, we enhance the agent experience through incentives and a structured loyalty program that rewards performance, encourages engagement, and fosters long-term retention. By making the sales process more rewarding and interactive, we help agents boost their productivity and stay motivated to grow their business with us.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Why Carriers Succeed with Us: Expanding Reach and Optimizing Risk</w:t>
      </w:r>
    </w:p>
    <w:p>
      <w:pPr>
        <w:spacing w:after="0" w:line="210" w:lineRule="exact"/>
        <w:rPr>
          <w:sz w:val="20"/>
          <w:szCs w:val="20"/>
          <w:color w:val="auto"/>
        </w:rPr>
      </w:pPr>
    </w:p>
    <w:p>
      <w:pPr>
        <w:ind w:left="120" w:right="540" w:firstLine="551"/>
        <w:spacing w:after="0" w:line="247" w:lineRule="auto"/>
        <w:rPr>
          <w:sz w:val="20"/>
          <w:szCs w:val="20"/>
          <w:color w:val="auto"/>
        </w:rPr>
      </w:pPr>
      <w:r>
        <w:rPr>
          <w:rFonts w:ascii="Arial" w:cs="Arial" w:eastAsia="Arial" w:hAnsi="Arial"/>
          <w:sz w:val="18"/>
          <w:szCs w:val="18"/>
          <w:color w:val="auto"/>
        </w:rPr>
        <w:t>Our carriers are integral to our success. We are dedicated to helping carriers expand their consumer base through additional distribution, underwriting, and policy administration, as well as to bring new products to market quickly. For our top three carriers by distribution, who are also our longest tenured carriers and include Ameritas, Banner Life (formerly Legal &amp; General America), and TruStage, we were their largest source of life insurance premiums in 2024.</w:t>
      </w:r>
    </w:p>
    <w:p>
      <w:pPr>
        <w:spacing w:after="0" w:line="17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Carriers often still rely heavily on decades-old technology infrastructure. As a result, sales and underwriting cycles remain long and inefficient. Our platform provides carriers new growth opportunities by reaching digital-first consumers and a growing network of tech-enabled agents, with higher underwriting efficiencies. Our proprietary underwriting model uses real-time data to optimize risk assessment while maintaining strong risk controls. Our commitment to carriers is a top priority, and we take extensive steps to assess and improve the efficacy of our digital underwriting process. For example, we have performed over 100,000 post-issue audits on activated policies (approximately 25% of activated policies to date) to validate digital underwriting information. We also provide carriers with full-service policy administration, which minimizes their internal resource requirements and simplifies the path to distribution at scale. Our carriers enjoy seamless integration with our data infrastructure, which connects with existing systems for rapid deployment and value creation.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Opportunity</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is a Significant Coverage Gap for Life Insurance Today</w:t>
      </w:r>
    </w:p>
    <w:p>
      <w:pPr>
        <w:spacing w:after="0" w:line="102" w:lineRule="exact"/>
        <w:rPr>
          <w:sz w:val="20"/>
          <w:szCs w:val="20"/>
          <w:color w:val="auto"/>
        </w:rPr>
      </w:pPr>
    </w:p>
    <w:p>
      <w:pPr>
        <w:ind w:left="120" w:right="260" w:firstLine="551"/>
        <w:spacing w:after="0" w:line="271" w:lineRule="auto"/>
        <w:rPr>
          <w:sz w:val="20"/>
          <w:szCs w:val="20"/>
          <w:color w:val="auto"/>
        </w:rPr>
      </w:pPr>
      <w:r>
        <w:rPr>
          <w:rFonts w:ascii="Arial" w:cs="Arial" w:eastAsia="Arial" w:hAnsi="Arial"/>
          <w:sz w:val="18"/>
          <w:szCs w:val="18"/>
          <w:color w:val="auto"/>
        </w:rPr>
        <w:t>Life insurance represents a vast market opportunity in the United States, driven by millions of life events each year that heighten the demand for comprehensive coverage. Welcoming a new child,</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5" w:right="4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purchasing a home, saving for higher education, reaching retirement age, or experiencing the loss of a loved one are examples of key life milestones that drive this demand. In 2024, 3.6 million children were born in America according to the Centers for Disease Control and Prevention, 5.0 million Americans purchased homes according to the U.S. Census Bureau and the National Association of Realtors, 19.3 million enrolled for college in the United States according to College Enrollment &amp; Student Demographic Statistics, 4.1 million Americans reached the age of 65 according to Alliance for Lifetime Income, and 12.5 million Americans mourned the loss of a loved one according to the Recovery Village Grief Statistics.</w:t>
      </w:r>
    </w:p>
    <w:p>
      <w:pPr>
        <w:spacing w:after="0" w:line="179" w:lineRule="exact"/>
        <w:rPr>
          <w:sz w:val="20"/>
          <w:szCs w:val="20"/>
          <w:color w:val="auto"/>
        </w:rPr>
      </w:pPr>
    </w:p>
    <w:p>
      <w:pPr>
        <w:ind w:left="120" w:right="40" w:firstLine="551"/>
        <w:spacing w:after="0" w:line="266" w:lineRule="auto"/>
        <w:rPr>
          <w:sz w:val="20"/>
          <w:szCs w:val="20"/>
          <w:color w:val="auto"/>
        </w:rPr>
      </w:pPr>
      <w:r>
        <w:rPr>
          <w:rFonts w:ascii="Arial" w:cs="Arial" w:eastAsia="Arial" w:hAnsi="Arial"/>
          <w:sz w:val="17"/>
          <w:szCs w:val="17"/>
          <w:color w:val="auto"/>
        </w:rPr>
        <w:t>These recurring life events result in a persistent annual influx of new consumers seeking life insurance. Despite this demand, a significant need gap persists. According to LIMRA, 42% of American adults in 2024 recognized a need for life insurance but were deterred by the perceived cost and complexity of the products. The industry’s lack of innovation and reliance on traditional methods create an opportunity for technology-driven solutions. Our platform leverages technology and network effects to increase our market share.</w:t>
      </w:r>
    </w:p>
    <w:p>
      <w:pPr>
        <w:spacing w:after="0" w:line="159"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The cumbersome nature of legacy life insurance processes has led insurers and agents to increasingly focus on the high net worth segment, where the complexity and cost of servicing are offset by larger premiums and higher lifetime commission value. We believe this focus has left a significant untapped opportunity in the mass affluent and middle market segments, where there is a growing demand for simplified and accessible life insurance solutions. We are well positioned to address this gap by offering streamlined, technology-driven solutions that cater to a broader market segment, thereby expanding our reach and impact.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Ethos Addresses a Large and Growing Market Opportunity</w:t>
      </w:r>
    </w:p>
    <w:p>
      <w:pPr>
        <w:spacing w:after="0" w:line="210"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Ethos effectively bridges the life insurance need gap by offering accessible coverage and underwriting 95% of applicants instantly based on internal data. Term Life Insurance, Whole Life Insurance, and Indexed Universal Life Insurance, each offered on our platform, represented an aggregate of $12.6 billion of annual new policy premiums in the industry for the year ended December 31, 2024. The markets for these products have demonstrated consistent demand through economic cycles, with an average of approximately 10 million individuals purchasing new policies annually over the past decade, according to the American Council of Life Insurers. As we expand into new products, such as Variable Universal Life and Fixed Indexed Annuities, our market opportunity could grow to over $140 billion of new premiums a year.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Burden Existing Carriers Today</w:t>
      </w:r>
    </w:p>
    <w:p>
      <w:pPr>
        <w:spacing w:after="0" w:line="210"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Traditional life insurers face challenges in bridging the life insurance need gap due to outdated infrastructure and the substantial investment required for modernization. With all of the top 20 carriers being over 100 years old, these insurers often focus on maintaining third-party provided legacy systems given the complexity associated with transitioning to new systems. Legacy processes often rely on human underwriters who manually review data, resulting in slow, inconsistent decision-making that limits scalability. Consequently, modern third-party provided systems lack the sophistication of our natively built platform and instead typically store data in disparate, inaccessible, poorly structured formats, complicating integration and analysis.</w:t>
      </w:r>
    </w:p>
    <w:p>
      <w:pPr>
        <w:spacing w:after="0" w:line="179" w:lineRule="exact"/>
        <w:rPr>
          <w:sz w:val="20"/>
          <w:szCs w:val="20"/>
          <w:color w:val="auto"/>
        </w:rPr>
      </w:pPr>
    </w:p>
    <w:p>
      <w:pPr>
        <w:ind w:left="120" w:right="220" w:firstLine="551"/>
        <w:spacing w:after="0" w:line="247" w:lineRule="auto"/>
        <w:rPr>
          <w:sz w:val="20"/>
          <w:szCs w:val="20"/>
          <w:color w:val="auto"/>
        </w:rPr>
      </w:pPr>
      <w:r>
        <w:rPr>
          <w:rFonts w:ascii="Arial" w:cs="Arial" w:eastAsia="Arial" w:hAnsi="Arial"/>
          <w:sz w:val="18"/>
          <w:szCs w:val="18"/>
          <w:color w:val="auto"/>
        </w:rPr>
        <w:t>Over the last decade, the life insurance industry has been transitioning from captive agents tied to a single carrier to independent agents offering products from multiple insurers. This trend is driven by consumer demand for choice, price transparency, and tailored coverage. According to LIMRA, independent agents distributed 53% of premiums in 2023, up 8% from 2013. This shift presents operational challenges for carriers, who must now compete in a broker-driven environment without a</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color w:val="auto"/>
        </w:rPr>
        <w:t>dedicated agent salesforce. Consequently, carriers need to invest in agent-friendly tools, simplify underwriting, and offer competitive products to attract independent agents and agencies focused on consumer value rather than brand loyalty.</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Consumer Demand for DTC Sales Positions Ethos for Success</w:t>
      </w:r>
    </w:p>
    <w:p>
      <w:pPr>
        <w:spacing w:after="0" w:line="210"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According to LIMRA, approximately 90% of life insurance premiums are sold through agents. We believe DTC sales will continue to gain traction as consumers increasingly expect a digital end-to-end experience. The United States auto insurance sector has demonstrated this preference shift: Progressive wrote 56% of its personal auto premiums through DTC channels for the year ended December 31, 2024 according to company filings. Life insurance is undergoing a similar transformation, and we believe Ethos is positioned to lead and benefit from this transition with its modern, technology-first platform.</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Extensible Platform Drives Growth and Efficiency</w:t>
      </w:r>
    </w:p>
    <w:p>
      <w:pPr>
        <w:spacing w:after="0" w:line="210"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Our technology platform is extensible, enabling us to scale more rapidly and more efficiently than traditional carriers. Built on a unified data infrastructure, our digitally native platform can launch products quickly, enhance product design, and update pricing in real-time. This allows us to leverage platform development costs across a broad base of products and distribution, maximizing efficiency and return on investment. For example, we migrated an existing Whole Life Insurance product from a carrier purchase experience to our digitally native platform in during three months ended March 31, 2024. As a result, total policy activations for this product grew 314% in 2024 compared to 163% in 2023. In addition, we believe our platform compares favorably to other non-traditional insurance companies in our industry. While many non-traditional insurance companies have implemented elements of automated underwriting to some degree, we believe our platform’s underwriting engine is competitively differentiated in its ability to ingest and analyze a wide range of data sources and identify which data points are most relevant to each individual applicant, both at scale. For example, we are able to deliver underwriting decisions for the majority of applicants within ten minutes, and deliver instant decisions for 95% of applicants based on internal data. Our platform’s scale enhances our underwriting engine and results by continuously generating additional data points that support ongoing refinement of our underwriting model. Further, because our platform is fully native, unlike many non-traditional insurance companies, we can analyze data across the entire ecosystem, from the application engine, underwriting engine, payments and commissions, and marketing infrastructure, allowing us to continuously improve our platform.</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Multi-Carrier Relationship Model Delivers Value to Consumers and Agents</w:t>
      </w:r>
    </w:p>
    <w:p>
      <w:pPr>
        <w:spacing w:after="0" w:line="210"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Unlike traditional insurers that typically focus on specific market segments and risk classes, our business model encompasses a wide range of products and risk categories within the life insurance sector. We work with multiple carriers, including a range of established national insurers with varied underwriting capabilities and product strengths, selected based on how well their capabilities align with a product’s design, underwriting needs, and intended risk and customer profile. These carriers vary in their strengths across product types, such as Term Life Insurance, Whole Life, and Indexed Universal Life Insurance.</w:t>
      </w:r>
    </w:p>
    <w:p>
      <w:pPr>
        <w:spacing w:after="0" w:line="176"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When evaluating a new product opportunity, we engage with multiple carriers to assess their interest level, underwriting capabilities, growth capacity, and willingness to support specific product characteristics, such as pricing structure, risk profile, and underwriting requirements. This approach enables us to select the carrier or carriers best positioned to support the product’s distribution, underwriting, and performance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objectives. The optimal carrier partner may vary by product based on the factors above, and in some cases we also engage with multiple carriers for a particular product type. However, in all cases, we aim to select the carrier or carriers best suited to support our goals for each product on our platform.</w:t>
      </w:r>
    </w:p>
    <w:p>
      <w:pPr>
        <w:spacing w:after="0" w:line="169"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This flexible model allows us to offer diverse products with the most suitable carrier, driving strong demand from targeted consumer profiles. By maintaining multiple carrier relationships across product categories, we are able to expand our offerings to reach a broader range of consumer profiles and aim to better match applicants with the most suitable policies. This strategy is reflected in our product overview table set forth under “—Our Products” below, which demonstrates the breadth of our carrier relationships across the Ethos platform and sets out our specific product categories, their risk characteristics, and the related carriers issuing such products.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Diverse Go-to-Market Channels</w:t>
      </w:r>
    </w:p>
    <w:p>
      <w:pPr>
        <w:spacing w:after="0" w:line="210"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By leveraging both our DTC digital platform and extensive third-party channel, Ethos captures a wide array of consumer use cases and preferences, allowing us to evolve our platform in response to market demands and reinforce our data moat. We cater both to consumers who prefer the personalized agent experience and others who opt for the convenience of DTC. This diverse go-to-market approach allows us to reach a broader range of consumers across multiple geographies and income levels. Both strategies offer comprehensive advantages: the DTC channel provides direct consumer feedback, enabling us to refine interfaces and product features, while the third-party channel offers valuable market and product insights, informing our product and distribution roadmap.</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Data Moat</w:t>
      </w:r>
    </w:p>
    <w:p>
      <w:pPr>
        <w:spacing w:after="0" w:line="21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As a vertically integrated platform, Ethos collects extensive data and insights from consumer interactions and third-party data providers. Our closed-loop data system, which integrates consumer disclosures with reflexive application questions, continually refines our underwriting models. With over 480,000 cumulative policies activated since inception, Ethos has built a robust data moat that enhances accuracy, efficiency, and pricing as more consumer data flows through the platform. Given the complexity of life insurance underwriting, where rare conditions have an incidence rate of &lt;0.01%, this scale and diversity of data is crucial for enhancing our underwriting engine. Additionally, by integrating this data into our consumer acquisition engine, Ethos fine-tunes targeting, optimizes ad spend, and improves conversion rates. This comprehensive data integration translates into superior unit economics and competitive pricing across the ecosystem, Ethos, consumers, agents, and carriers, representing a notable barrier for new entrants.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Early Mover Advantage</w:t>
      </w:r>
    </w:p>
    <w:p>
      <w:pPr>
        <w:spacing w:after="0" w:line="210"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Ethos holds a powerful early mover advantage as one of the only scaled technology platforms in the life insurance industry. Our early market entry in 2018 has allowed us to forge long-standing strategic relationships with leading insurance carriers that share our commitment to digitization. Building relationships with carriers is a challenging task, as carriers set a high bar for entrusting a platform like ours with underwriting policies and managing risk on their behalf.</w:t>
      </w:r>
    </w:p>
    <w:p>
      <w:pPr>
        <w:spacing w:after="0" w:line="174" w:lineRule="exact"/>
        <w:rPr>
          <w:sz w:val="20"/>
          <w:szCs w:val="20"/>
          <w:color w:val="auto"/>
        </w:rPr>
      </w:pPr>
    </w:p>
    <w:p>
      <w:pPr>
        <w:ind w:left="120" w:right="220" w:firstLine="551"/>
        <w:spacing w:after="0" w:line="247" w:lineRule="auto"/>
        <w:rPr>
          <w:sz w:val="20"/>
          <w:szCs w:val="20"/>
          <w:color w:val="auto"/>
        </w:rPr>
      </w:pPr>
      <w:r>
        <w:rPr>
          <w:rFonts w:ascii="Arial" w:cs="Arial" w:eastAsia="Arial" w:hAnsi="Arial"/>
          <w:sz w:val="18"/>
          <w:szCs w:val="18"/>
          <w:color w:val="auto"/>
        </w:rPr>
        <w:t>This foundation has been further strengthened by significant technological advancements, particularly in our underwriting engine, which now instantly processes 95% of applications as of September 30, 2025, up from 73% in 2021 and 12% in 2019 based on internal data. Our cumulative investment since 2020 of over $750 million in sales, marketing, and research and development, or R&amp;D, has established a strong brand and technological edge. Central to these achievements is our</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color w:val="auto"/>
        </w:rPr>
        <w:t>carefully assembled team, whose specialized domain expertise has been instrumental in modernizing this antiquated, highly regulated sector. Together, these elements create a substantial barrier for potential entrants, positioning us well for continued growth.</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Proven Track Record with Industry Leading Carriers</w:t>
      </w:r>
    </w:p>
    <w:p>
      <w:pPr>
        <w:spacing w:after="0" w:line="102" w:lineRule="exact"/>
        <w:rPr>
          <w:sz w:val="20"/>
          <w:szCs w:val="20"/>
          <w:color w:val="auto"/>
        </w:rPr>
      </w:pPr>
    </w:p>
    <w:p>
      <w:pPr>
        <w:ind w:left="120" w:right="360" w:firstLine="551"/>
        <w:spacing w:after="0" w:line="244" w:lineRule="auto"/>
        <w:rPr>
          <w:sz w:val="20"/>
          <w:szCs w:val="20"/>
          <w:color w:val="auto"/>
        </w:rPr>
      </w:pPr>
      <w:r>
        <w:rPr>
          <w:rFonts w:ascii="Arial" w:cs="Arial" w:eastAsia="Arial" w:hAnsi="Arial"/>
          <w:sz w:val="18"/>
          <w:szCs w:val="18"/>
          <w:color w:val="auto"/>
        </w:rPr>
        <w:t>Ethos has consistently demonstrated its ability to deliver exceptional value to our carriers. Our three longest tenured, active carriers, who are also our top carriers by distribution, have grown at an average compound annual growth rate, or CAGR, of 64% in annual premiums activated through Ethos from 2021 to 2024. For each of these carriers, we were their largest source of life insurance premiums in 2024. We believe that our track record in driving value for the carriers with whom we work not only helps us retain our existing carriers but also positions us as an attractive choice for new carrier relationships.</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Strategies</w:t>
      </w:r>
    </w:p>
    <w:p>
      <w:pPr>
        <w:spacing w:after="0" w:line="104"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b w:val="1"/>
          <w:bCs w:val="1"/>
          <w:i w:val="1"/>
          <w:iCs w:val="1"/>
          <w:color w:val="auto"/>
        </w:rPr>
        <w:t>Attract More Consumers:</w:t>
      </w:r>
      <w:r>
        <w:rPr>
          <w:rFonts w:ascii="Arial" w:cs="Arial" w:eastAsia="Arial" w:hAnsi="Arial"/>
          <w:sz w:val="18"/>
          <w:szCs w:val="18"/>
          <w:color w:val="auto"/>
        </w:rPr>
        <w:t xml:space="preserve">  We continue to attract more consumers by leveraging our rapidly growing data advantage,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strengthens as we scale. As our consumer base expands, our platform benefits from enhanced data and machine learning, enabling us to offer personalized interactions with our platform, more accurate underwriting, competitive pricing, and higher approval rates. This broadens our appeal and creates a virtuous cycle, where the influx of new consumers generates additional data, further enhancing customer satisfaction and attracting even more consumers to Ethos.</w:t>
      </w:r>
    </w:p>
    <w:p>
      <w:pPr>
        <w:spacing w:after="0" w:line="136"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b w:val="1"/>
          <w:bCs w:val="1"/>
          <w:i w:val="1"/>
          <w:iCs w:val="1"/>
          <w:color w:val="auto"/>
        </w:rPr>
        <w:t>Recruit More Agents and Increase Ethos’ Share of Our Agents’ Sales:</w:t>
      </w:r>
      <w:r>
        <w:rPr>
          <w:rFonts w:ascii="Arial" w:cs="Arial" w:eastAsia="Arial" w:hAnsi="Arial"/>
          <w:sz w:val="18"/>
          <w:szCs w:val="18"/>
          <w:color w:val="auto"/>
        </w:rPr>
        <w:t xml:space="preserve">  We have a strong network of over 10,000 active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agents on our platform as of December 31, 2024 and we are committed to expanding this network. We believe by providing agents with essential tools and offering a streamlined experience, we boost their productivity and effectiveness, positioning Ethos as a preferred choice for agents. Additionally, we intend to continue investing in incentives that encourage agents to join and continue managing their business on our platform.</w:t>
      </w:r>
    </w:p>
    <w:p>
      <w:pPr>
        <w:spacing w:after="0" w:line="176" w:lineRule="exact"/>
        <w:rPr>
          <w:sz w:val="20"/>
          <w:szCs w:val="20"/>
          <w:color w:val="auto"/>
        </w:rPr>
      </w:pPr>
    </w:p>
    <w:p>
      <w:pPr>
        <w:ind w:left="120" w:right="220" w:firstLine="551"/>
        <w:spacing w:after="0" w:line="253" w:lineRule="auto"/>
        <w:rPr>
          <w:sz w:val="20"/>
          <w:szCs w:val="20"/>
          <w:color w:val="auto"/>
        </w:rPr>
      </w:pPr>
      <w:r>
        <w:rPr>
          <w:rFonts w:ascii="Arial" w:cs="Arial" w:eastAsia="Arial" w:hAnsi="Arial"/>
          <w:sz w:val="18"/>
          <w:szCs w:val="18"/>
          <w:b w:val="1"/>
          <w:bCs w:val="1"/>
          <w:i w:val="1"/>
          <w:iCs w:val="1"/>
          <w:color w:val="auto"/>
        </w:rPr>
        <w:t>Enhance Agent Productivity:</w:t>
      </w:r>
      <w:r>
        <w:rPr>
          <w:rFonts w:ascii="Arial" w:cs="Arial" w:eastAsia="Arial" w:hAnsi="Arial"/>
          <w:sz w:val="18"/>
          <w:szCs w:val="18"/>
          <w:color w:val="auto"/>
        </w:rPr>
        <w:t xml:space="preserve">  We have achieved significant success by equipping agents with our comprehensive digital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and there are more enhancements to come. We will continue to invest in platform features to streamline the sales process and boost agent productivity to attract more agents and drive growth.</w:t>
      </w:r>
    </w:p>
    <w:p>
      <w:pPr>
        <w:spacing w:after="0" w:line="169"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b w:val="1"/>
          <w:bCs w:val="1"/>
          <w:i w:val="1"/>
          <w:iCs w:val="1"/>
          <w:color w:val="auto"/>
        </w:rPr>
        <w:t>Expand Our Product Portfolio:</w:t>
      </w:r>
      <w:r>
        <w:rPr>
          <w:rFonts w:ascii="Arial" w:cs="Arial" w:eastAsia="Arial" w:hAnsi="Arial"/>
          <w:sz w:val="18"/>
          <w:szCs w:val="18"/>
          <w:color w:val="auto"/>
        </w:rPr>
        <w:t xml:space="preserve">  Ethos has expanded from one product in 2019 to ten products as of December 31, 2024.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intend to continue broadening the product offerings available on our platform and plan to launch two additional products, Cancer Insurance and Accumulation Indexed Universal Life Insurance, by the end of 2025. These new products are expected to be launched without the need for additional financing.</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Ethos offers a comprehensive range of life-insurance and adjacent products:</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 Life Insurance</w:t>
      </w:r>
    </w:p>
    <w:p>
      <w:pPr>
        <w:spacing w:after="0" w:line="102"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Term Life Insurance policies offer coverage for a specified period, with a benefit paid to the designated beneficiary or beneficiaries if the insured passes away during the policy term. Our diverse portfolio of Term Life Insurance products accommodates a broad range of applicants—spanning various ages, health classifications, and policy sizes—enabling us to serve a wide segment of the U.S. population.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Whole Life Insurance</w:t>
      </w:r>
    </w:p>
    <w:p>
      <w:pPr>
        <w:spacing w:after="0" w:line="102" w:lineRule="exact"/>
        <w:rPr>
          <w:sz w:val="20"/>
          <w:szCs w:val="20"/>
          <w:color w:val="auto"/>
        </w:rPr>
      </w:pPr>
    </w:p>
    <w:p>
      <w:pPr>
        <w:ind w:left="120" w:right="240" w:firstLine="551"/>
        <w:spacing w:after="0" w:line="271" w:lineRule="auto"/>
        <w:rPr>
          <w:sz w:val="20"/>
          <w:szCs w:val="20"/>
          <w:color w:val="auto"/>
        </w:rPr>
      </w:pPr>
      <w:r>
        <w:rPr>
          <w:rFonts w:ascii="Arial" w:cs="Arial" w:eastAsia="Arial" w:hAnsi="Arial"/>
          <w:sz w:val="18"/>
          <w:szCs w:val="18"/>
          <w:color w:val="auto"/>
        </w:rPr>
        <w:t>Our Whole Life Insurance simplifies coverage for individuals of a wide range of backgrounds, including older consumers or those with health considerations. The benefit is permanent and, so long</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consumers continue paying premium payments, can help cover expenses such as funeral costs, medical bills, and other expenses.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benefit amounts ranging from $2,000 to $100,000, we provide lifelong coverage at a secured rate.</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Indexed Universal Life Insurance</w:t>
      </w:r>
    </w:p>
    <w:p>
      <w:pPr>
        <w:spacing w:after="0" w:line="102" w:lineRule="exact"/>
        <w:rPr>
          <w:sz w:val="20"/>
          <w:szCs w:val="20"/>
          <w:color w:val="auto"/>
        </w:rPr>
      </w:pPr>
    </w:p>
    <w:p>
      <w:pPr>
        <w:ind w:left="120" w:right="240" w:firstLine="551"/>
        <w:spacing w:after="0" w:line="247" w:lineRule="auto"/>
        <w:rPr>
          <w:sz w:val="20"/>
          <w:szCs w:val="20"/>
          <w:color w:val="auto"/>
        </w:rPr>
      </w:pPr>
      <w:r>
        <w:rPr>
          <w:rFonts w:ascii="Arial" w:cs="Arial" w:eastAsia="Arial" w:hAnsi="Arial"/>
          <w:sz w:val="18"/>
          <w:szCs w:val="18"/>
          <w:color w:val="auto"/>
        </w:rPr>
        <w:t>Indexed Universal Life Insurance products allow consumers to utilize market-linked returns to help fund permanent life insurance coverage, providing potentially lower premiums for protection and/or the ability to achieve tax-advantaged accumulation. With benefit amounts up to $2.0 million, Indexed Universal Life Insurance provides a versatile solution for those seeking security, financial growth, or both.</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Wills &amp; Estate Planning</w:t>
      </w:r>
    </w:p>
    <w:p>
      <w:pPr>
        <w:spacing w:after="0" w:line="102"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Wills and other estate planning tools help to ensure assets are properly distributed to provide loved ones with a financial safety net. We offer the optionality to seamlessly bundle will and estate planning tools with eligible policies sold through our platform. Additionally, both will creation and estate planning tools may be purchased separately. Our will creation service facilitates the designation of guardians and asset distribution, providing peace of mind. For estate planning, we cover everything from finances to caregiving, including the tools to create a will, trust, power of attorney, advanced medical directive, and more. We provide a simple, self-guided platform for quick and easy setup with no attorney required, saving both time and money.</w:t>
      </w:r>
    </w:p>
    <w:p>
      <w:pPr>
        <w:spacing w:after="0" w:line="205" w:lineRule="exact"/>
        <w:rPr>
          <w:sz w:val="20"/>
          <w:szCs w:val="20"/>
          <w:color w:val="auto"/>
        </w:rPr>
      </w:pPr>
    </w:p>
    <w:tbl>
      <w:tblPr>
        <w:tblLayout w:type="fixed"/>
        <w:tblInd w:w="130" w:type="dxa"/>
        <w:tblCellMar>
          <w:top w:w="0" w:type="dxa"/>
          <w:left w:w="0" w:type="dxa"/>
          <w:bottom w:w="0" w:type="dxa"/>
          <w:right w:w="0" w:type="dxa"/>
        </w:tblCellMar>
      </w:tblPr>
      <w:tr>
        <w:trPr>
          <w:trHeight w:val="197"/>
        </w:trPr>
        <w:tc>
          <w:tcPr>
            <w:tcW w:w="1740" w:type="dxa"/>
            <w:vAlign w:val="bottom"/>
            <w:tcBorders>
              <w:top w:val="single" w:sz="8" w:color="auto"/>
              <w:left w:val="single" w:sz="8" w:color="auto"/>
              <w:right w:val="single" w:sz="8" w:color="auto"/>
            </w:tcBorders>
            <w:vMerge w:val="restart"/>
            <w:shd w:val="clear" w:color="auto" w:fill="0A540F"/>
          </w:tcPr>
          <w:p>
            <w:pPr>
              <w:ind w:left="160"/>
              <w:spacing w:after="0"/>
              <w:rPr>
                <w:sz w:val="20"/>
                <w:szCs w:val="20"/>
                <w:color w:val="auto"/>
              </w:rPr>
            </w:pPr>
            <w:r>
              <w:rPr>
                <w:rFonts w:ascii="Arial" w:cs="Arial" w:eastAsia="Arial" w:hAnsi="Arial"/>
                <w:sz w:val="18"/>
                <w:szCs w:val="18"/>
                <w:b w:val="1"/>
                <w:bCs w:val="1"/>
                <w:color w:val="FCFDFC"/>
              </w:rPr>
              <w:t>Product Type</w:t>
            </w:r>
            <w:r>
              <w:rPr>
                <w:rFonts w:ascii="Arial" w:cs="Arial" w:eastAsia="Arial" w:hAnsi="Arial"/>
                <w:sz w:val="26"/>
                <w:szCs w:val="26"/>
                <w:b w:val="1"/>
                <w:bCs w:val="1"/>
                <w:color w:val="FCFDFC"/>
                <w:vertAlign w:val="superscript"/>
              </w:rPr>
              <w:t>1</w:t>
            </w:r>
          </w:p>
        </w:tc>
        <w:tc>
          <w:tcPr>
            <w:tcW w:w="1960" w:type="dxa"/>
            <w:vAlign w:val="bottom"/>
            <w:tcBorders>
              <w:top w:val="single" w:sz="8" w:color="auto"/>
              <w:right w:val="single" w:sz="8" w:color="auto"/>
            </w:tcBorders>
            <w:shd w:val="clear" w:color="auto" w:fill="0A540F"/>
          </w:tcPr>
          <w:p>
            <w:pPr>
              <w:spacing w:after="0"/>
              <w:rPr>
                <w:sz w:val="17"/>
                <w:szCs w:val="17"/>
                <w:color w:val="auto"/>
              </w:rPr>
            </w:pPr>
          </w:p>
        </w:tc>
        <w:tc>
          <w:tcPr>
            <w:tcW w:w="1980" w:type="dxa"/>
            <w:vAlign w:val="bottom"/>
            <w:tcBorders>
              <w:top w:val="single" w:sz="8" w:color="auto"/>
              <w:right w:val="single" w:sz="8" w:color="auto"/>
            </w:tcBorders>
            <w:shd w:val="clear" w:color="auto" w:fill="0A540F"/>
          </w:tcPr>
          <w:p>
            <w:pPr>
              <w:spacing w:after="0"/>
              <w:rPr>
                <w:sz w:val="17"/>
                <w:szCs w:val="17"/>
                <w:color w:val="auto"/>
              </w:rPr>
            </w:pPr>
          </w:p>
        </w:tc>
        <w:tc>
          <w:tcPr>
            <w:tcW w:w="1360" w:type="dxa"/>
            <w:vAlign w:val="bottom"/>
            <w:tcBorders>
              <w:top w:val="single" w:sz="8" w:color="auto"/>
              <w:right w:val="single" w:sz="8" w:color="auto"/>
            </w:tcBorders>
            <w:shd w:val="clear" w:color="auto" w:fill="0A540F"/>
          </w:tcPr>
          <w:p>
            <w:pPr>
              <w:jc w:val="center"/>
              <w:spacing w:after="0" w:line="197" w:lineRule="exact"/>
              <w:rPr>
                <w:sz w:val="20"/>
                <w:szCs w:val="20"/>
                <w:color w:val="auto"/>
              </w:rPr>
            </w:pPr>
            <w:r>
              <w:rPr>
                <w:rFonts w:ascii="Arial" w:cs="Arial" w:eastAsia="Arial" w:hAnsi="Arial"/>
                <w:sz w:val="18"/>
                <w:szCs w:val="18"/>
                <w:b w:val="1"/>
                <w:bCs w:val="1"/>
                <w:color w:val="FCFCFC"/>
                <w:w w:val="99"/>
              </w:rPr>
              <w:t>Number of</w:t>
            </w:r>
          </w:p>
        </w:tc>
        <w:tc>
          <w:tcPr>
            <w:tcW w:w="4000" w:type="dxa"/>
            <w:vAlign w:val="bottom"/>
            <w:tcBorders>
              <w:top w:val="single" w:sz="8" w:color="auto"/>
              <w:right w:val="single" w:sz="8" w:color="auto"/>
            </w:tcBorders>
            <w:shd w:val="clear" w:color="auto" w:fill="0A540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740" w:type="dxa"/>
            <w:vAlign w:val="bottom"/>
            <w:tcBorders>
              <w:left w:val="single" w:sz="8" w:color="auto"/>
              <w:bottom w:val="single" w:sz="8" w:color="auto"/>
              <w:right w:val="single" w:sz="8" w:color="auto"/>
            </w:tcBorders>
            <w:vMerge w:val="continue"/>
            <w:shd w:val="clear" w:color="auto" w:fill="0A540F"/>
          </w:tcPr>
          <w:p>
            <w:pPr>
              <w:spacing w:after="0"/>
              <w:rPr>
                <w:sz w:val="19"/>
                <w:szCs w:val="19"/>
                <w:color w:val="auto"/>
              </w:rPr>
            </w:pPr>
          </w:p>
        </w:tc>
        <w:tc>
          <w:tcPr>
            <w:tcW w:w="1960" w:type="dxa"/>
            <w:vAlign w:val="bottom"/>
            <w:tcBorders>
              <w:bottom w:val="single" w:sz="8" w:color="auto"/>
              <w:right w:val="single" w:sz="8" w:color="auto"/>
            </w:tcBorders>
            <w:shd w:val="clear" w:color="auto" w:fill="0A540F"/>
          </w:tcPr>
          <w:p>
            <w:pPr>
              <w:jc w:val="center"/>
              <w:spacing w:after="0"/>
              <w:rPr>
                <w:sz w:val="20"/>
                <w:szCs w:val="20"/>
                <w:color w:val="auto"/>
              </w:rPr>
            </w:pPr>
            <w:r>
              <w:rPr>
                <w:rFonts w:ascii="Arial" w:cs="Arial" w:eastAsia="Arial" w:hAnsi="Arial"/>
                <w:sz w:val="18"/>
                <w:szCs w:val="18"/>
                <w:b w:val="1"/>
                <w:bCs w:val="1"/>
                <w:color w:val="FCFCFC"/>
                <w:w w:val="98"/>
              </w:rPr>
              <w:t>Carriers</w:t>
            </w:r>
          </w:p>
        </w:tc>
        <w:tc>
          <w:tcPr>
            <w:tcW w:w="1980" w:type="dxa"/>
            <w:vAlign w:val="bottom"/>
            <w:tcBorders>
              <w:bottom w:val="single" w:sz="8" w:color="auto"/>
              <w:right w:val="single" w:sz="8" w:color="auto"/>
            </w:tcBorders>
            <w:shd w:val="clear" w:color="auto" w:fill="0A540F"/>
          </w:tcPr>
          <w:p>
            <w:pPr>
              <w:jc w:val="center"/>
              <w:spacing w:after="0"/>
              <w:rPr>
                <w:sz w:val="20"/>
                <w:szCs w:val="20"/>
                <w:color w:val="auto"/>
              </w:rPr>
            </w:pPr>
            <w:r>
              <w:rPr>
                <w:rFonts w:ascii="Arial" w:cs="Arial" w:eastAsia="Arial" w:hAnsi="Arial"/>
                <w:sz w:val="18"/>
                <w:szCs w:val="18"/>
                <w:b w:val="1"/>
                <w:bCs w:val="1"/>
                <w:color w:val="FCFCFC"/>
                <w:w w:val="99"/>
              </w:rPr>
              <w:t>Our Role</w:t>
            </w:r>
          </w:p>
        </w:tc>
        <w:tc>
          <w:tcPr>
            <w:tcW w:w="1360" w:type="dxa"/>
            <w:vAlign w:val="bottom"/>
            <w:tcBorders>
              <w:bottom w:val="single" w:sz="8" w:color="auto"/>
              <w:right w:val="single" w:sz="8" w:color="auto"/>
            </w:tcBorders>
            <w:shd w:val="clear" w:color="auto" w:fill="0A540F"/>
          </w:tcPr>
          <w:p>
            <w:pPr>
              <w:jc w:val="center"/>
              <w:spacing w:after="0"/>
              <w:rPr>
                <w:sz w:val="20"/>
                <w:szCs w:val="20"/>
                <w:color w:val="auto"/>
              </w:rPr>
            </w:pPr>
            <w:r>
              <w:rPr>
                <w:rFonts w:ascii="Arial" w:cs="Arial" w:eastAsia="Arial" w:hAnsi="Arial"/>
                <w:sz w:val="18"/>
                <w:szCs w:val="18"/>
                <w:b w:val="1"/>
                <w:bCs w:val="1"/>
                <w:color w:val="FCFCFC"/>
                <w:w w:val="99"/>
              </w:rPr>
              <w:t>Products</w:t>
            </w:r>
          </w:p>
        </w:tc>
        <w:tc>
          <w:tcPr>
            <w:tcW w:w="4000" w:type="dxa"/>
            <w:vAlign w:val="bottom"/>
            <w:tcBorders>
              <w:bottom w:val="single" w:sz="8" w:color="auto"/>
              <w:right w:val="single" w:sz="8" w:color="auto"/>
            </w:tcBorders>
            <w:shd w:val="clear" w:color="auto" w:fill="0A540F"/>
          </w:tcPr>
          <w:p>
            <w:pPr>
              <w:ind w:left="1520"/>
              <w:spacing w:after="0"/>
              <w:rPr>
                <w:sz w:val="20"/>
                <w:szCs w:val="20"/>
                <w:color w:val="auto"/>
              </w:rPr>
            </w:pPr>
            <w:r>
              <w:rPr>
                <w:rFonts w:ascii="Arial" w:cs="Arial" w:eastAsia="Arial" w:hAnsi="Arial"/>
                <w:sz w:val="18"/>
                <w:szCs w:val="18"/>
                <w:b w:val="1"/>
                <w:bCs w:val="1"/>
                <w:color w:val="FCFCFC"/>
              </w:rPr>
              <w:t>Description</w:t>
            </w:r>
          </w:p>
        </w:tc>
        <w:tc>
          <w:tcPr>
            <w:tcW w:w="0" w:type="dxa"/>
            <w:vAlign w:val="bottom"/>
          </w:tcPr>
          <w:p>
            <w:pPr>
              <w:spacing w:after="0"/>
              <w:rPr>
                <w:sz w:val="1"/>
                <w:szCs w:val="1"/>
                <w:color w:val="auto"/>
              </w:rPr>
            </w:pPr>
          </w:p>
        </w:tc>
      </w:tr>
      <w:tr>
        <w:trPr>
          <w:trHeight w:val="177"/>
        </w:trPr>
        <w:tc>
          <w:tcPr>
            <w:tcW w:w="1740" w:type="dxa"/>
            <w:vAlign w:val="bottom"/>
            <w:tcBorders>
              <w:left w:val="single" w:sz="8" w:color="auto"/>
              <w:right w:val="single" w:sz="8" w:color="auto"/>
            </w:tcBorders>
          </w:tcPr>
          <w:p>
            <w:pPr>
              <w:jc w:val="center"/>
              <w:ind w:left="50"/>
              <w:spacing w:after="0" w:line="177" w:lineRule="exact"/>
              <w:rPr>
                <w:sz w:val="20"/>
                <w:szCs w:val="20"/>
                <w:color w:val="auto"/>
              </w:rPr>
            </w:pPr>
            <w:r>
              <w:rPr>
                <w:rFonts w:ascii="Arial" w:cs="Arial" w:eastAsia="Arial" w:hAnsi="Arial"/>
                <w:sz w:val="18"/>
                <w:szCs w:val="18"/>
                <w:b w:val="1"/>
                <w:bCs w:val="1"/>
                <w:color w:val="auto"/>
                <w:w w:val="98"/>
              </w:rPr>
              <w:t>Term Life</w:t>
            </w:r>
          </w:p>
        </w:tc>
        <w:tc>
          <w:tcPr>
            <w:tcW w:w="19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Banner Life (formerly</w:t>
            </w:r>
          </w:p>
        </w:tc>
        <w:tc>
          <w:tcPr>
            <w:tcW w:w="19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4"/>
                <w:szCs w:val="14"/>
                <w:color w:val="auto"/>
              </w:rPr>
              <w:t>Distribution</w:t>
            </w:r>
            <w:r>
              <w:rPr>
                <w:rFonts w:ascii="Arial" w:cs="Arial" w:eastAsia="Arial" w:hAnsi="Arial"/>
                <w:sz w:val="20"/>
                <w:szCs w:val="20"/>
                <w:color w:val="auto"/>
                <w:vertAlign w:val="superscript"/>
              </w:rPr>
              <w:t>2</w:t>
            </w:r>
            <w:r>
              <w:rPr>
                <w:rFonts w:ascii="Arial" w:cs="Arial" w:eastAsia="Arial" w:hAnsi="Arial"/>
                <w:sz w:val="14"/>
                <w:szCs w:val="14"/>
                <w:color w:val="auto"/>
              </w:rPr>
              <w:t>,</w:t>
            </w:r>
          </w:p>
        </w:tc>
        <w:tc>
          <w:tcPr>
            <w:tcW w:w="13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4</w:t>
            </w:r>
          </w:p>
        </w:tc>
        <w:tc>
          <w:tcPr>
            <w:tcW w:w="400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Each Term Life Insurance product was</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jc w:val="center"/>
              <w:ind w:left="50"/>
              <w:spacing w:after="0" w:line="202" w:lineRule="exact"/>
              <w:rPr>
                <w:sz w:val="20"/>
                <w:szCs w:val="20"/>
                <w:color w:val="auto"/>
              </w:rPr>
            </w:pPr>
            <w:r>
              <w:rPr>
                <w:rFonts w:ascii="Arial" w:cs="Arial" w:eastAsia="Arial" w:hAnsi="Arial"/>
                <w:sz w:val="18"/>
                <w:szCs w:val="18"/>
                <w:b w:val="1"/>
                <w:bCs w:val="1"/>
                <w:color w:val="auto"/>
                <w:w w:val="98"/>
              </w:rPr>
              <w:t>Insurance</w:t>
            </w:r>
          </w:p>
        </w:tc>
        <w:tc>
          <w:tcPr>
            <w:tcW w:w="19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Legal &amp; General</w:t>
            </w:r>
          </w:p>
        </w:tc>
        <w:tc>
          <w:tcPr>
            <w:tcW w:w="19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Underwriting</w:t>
            </w:r>
          </w:p>
        </w:tc>
        <w:tc>
          <w:tcPr>
            <w:tcW w:w="1360" w:type="dxa"/>
            <w:vAlign w:val="bottom"/>
            <w:tcBorders>
              <w:right w:val="single" w:sz="8" w:color="auto"/>
            </w:tcBorders>
          </w:tcPr>
          <w:p>
            <w:pPr>
              <w:spacing w:after="0"/>
              <w:rPr>
                <w:sz w:val="17"/>
                <w:szCs w:val="17"/>
                <w:color w:val="auto"/>
              </w:rPr>
            </w:pPr>
          </w:p>
        </w:tc>
        <w:tc>
          <w:tcPr>
            <w:tcW w:w="40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designed to serve a particular consumer risk</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9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America)</w:t>
            </w:r>
          </w:p>
        </w:tc>
        <w:tc>
          <w:tcPr>
            <w:tcW w:w="19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Administration, and</w:t>
            </w:r>
          </w:p>
        </w:tc>
        <w:tc>
          <w:tcPr>
            <w:tcW w:w="1360" w:type="dxa"/>
            <w:vAlign w:val="bottom"/>
            <w:tcBorders>
              <w:right w:val="single" w:sz="8" w:color="auto"/>
            </w:tcBorders>
          </w:tcPr>
          <w:p>
            <w:pPr>
              <w:spacing w:after="0"/>
              <w:rPr>
                <w:sz w:val="17"/>
                <w:szCs w:val="17"/>
                <w:color w:val="auto"/>
              </w:rPr>
            </w:pPr>
          </w:p>
        </w:tc>
        <w:tc>
          <w:tcPr>
            <w:tcW w:w="40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profile and has differentiated features (such as</w:t>
            </w:r>
          </w:p>
        </w:tc>
        <w:tc>
          <w:tcPr>
            <w:tcW w:w="0" w:type="dxa"/>
            <w:vAlign w:val="bottom"/>
          </w:tcPr>
          <w:p>
            <w:pPr>
              <w:spacing w:after="0"/>
              <w:rPr>
                <w:sz w:val="1"/>
                <w:szCs w:val="1"/>
                <w:color w:val="auto"/>
              </w:rPr>
            </w:pPr>
          </w:p>
        </w:tc>
      </w:tr>
      <w:tr>
        <w:trPr>
          <w:trHeight w:val="202"/>
        </w:trPr>
        <w:tc>
          <w:tcPr>
            <w:tcW w:w="1740" w:type="dxa"/>
            <w:vAlign w:val="bottom"/>
            <w:tcBorders>
              <w:left w:val="single" w:sz="8" w:color="auto"/>
              <w:right w:val="single" w:sz="8" w:color="auto"/>
            </w:tcBorders>
          </w:tcPr>
          <w:p>
            <w:pPr>
              <w:spacing w:after="0"/>
              <w:rPr>
                <w:sz w:val="17"/>
                <w:szCs w:val="17"/>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Ameritas</w:t>
            </w:r>
          </w:p>
        </w:tc>
        <w:tc>
          <w:tcPr>
            <w:tcW w:w="19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Policy Administration</w:t>
            </w:r>
          </w:p>
        </w:tc>
        <w:tc>
          <w:tcPr>
            <w:tcW w:w="1360" w:type="dxa"/>
            <w:vAlign w:val="bottom"/>
            <w:tcBorders>
              <w:right w:val="single" w:sz="8" w:color="auto"/>
            </w:tcBorders>
          </w:tcPr>
          <w:p>
            <w:pPr>
              <w:spacing w:after="0"/>
              <w:rPr>
                <w:sz w:val="17"/>
                <w:szCs w:val="17"/>
                <w:color w:val="auto"/>
              </w:rPr>
            </w:pPr>
          </w:p>
        </w:tc>
        <w:tc>
          <w:tcPr>
            <w:tcW w:w="40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coverage amounts and term length options) as</w:t>
            </w:r>
          </w:p>
        </w:tc>
        <w:tc>
          <w:tcPr>
            <w:tcW w:w="0" w:type="dxa"/>
            <w:vAlign w:val="bottom"/>
          </w:tcPr>
          <w:p>
            <w:pPr>
              <w:spacing w:after="0"/>
              <w:rPr>
                <w:sz w:val="1"/>
                <w:szCs w:val="1"/>
                <w:color w:val="auto"/>
              </w:rPr>
            </w:pPr>
          </w:p>
        </w:tc>
      </w:tr>
      <w:tr>
        <w:trPr>
          <w:trHeight w:val="104"/>
        </w:trPr>
        <w:tc>
          <w:tcPr>
            <w:tcW w:w="174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4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well as risk-adjusted pricing, as set out below:</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tcPr>
          <w:p>
            <w:pPr>
              <w:spacing w:after="0"/>
              <w:rPr>
                <w:sz w:val="11"/>
                <w:szCs w:val="11"/>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Protective</w:t>
            </w:r>
          </w:p>
        </w:tc>
        <w:tc>
          <w:tcPr>
            <w:tcW w:w="198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40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400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  10, 15, 20, 25, 30, 35, and 40 year terms</w:t>
            </w:r>
          </w:p>
        </w:tc>
        <w:tc>
          <w:tcPr>
            <w:tcW w:w="0" w:type="dxa"/>
            <w:vAlign w:val="bottom"/>
          </w:tcPr>
          <w:p>
            <w:pPr>
              <w:spacing w:after="0"/>
              <w:rPr>
                <w:sz w:val="1"/>
                <w:szCs w:val="1"/>
                <w:color w:val="auto"/>
              </w:rPr>
            </w:pPr>
          </w:p>
        </w:tc>
      </w:tr>
      <w:tr>
        <w:trPr>
          <w:trHeight w:val="189"/>
        </w:trPr>
        <w:tc>
          <w:tcPr>
            <w:tcW w:w="1740" w:type="dxa"/>
            <w:vAlign w:val="bottom"/>
            <w:tcBorders>
              <w:left w:val="single" w:sz="8" w:color="auto"/>
              <w:right w:val="single" w:sz="8" w:color="auto"/>
            </w:tcBorders>
          </w:tcPr>
          <w:p>
            <w:pPr>
              <w:spacing w:after="0"/>
              <w:rPr>
                <w:sz w:val="16"/>
                <w:szCs w:val="16"/>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TruStage</w:t>
            </w:r>
          </w:p>
        </w:tc>
        <w:tc>
          <w:tcPr>
            <w:tcW w:w="198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40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4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740" w:type="dxa"/>
            <w:vAlign w:val="bottom"/>
            <w:tcBorders>
              <w:left w:val="single" w:sz="8" w:color="auto"/>
              <w:right w:val="single" w:sz="8" w:color="auto"/>
            </w:tcBorders>
          </w:tcPr>
          <w:p>
            <w:pPr>
              <w:spacing w:after="0"/>
              <w:rPr>
                <w:sz w:val="21"/>
                <w:szCs w:val="21"/>
                <w:color w:val="auto"/>
              </w:rPr>
            </w:pPr>
          </w:p>
        </w:tc>
        <w:tc>
          <w:tcPr>
            <w:tcW w:w="196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40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  $5,000 - $3,000,000 coverage range</w:t>
            </w:r>
          </w:p>
        </w:tc>
        <w:tc>
          <w:tcPr>
            <w:tcW w:w="0" w:type="dxa"/>
            <w:vAlign w:val="bottom"/>
          </w:tcPr>
          <w:p>
            <w:pPr>
              <w:spacing w:after="0"/>
              <w:rPr>
                <w:sz w:val="1"/>
                <w:szCs w:val="1"/>
                <w:color w:val="auto"/>
              </w:rPr>
            </w:pPr>
          </w:p>
        </w:tc>
      </w:tr>
      <w:tr>
        <w:trPr>
          <w:trHeight w:val="50"/>
        </w:trPr>
        <w:tc>
          <w:tcPr>
            <w:tcW w:w="1740" w:type="dxa"/>
            <w:vAlign w:val="bottom"/>
            <w:tcBorders>
              <w:left w:val="single" w:sz="8" w:color="auto"/>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4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1740" w:type="dxa"/>
            <w:vAlign w:val="bottom"/>
            <w:tcBorders>
              <w:left w:val="single" w:sz="8" w:color="auto"/>
              <w:right w:val="single" w:sz="8" w:color="auto"/>
            </w:tcBorders>
          </w:tcPr>
          <w:p>
            <w:pPr>
              <w:jc w:val="center"/>
              <w:ind w:left="50"/>
              <w:spacing w:after="0" w:line="177" w:lineRule="exact"/>
              <w:rPr>
                <w:sz w:val="20"/>
                <w:szCs w:val="20"/>
                <w:color w:val="auto"/>
              </w:rPr>
            </w:pPr>
            <w:r>
              <w:rPr>
                <w:rFonts w:ascii="Arial" w:cs="Arial" w:eastAsia="Arial" w:hAnsi="Arial"/>
                <w:sz w:val="18"/>
                <w:szCs w:val="18"/>
                <w:b w:val="1"/>
                <w:bCs w:val="1"/>
                <w:color w:val="auto"/>
              </w:rPr>
              <w:t>Whole Life</w:t>
            </w:r>
          </w:p>
        </w:tc>
        <w:tc>
          <w:tcPr>
            <w:tcW w:w="19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7"/>
              </w:rPr>
              <w:t>TruStage</w:t>
            </w:r>
          </w:p>
        </w:tc>
        <w:tc>
          <w:tcPr>
            <w:tcW w:w="19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Distribution</w:t>
            </w:r>
          </w:p>
        </w:tc>
        <w:tc>
          <w:tcPr>
            <w:tcW w:w="13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2</w:t>
            </w:r>
          </w:p>
        </w:tc>
        <w:tc>
          <w:tcPr>
            <w:tcW w:w="400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Whole Life product provides up to $100,000 of</w:t>
            </w:r>
          </w:p>
        </w:tc>
        <w:tc>
          <w:tcPr>
            <w:tcW w:w="0" w:type="dxa"/>
            <w:vAlign w:val="bottom"/>
          </w:tcPr>
          <w:p>
            <w:pPr>
              <w:spacing w:after="0"/>
              <w:rPr>
                <w:sz w:val="1"/>
                <w:szCs w:val="1"/>
                <w:color w:val="auto"/>
              </w:rPr>
            </w:pPr>
          </w:p>
        </w:tc>
      </w:tr>
      <w:tr>
        <w:trPr>
          <w:trHeight w:val="247"/>
        </w:trPr>
        <w:tc>
          <w:tcPr>
            <w:tcW w:w="17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8"/>
              </w:rPr>
              <w:t>Insurance</w:t>
            </w:r>
          </w:p>
        </w:tc>
        <w:tc>
          <w:tcPr>
            <w:tcW w:w="196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4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coverage and builds cash value.</w:t>
            </w:r>
          </w:p>
        </w:tc>
        <w:tc>
          <w:tcPr>
            <w:tcW w:w="0" w:type="dxa"/>
            <w:vAlign w:val="bottom"/>
          </w:tcPr>
          <w:p>
            <w:pPr>
              <w:spacing w:after="0"/>
              <w:rPr>
                <w:sz w:val="1"/>
                <w:szCs w:val="1"/>
                <w:color w:val="auto"/>
              </w:rPr>
            </w:pPr>
          </w:p>
        </w:tc>
      </w:tr>
      <w:tr>
        <w:trPr>
          <w:trHeight w:val="280"/>
        </w:trPr>
        <w:tc>
          <w:tcPr>
            <w:tcW w:w="1740" w:type="dxa"/>
            <w:vAlign w:val="bottom"/>
            <w:tcBorders>
              <w:left w:val="single" w:sz="8" w:color="auto"/>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Guaranteed Whole Life product offers up to</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40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$25,000 of coverage and is available regardless</w:t>
            </w:r>
          </w:p>
        </w:tc>
        <w:tc>
          <w:tcPr>
            <w:tcW w:w="0" w:type="dxa"/>
            <w:vAlign w:val="bottom"/>
          </w:tcPr>
          <w:p>
            <w:pPr>
              <w:spacing w:after="0"/>
              <w:rPr>
                <w:sz w:val="1"/>
                <w:szCs w:val="1"/>
                <w:color w:val="auto"/>
              </w:rPr>
            </w:pPr>
          </w:p>
        </w:tc>
      </w:tr>
      <w:tr>
        <w:trPr>
          <w:trHeight w:val="239"/>
        </w:trPr>
        <w:tc>
          <w:tcPr>
            <w:tcW w:w="174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4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 health status.</w:t>
            </w:r>
          </w:p>
        </w:tc>
        <w:tc>
          <w:tcPr>
            <w:tcW w:w="0" w:type="dxa"/>
            <w:vAlign w:val="bottom"/>
          </w:tcPr>
          <w:p>
            <w:pPr>
              <w:spacing w:after="0"/>
              <w:rPr>
                <w:sz w:val="1"/>
                <w:szCs w:val="1"/>
                <w:color w:val="auto"/>
              </w:rPr>
            </w:pPr>
          </w:p>
        </w:tc>
      </w:tr>
      <w:tr>
        <w:trPr>
          <w:trHeight w:val="288"/>
        </w:trPr>
        <w:tc>
          <w:tcPr>
            <w:tcW w:w="1740" w:type="dxa"/>
            <w:vAlign w:val="bottom"/>
            <w:tcBorders>
              <w:left w:val="single" w:sz="8" w:color="auto"/>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Generally, our Whole Life Insurance products</w:t>
            </w:r>
          </w:p>
        </w:tc>
        <w:tc>
          <w:tcPr>
            <w:tcW w:w="0" w:type="dxa"/>
            <w:vAlign w:val="bottom"/>
          </w:tcPr>
          <w:p>
            <w:pPr>
              <w:spacing w:after="0"/>
              <w:rPr>
                <w:sz w:val="1"/>
                <w:szCs w:val="1"/>
                <w:color w:val="auto"/>
              </w:rPr>
            </w:pPr>
          </w:p>
        </w:tc>
      </w:tr>
      <w:tr>
        <w:trPr>
          <w:trHeight w:val="239"/>
        </w:trPr>
        <w:tc>
          <w:tcPr>
            <w:tcW w:w="174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40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have the following features:</w:t>
            </w:r>
          </w:p>
        </w:tc>
        <w:tc>
          <w:tcPr>
            <w:tcW w:w="0" w:type="dxa"/>
            <w:vAlign w:val="bottom"/>
          </w:tcPr>
          <w:p>
            <w:pPr>
              <w:spacing w:after="0"/>
              <w:rPr>
                <w:sz w:val="1"/>
                <w:szCs w:val="1"/>
                <w:color w:val="auto"/>
              </w:rPr>
            </w:pPr>
          </w:p>
        </w:tc>
      </w:tr>
      <w:tr>
        <w:trPr>
          <w:trHeight w:val="324"/>
        </w:trPr>
        <w:tc>
          <w:tcPr>
            <w:tcW w:w="1740" w:type="dxa"/>
            <w:vAlign w:val="bottom"/>
            <w:tcBorders>
              <w:left w:val="single" w:sz="8" w:color="auto"/>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  $2,000 - $100,000 coverage range</w:t>
            </w:r>
          </w:p>
        </w:tc>
        <w:tc>
          <w:tcPr>
            <w:tcW w:w="0" w:type="dxa"/>
            <w:vAlign w:val="bottom"/>
          </w:tcPr>
          <w:p>
            <w:pPr>
              <w:spacing w:after="0"/>
              <w:rPr>
                <w:sz w:val="1"/>
                <w:szCs w:val="1"/>
                <w:color w:val="auto"/>
              </w:rPr>
            </w:pPr>
          </w:p>
        </w:tc>
      </w:tr>
      <w:tr>
        <w:trPr>
          <w:trHeight w:val="288"/>
        </w:trPr>
        <w:tc>
          <w:tcPr>
            <w:tcW w:w="1740" w:type="dxa"/>
            <w:vAlign w:val="bottom"/>
            <w:tcBorders>
              <w:left w:val="single" w:sz="8" w:color="auto"/>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  Product offering covering broad</w:t>
            </w:r>
          </w:p>
        </w:tc>
        <w:tc>
          <w:tcPr>
            <w:tcW w:w="0" w:type="dxa"/>
            <w:vAlign w:val="bottom"/>
          </w:tcPr>
          <w:p>
            <w:pPr>
              <w:spacing w:after="0"/>
              <w:rPr>
                <w:sz w:val="1"/>
                <w:szCs w:val="1"/>
                <w:color w:val="auto"/>
              </w:rPr>
            </w:pPr>
          </w:p>
        </w:tc>
      </w:tr>
      <w:tr>
        <w:trPr>
          <w:trHeight w:val="239"/>
        </w:trPr>
        <w:tc>
          <w:tcPr>
            <w:tcW w:w="174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400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demographics</w:t>
            </w:r>
          </w:p>
        </w:tc>
        <w:tc>
          <w:tcPr>
            <w:tcW w:w="0" w:type="dxa"/>
            <w:vAlign w:val="bottom"/>
          </w:tcPr>
          <w:p>
            <w:pPr>
              <w:spacing w:after="0"/>
              <w:rPr>
                <w:sz w:val="1"/>
                <w:szCs w:val="1"/>
                <w:color w:val="auto"/>
              </w:rPr>
            </w:pPr>
          </w:p>
        </w:tc>
      </w:tr>
      <w:tr>
        <w:trPr>
          <w:trHeight w:val="50"/>
        </w:trPr>
        <w:tc>
          <w:tcPr>
            <w:tcW w:w="1740" w:type="dxa"/>
            <w:vAlign w:val="bottom"/>
            <w:tcBorders>
              <w:left w:val="single" w:sz="8" w:color="auto"/>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4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62"/>
        </w:trPr>
        <w:tc>
          <w:tcPr>
            <w:tcW w:w="17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127</w:t>
            </w:r>
          </w:p>
        </w:tc>
        <w:tc>
          <w:tcPr>
            <w:tcW w:w="13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30" w:type="dxa"/>
        <w:tblCellMar>
          <w:top w:w="0" w:type="dxa"/>
          <w:left w:w="0" w:type="dxa"/>
          <w:bottom w:w="0" w:type="dxa"/>
          <w:right w:w="0" w:type="dxa"/>
        </w:tblCellMar>
      </w:tblPr>
      <w:tr>
        <w:trPr>
          <w:trHeight w:val="197"/>
        </w:trPr>
        <w:tc>
          <w:tcPr>
            <w:tcW w:w="1740" w:type="dxa"/>
            <w:vAlign w:val="bottom"/>
            <w:tcBorders>
              <w:top w:val="single" w:sz="8" w:color="auto"/>
              <w:left w:val="single" w:sz="8" w:color="auto"/>
              <w:right w:val="single" w:sz="8" w:color="auto"/>
            </w:tcBorders>
            <w:vMerge w:val="restart"/>
            <w:shd w:val="clear" w:color="auto" w:fill="0A540F"/>
          </w:tcPr>
          <w:p>
            <w:pPr>
              <w:ind w:left="160"/>
              <w:spacing w:after="0"/>
              <w:rPr>
                <w:sz w:val="20"/>
                <w:szCs w:val="20"/>
                <w:color w:val="auto"/>
              </w:rPr>
            </w:pPr>
            <w:r>
              <w:rPr>
                <w:rFonts w:ascii="Arial" w:cs="Arial" w:eastAsia="Arial" w:hAnsi="Arial"/>
                <w:sz w:val="18"/>
                <w:szCs w:val="18"/>
                <w:b w:val="1"/>
                <w:bCs w:val="1"/>
                <w:color w:val="FCFDFC"/>
              </w:rPr>
              <w:t>Product Type</w:t>
            </w:r>
            <w:r>
              <w:rPr>
                <w:rFonts w:ascii="Arial" w:cs="Arial" w:eastAsia="Arial" w:hAnsi="Arial"/>
                <w:sz w:val="26"/>
                <w:szCs w:val="26"/>
                <w:b w:val="1"/>
                <w:bCs w:val="1"/>
                <w:color w:val="FCFDFC"/>
                <w:vertAlign w:val="superscript"/>
              </w:rPr>
              <w:t>1</w:t>
            </w:r>
          </w:p>
        </w:tc>
        <w:tc>
          <w:tcPr>
            <w:tcW w:w="1960" w:type="dxa"/>
            <w:vAlign w:val="bottom"/>
            <w:tcBorders>
              <w:top w:val="single" w:sz="8" w:color="auto"/>
              <w:right w:val="single" w:sz="8" w:color="auto"/>
            </w:tcBorders>
            <w:shd w:val="clear" w:color="auto" w:fill="0A540F"/>
          </w:tcPr>
          <w:p>
            <w:pPr>
              <w:spacing w:after="0"/>
              <w:rPr>
                <w:sz w:val="17"/>
                <w:szCs w:val="17"/>
                <w:color w:val="auto"/>
              </w:rPr>
            </w:pPr>
          </w:p>
        </w:tc>
        <w:tc>
          <w:tcPr>
            <w:tcW w:w="1980" w:type="dxa"/>
            <w:vAlign w:val="bottom"/>
            <w:tcBorders>
              <w:top w:val="single" w:sz="8" w:color="auto"/>
              <w:right w:val="single" w:sz="8" w:color="auto"/>
            </w:tcBorders>
            <w:shd w:val="clear" w:color="auto" w:fill="0A540F"/>
          </w:tcPr>
          <w:p>
            <w:pPr>
              <w:spacing w:after="0"/>
              <w:rPr>
                <w:sz w:val="17"/>
                <w:szCs w:val="17"/>
                <w:color w:val="auto"/>
              </w:rPr>
            </w:pPr>
          </w:p>
        </w:tc>
        <w:tc>
          <w:tcPr>
            <w:tcW w:w="1360" w:type="dxa"/>
            <w:vAlign w:val="bottom"/>
            <w:tcBorders>
              <w:top w:val="single" w:sz="8" w:color="auto"/>
              <w:right w:val="single" w:sz="8" w:color="auto"/>
            </w:tcBorders>
            <w:shd w:val="clear" w:color="auto" w:fill="0A540F"/>
          </w:tcPr>
          <w:p>
            <w:pPr>
              <w:jc w:val="center"/>
              <w:spacing w:after="0" w:line="197" w:lineRule="exact"/>
              <w:rPr>
                <w:sz w:val="20"/>
                <w:szCs w:val="20"/>
                <w:color w:val="auto"/>
              </w:rPr>
            </w:pPr>
            <w:r>
              <w:rPr>
                <w:rFonts w:ascii="Arial" w:cs="Arial" w:eastAsia="Arial" w:hAnsi="Arial"/>
                <w:sz w:val="18"/>
                <w:szCs w:val="18"/>
                <w:b w:val="1"/>
                <w:bCs w:val="1"/>
                <w:color w:val="FCFCFC"/>
                <w:w w:val="99"/>
              </w:rPr>
              <w:t>Number of</w:t>
            </w:r>
          </w:p>
        </w:tc>
        <w:tc>
          <w:tcPr>
            <w:tcW w:w="4000" w:type="dxa"/>
            <w:vAlign w:val="bottom"/>
            <w:tcBorders>
              <w:top w:val="single" w:sz="8" w:color="auto"/>
              <w:right w:val="single" w:sz="8" w:color="auto"/>
            </w:tcBorders>
            <w:shd w:val="clear" w:color="auto" w:fill="0A540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740" w:type="dxa"/>
            <w:vAlign w:val="bottom"/>
            <w:tcBorders>
              <w:left w:val="single" w:sz="8" w:color="auto"/>
              <w:bottom w:val="single" w:sz="8" w:color="auto"/>
              <w:right w:val="single" w:sz="8" w:color="auto"/>
            </w:tcBorders>
            <w:vMerge w:val="continue"/>
            <w:shd w:val="clear" w:color="auto" w:fill="0A540F"/>
          </w:tcPr>
          <w:p>
            <w:pPr>
              <w:spacing w:after="0"/>
              <w:rPr>
                <w:sz w:val="19"/>
                <w:szCs w:val="19"/>
                <w:color w:val="auto"/>
              </w:rPr>
            </w:pPr>
          </w:p>
        </w:tc>
        <w:tc>
          <w:tcPr>
            <w:tcW w:w="1960" w:type="dxa"/>
            <w:vAlign w:val="bottom"/>
            <w:tcBorders>
              <w:bottom w:val="single" w:sz="8" w:color="auto"/>
              <w:right w:val="single" w:sz="8" w:color="auto"/>
            </w:tcBorders>
            <w:shd w:val="clear" w:color="auto" w:fill="0A540F"/>
          </w:tcPr>
          <w:p>
            <w:pPr>
              <w:jc w:val="center"/>
              <w:spacing w:after="0"/>
              <w:rPr>
                <w:sz w:val="20"/>
                <w:szCs w:val="20"/>
                <w:color w:val="auto"/>
              </w:rPr>
            </w:pPr>
            <w:r>
              <w:rPr>
                <w:rFonts w:ascii="Arial" w:cs="Arial" w:eastAsia="Arial" w:hAnsi="Arial"/>
                <w:sz w:val="18"/>
                <w:szCs w:val="18"/>
                <w:b w:val="1"/>
                <w:bCs w:val="1"/>
                <w:color w:val="FCFCFC"/>
                <w:w w:val="98"/>
              </w:rPr>
              <w:t>Carriers</w:t>
            </w:r>
          </w:p>
        </w:tc>
        <w:tc>
          <w:tcPr>
            <w:tcW w:w="1980" w:type="dxa"/>
            <w:vAlign w:val="bottom"/>
            <w:tcBorders>
              <w:bottom w:val="single" w:sz="8" w:color="auto"/>
              <w:right w:val="single" w:sz="8" w:color="auto"/>
            </w:tcBorders>
            <w:shd w:val="clear" w:color="auto" w:fill="0A540F"/>
          </w:tcPr>
          <w:p>
            <w:pPr>
              <w:jc w:val="center"/>
              <w:spacing w:after="0"/>
              <w:rPr>
                <w:sz w:val="20"/>
                <w:szCs w:val="20"/>
                <w:color w:val="auto"/>
              </w:rPr>
            </w:pPr>
            <w:r>
              <w:rPr>
                <w:rFonts w:ascii="Arial" w:cs="Arial" w:eastAsia="Arial" w:hAnsi="Arial"/>
                <w:sz w:val="18"/>
                <w:szCs w:val="18"/>
                <w:b w:val="1"/>
                <w:bCs w:val="1"/>
                <w:color w:val="FCFCFC"/>
                <w:w w:val="99"/>
              </w:rPr>
              <w:t>Our Role</w:t>
            </w:r>
          </w:p>
        </w:tc>
        <w:tc>
          <w:tcPr>
            <w:tcW w:w="1360" w:type="dxa"/>
            <w:vAlign w:val="bottom"/>
            <w:tcBorders>
              <w:bottom w:val="single" w:sz="8" w:color="auto"/>
              <w:right w:val="single" w:sz="8" w:color="auto"/>
            </w:tcBorders>
            <w:shd w:val="clear" w:color="auto" w:fill="0A540F"/>
          </w:tcPr>
          <w:p>
            <w:pPr>
              <w:jc w:val="center"/>
              <w:spacing w:after="0"/>
              <w:rPr>
                <w:sz w:val="20"/>
                <w:szCs w:val="20"/>
                <w:color w:val="auto"/>
              </w:rPr>
            </w:pPr>
            <w:r>
              <w:rPr>
                <w:rFonts w:ascii="Arial" w:cs="Arial" w:eastAsia="Arial" w:hAnsi="Arial"/>
                <w:sz w:val="18"/>
                <w:szCs w:val="18"/>
                <w:b w:val="1"/>
                <w:bCs w:val="1"/>
                <w:color w:val="FCFCFC"/>
                <w:w w:val="99"/>
              </w:rPr>
              <w:t>Products</w:t>
            </w:r>
          </w:p>
        </w:tc>
        <w:tc>
          <w:tcPr>
            <w:tcW w:w="4000" w:type="dxa"/>
            <w:vAlign w:val="bottom"/>
            <w:tcBorders>
              <w:bottom w:val="single" w:sz="8" w:color="auto"/>
              <w:right w:val="single" w:sz="8" w:color="auto"/>
            </w:tcBorders>
            <w:shd w:val="clear" w:color="auto" w:fill="0A540F"/>
          </w:tcPr>
          <w:p>
            <w:pPr>
              <w:ind w:left="1520"/>
              <w:spacing w:after="0"/>
              <w:rPr>
                <w:sz w:val="20"/>
                <w:szCs w:val="20"/>
                <w:color w:val="auto"/>
              </w:rPr>
            </w:pPr>
            <w:r>
              <w:rPr>
                <w:rFonts w:ascii="Arial" w:cs="Arial" w:eastAsia="Arial" w:hAnsi="Arial"/>
                <w:sz w:val="18"/>
                <w:szCs w:val="18"/>
                <w:b w:val="1"/>
                <w:bCs w:val="1"/>
                <w:color w:val="FCFCFC"/>
              </w:rPr>
              <w:t>Description</w:t>
            </w:r>
          </w:p>
        </w:tc>
        <w:tc>
          <w:tcPr>
            <w:tcW w:w="0" w:type="dxa"/>
            <w:vAlign w:val="bottom"/>
          </w:tcPr>
          <w:p>
            <w:pPr>
              <w:spacing w:after="0"/>
              <w:rPr>
                <w:sz w:val="1"/>
                <w:szCs w:val="1"/>
                <w:color w:val="auto"/>
              </w:rPr>
            </w:pPr>
          </w:p>
        </w:tc>
      </w:tr>
      <w:tr>
        <w:trPr>
          <w:trHeight w:val="177"/>
        </w:trPr>
        <w:tc>
          <w:tcPr>
            <w:tcW w:w="1740" w:type="dxa"/>
            <w:vAlign w:val="bottom"/>
            <w:tcBorders>
              <w:left w:val="single" w:sz="8" w:color="auto"/>
              <w:right w:val="single" w:sz="8" w:color="auto"/>
            </w:tcBorders>
          </w:tcPr>
          <w:p>
            <w:pPr>
              <w:jc w:val="center"/>
              <w:ind w:left="50"/>
              <w:spacing w:after="0" w:line="177" w:lineRule="exact"/>
              <w:rPr>
                <w:sz w:val="20"/>
                <w:szCs w:val="20"/>
                <w:color w:val="auto"/>
              </w:rPr>
            </w:pPr>
            <w:r>
              <w:rPr>
                <w:rFonts w:ascii="Arial" w:cs="Arial" w:eastAsia="Arial" w:hAnsi="Arial"/>
                <w:sz w:val="18"/>
                <w:szCs w:val="18"/>
                <w:b w:val="1"/>
                <w:bCs w:val="1"/>
                <w:color w:val="auto"/>
                <w:w w:val="99"/>
              </w:rPr>
              <w:t>Indexed</w:t>
            </w:r>
          </w:p>
        </w:tc>
        <w:tc>
          <w:tcPr>
            <w:tcW w:w="19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rPr>
              <w:t>Ameritas</w:t>
            </w:r>
          </w:p>
        </w:tc>
        <w:tc>
          <w:tcPr>
            <w:tcW w:w="19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Distribution and</w:t>
            </w:r>
          </w:p>
        </w:tc>
        <w:tc>
          <w:tcPr>
            <w:tcW w:w="13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2</w:t>
            </w:r>
          </w:p>
        </w:tc>
        <w:tc>
          <w:tcPr>
            <w:tcW w:w="4000" w:type="dxa"/>
            <w:vAlign w:val="bottom"/>
            <w:tcBorders>
              <w:right w:val="single" w:sz="8" w:color="auto"/>
            </w:tcBorders>
          </w:tcPr>
          <w:p>
            <w:pPr>
              <w:ind w:left="240"/>
              <w:spacing w:after="0" w:line="177" w:lineRule="exact"/>
              <w:rPr>
                <w:sz w:val="20"/>
                <w:szCs w:val="20"/>
                <w:color w:val="auto"/>
              </w:rPr>
            </w:pPr>
            <w:r>
              <w:rPr>
                <w:rFonts w:ascii="Arial" w:cs="Arial" w:eastAsia="Arial" w:hAnsi="Arial"/>
                <w:sz w:val="18"/>
                <w:szCs w:val="18"/>
                <w:color w:val="auto"/>
              </w:rPr>
              <w:t>•  $25,000 - $2,000,000 coverage range</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jc w:val="center"/>
              <w:ind w:left="30"/>
              <w:spacing w:after="0" w:line="202" w:lineRule="exact"/>
              <w:rPr>
                <w:sz w:val="20"/>
                <w:szCs w:val="20"/>
                <w:color w:val="auto"/>
              </w:rPr>
            </w:pPr>
            <w:r>
              <w:rPr>
                <w:rFonts w:ascii="Arial" w:cs="Arial" w:eastAsia="Arial" w:hAnsi="Arial"/>
                <w:sz w:val="18"/>
                <w:szCs w:val="18"/>
                <w:b w:val="1"/>
                <w:bCs w:val="1"/>
                <w:color w:val="auto"/>
                <w:w w:val="99"/>
              </w:rPr>
              <w:t>Universal Life</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Sammons (North</w:t>
            </w:r>
          </w:p>
        </w:tc>
        <w:tc>
          <w:tcPr>
            <w:tcW w:w="19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Underwriting</w:t>
            </w:r>
          </w:p>
        </w:tc>
        <w:tc>
          <w:tcPr>
            <w:tcW w:w="1360" w:type="dxa"/>
            <w:vAlign w:val="bottom"/>
            <w:tcBorders>
              <w:right w:val="single" w:sz="8" w:color="auto"/>
            </w:tcBorders>
          </w:tcPr>
          <w:p>
            <w:pPr>
              <w:spacing w:after="0"/>
              <w:rPr>
                <w:sz w:val="17"/>
                <w:szCs w:val="17"/>
                <w:color w:val="auto"/>
              </w:rPr>
            </w:pPr>
          </w:p>
        </w:tc>
        <w:tc>
          <w:tcPr>
            <w:tcW w:w="4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740" w:type="dxa"/>
            <w:vAlign w:val="bottom"/>
            <w:tcBorders>
              <w:left w:val="single" w:sz="8" w:color="auto"/>
              <w:righ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98"/>
              </w:rPr>
              <w:t>Insurance</w:t>
            </w:r>
          </w:p>
        </w:tc>
        <w:tc>
          <w:tcPr>
            <w:tcW w:w="1960" w:type="dxa"/>
            <w:vAlign w:val="bottom"/>
            <w:tcBorders>
              <w:right w:val="single" w:sz="8" w:color="auto"/>
            </w:tcBorders>
            <w:vMerge w:val="continue"/>
          </w:tcPr>
          <w:p>
            <w:pPr>
              <w:spacing w:after="0"/>
              <w:rPr>
                <w:sz w:val="10"/>
                <w:szCs w:val="10"/>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Administration</w:t>
            </w:r>
          </w:p>
        </w:tc>
        <w:tc>
          <w:tcPr>
            <w:tcW w:w="1360" w:type="dxa"/>
            <w:vAlign w:val="bottom"/>
            <w:tcBorders>
              <w:right w:val="single" w:sz="8" w:color="auto"/>
            </w:tcBorders>
          </w:tcPr>
          <w:p>
            <w:pPr>
              <w:spacing w:after="0"/>
              <w:rPr>
                <w:sz w:val="10"/>
                <w:szCs w:val="10"/>
                <w:color w:val="auto"/>
              </w:rPr>
            </w:pPr>
          </w:p>
        </w:tc>
        <w:tc>
          <w:tcPr>
            <w:tcW w:w="40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740" w:type="dxa"/>
            <w:vAlign w:val="bottom"/>
            <w:tcBorders>
              <w:left w:val="single" w:sz="8" w:color="auto"/>
              <w:right w:val="single" w:sz="8" w:color="auto"/>
            </w:tcBorders>
            <w:vMerge w:val="continue"/>
          </w:tcPr>
          <w:p>
            <w:pPr>
              <w:spacing w:after="0"/>
              <w:rPr>
                <w:sz w:val="10"/>
                <w:szCs w:val="10"/>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American)</w:t>
            </w:r>
          </w:p>
        </w:tc>
        <w:tc>
          <w:tcPr>
            <w:tcW w:w="198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40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74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4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1740" w:type="dxa"/>
            <w:vAlign w:val="bottom"/>
            <w:tcBorders>
              <w:left w:val="single" w:sz="8" w:color="auto"/>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4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1740" w:type="dxa"/>
            <w:vAlign w:val="bottom"/>
            <w:tcBorders>
              <w:left w:val="single" w:sz="8" w:color="auto"/>
              <w:right w:val="single" w:sz="8" w:color="auto"/>
            </w:tcBorders>
          </w:tcPr>
          <w:p>
            <w:pPr>
              <w:jc w:val="center"/>
              <w:ind w:left="50"/>
              <w:spacing w:after="0" w:line="177" w:lineRule="exact"/>
              <w:rPr>
                <w:sz w:val="20"/>
                <w:szCs w:val="20"/>
                <w:color w:val="auto"/>
              </w:rPr>
            </w:pPr>
            <w:r>
              <w:rPr>
                <w:rFonts w:ascii="Arial" w:cs="Arial" w:eastAsia="Arial" w:hAnsi="Arial"/>
                <w:sz w:val="18"/>
                <w:szCs w:val="18"/>
                <w:b w:val="1"/>
                <w:bCs w:val="1"/>
                <w:color w:val="auto"/>
              </w:rPr>
              <w:t>Wills &amp; Estate</w:t>
            </w:r>
          </w:p>
        </w:tc>
        <w:tc>
          <w:tcPr>
            <w:tcW w:w="19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Proprietary</w:t>
            </w:r>
          </w:p>
        </w:tc>
        <w:tc>
          <w:tcPr>
            <w:tcW w:w="19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Distribution and</w:t>
            </w:r>
          </w:p>
        </w:tc>
        <w:tc>
          <w:tcPr>
            <w:tcW w:w="13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1</w:t>
            </w:r>
          </w:p>
        </w:tc>
        <w:tc>
          <w:tcPr>
            <w:tcW w:w="4000" w:type="dxa"/>
            <w:vAlign w:val="bottom"/>
            <w:tcBorders>
              <w:right w:val="single" w:sz="8" w:color="auto"/>
            </w:tcBorders>
          </w:tcPr>
          <w:p>
            <w:pPr>
              <w:ind w:left="240"/>
              <w:spacing w:after="0" w:line="177" w:lineRule="exact"/>
              <w:rPr>
                <w:sz w:val="20"/>
                <w:szCs w:val="20"/>
                <w:color w:val="auto"/>
              </w:rPr>
            </w:pPr>
            <w:r>
              <w:rPr>
                <w:rFonts w:ascii="Arial" w:cs="Arial" w:eastAsia="Arial" w:hAnsi="Arial"/>
                <w:sz w:val="18"/>
                <w:szCs w:val="18"/>
                <w:color w:val="auto"/>
              </w:rPr>
              <w:t>•  Add-on to Life Insurance or standalone</w:t>
            </w:r>
          </w:p>
        </w:tc>
        <w:tc>
          <w:tcPr>
            <w:tcW w:w="0" w:type="dxa"/>
            <w:vAlign w:val="bottom"/>
          </w:tcPr>
          <w:p>
            <w:pPr>
              <w:spacing w:after="0"/>
              <w:rPr>
                <w:sz w:val="1"/>
                <w:szCs w:val="1"/>
                <w:color w:val="auto"/>
              </w:rPr>
            </w:pPr>
          </w:p>
        </w:tc>
      </w:tr>
      <w:tr>
        <w:trPr>
          <w:trHeight w:val="247"/>
        </w:trPr>
        <w:tc>
          <w:tcPr>
            <w:tcW w:w="17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Planning</w:t>
            </w:r>
          </w:p>
        </w:tc>
        <w:tc>
          <w:tcPr>
            <w:tcW w:w="196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Service Provider</w:t>
            </w:r>
          </w:p>
        </w:tc>
        <w:tc>
          <w:tcPr>
            <w:tcW w:w="1360" w:type="dxa"/>
            <w:vAlign w:val="bottom"/>
            <w:tcBorders>
              <w:right w:val="single" w:sz="8" w:color="auto"/>
            </w:tcBorders>
          </w:tcPr>
          <w:p>
            <w:pPr>
              <w:spacing w:after="0"/>
              <w:rPr>
                <w:sz w:val="21"/>
                <w:szCs w:val="21"/>
                <w:color w:val="auto"/>
              </w:rPr>
            </w:pPr>
          </w:p>
        </w:tc>
        <w:tc>
          <w:tcPr>
            <w:tcW w:w="400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  Wills &amp; Estate Planning tools</w:t>
            </w:r>
          </w:p>
        </w:tc>
        <w:tc>
          <w:tcPr>
            <w:tcW w:w="0" w:type="dxa"/>
            <w:vAlign w:val="bottom"/>
          </w:tcPr>
          <w:p>
            <w:pPr>
              <w:spacing w:after="0"/>
              <w:rPr>
                <w:sz w:val="1"/>
                <w:szCs w:val="1"/>
                <w:color w:val="auto"/>
              </w:rPr>
            </w:pPr>
          </w:p>
        </w:tc>
      </w:tr>
      <w:tr>
        <w:trPr>
          <w:trHeight w:val="114"/>
        </w:trPr>
        <w:tc>
          <w:tcPr>
            <w:tcW w:w="174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40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1740" w:type="dxa"/>
            <w:vAlign w:val="bottom"/>
            <w:tcBorders>
              <w:left w:val="single" w:sz="8" w:color="auto"/>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4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1740" w:type="dxa"/>
            <w:vAlign w:val="bottom"/>
            <w:tcBorders>
              <w:left w:val="single" w:sz="8" w:color="auto"/>
              <w:right w:val="single" w:sz="8" w:color="auto"/>
            </w:tcBorders>
          </w:tcPr>
          <w:p>
            <w:pPr>
              <w:jc w:val="center"/>
              <w:ind w:left="30"/>
              <w:spacing w:after="0" w:line="177" w:lineRule="exact"/>
              <w:rPr>
                <w:sz w:val="20"/>
                <w:szCs w:val="20"/>
                <w:color w:val="auto"/>
              </w:rPr>
            </w:pPr>
            <w:r>
              <w:rPr>
                <w:rFonts w:ascii="Arial" w:cs="Arial" w:eastAsia="Arial" w:hAnsi="Arial"/>
                <w:sz w:val="18"/>
                <w:szCs w:val="18"/>
                <w:b w:val="1"/>
                <w:bCs w:val="1"/>
                <w:color w:val="auto"/>
                <w:w w:val="99"/>
              </w:rPr>
              <w:t>Supplemental</w:t>
            </w:r>
          </w:p>
        </w:tc>
        <w:tc>
          <w:tcPr>
            <w:tcW w:w="19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Aflac</w:t>
            </w:r>
          </w:p>
        </w:tc>
        <w:tc>
          <w:tcPr>
            <w:tcW w:w="19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Distribution</w:t>
            </w:r>
          </w:p>
        </w:tc>
        <w:tc>
          <w:tcPr>
            <w:tcW w:w="13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1</w:t>
            </w:r>
          </w:p>
        </w:tc>
        <w:tc>
          <w:tcPr>
            <w:tcW w:w="4000" w:type="dxa"/>
            <w:vAlign w:val="bottom"/>
            <w:tcBorders>
              <w:right w:val="single" w:sz="8" w:color="auto"/>
            </w:tcBorders>
          </w:tcPr>
          <w:p>
            <w:pPr>
              <w:ind w:left="240"/>
              <w:spacing w:after="0" w:line="177" w:lineRule="exact"/>
              <w:rPr>
                <w:sz w:val="20"/>
                <w:szCs w:val="20"/>
                <w:color w:val="auto"/>
              </w:rPr>
            </w:pPr>
            <w:r>
              <w:rPr>
                <w:rFonts w:ascii="Arial" w:cs="Arial" w:eastAsia="Arial" w:hAnsi="Arial"/>
                <w:sz w:val="18"/>
                <w:szCs w:val="18"/>
                <w:color w:val="auto"/>
              </w:rPr>
              <w:t>•  Provides access to critical protection for</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jc w:val="center"/>
              <w:ind w:left="230"/>
              <w:spacing w:after="0" w:line="202" w:lineRule="exact"/>
              <w:rPr>
                <w:sz w:val="20"/>
                <w:szCs w:val="20"/>
                <w:color w:val="auto"/>
              </w:rPr>
            </w:pPr>
            <w:r>
              <w:rPr>
                <w:rFonts w:ascii="Arial" w:cs="Arial" w:eastAsia="Arial" w:hAnsi="Arial"/>
                <w:sz w:val="18"/>
                <w:szCs w:val="18"/>
                <w:b w:val="1"/>
                <w:bCs w:val="1"/>
                <w:color w:val="auto"/>
                <w:w w:val="98"/>
              </w:rPr>
              <w:t>Health</w:t>
            </w:r>
          </w:p>
        </w:tc>
        <w:tc>
          <w:tcPr>
            <w:tcW w:w="1960" w:type="dxa"/>
            <w:vAlign w:val="bottom"/>
            <w:tcBorders>
              <w:right w:val="single" w:sz="8" w:color="auto"/>
            </w:tcBorders>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400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out-of-pocket expenses</w:t>
            </w:r>
          </w:p>
        </w:tc>
        <w:tc>
          <w:tcPr>
            <w:tcW w:w="0" w:type="dxa"/>
            <w:vAlign w:val="bottom"/>
          </w:tcPr>
          <w:p>
            <w:pPr>
              <w:spacing w:after="0"/>
              <w:rPr>
                <w:sz w:val="1"/>
                <w:szCs w:val="1"/>
                <w:color w:val="auto"/>
              </w:rPr>
            </w:pPr>
          </w:p>
        </w:tc>
      </w:tr>
      <w:tr>
        <w:trPr>
          <w:trHeight w:val="247"/>
        </w:trPr>
        <w:tc>
          <w:tcPr>
            <w:tcW w:w="1740" w:type="dxa"/>
            <w:vAlign w:val="bottom"/>
            <w:tcBorders>
              <w:left w:val="single" w:sz="8" w:color="auto"/>
              <w:right w:val="single" w:sz="8" w:color="auto"/>
            </w:tcBorders>
          </w:tcPr>
          <w:p>
            <w:pPr>
              <w:jc w:val="center"/>
              <w:ind w:left="230"/>
              <w:spacing w:after="0"/>
              <w:rPr>
                <w:sz w:val="20"/>
                <w:szCs w:val="20"/>
                <w:color w:val="auto"/>
              </w:rPr>
            </w:pPr>
            <w:r>
              <w:rPr>
                <w:rFonts w:ascii="Arial" w:cs="Arial" w:eastAsia="Arial" w:hAnsi="Arial"/>
                <w:sz w:val="18"/>
                <w:szCs w:val="18"/>
                <w:b w:val="1"/>
                <w:bCs w:val="1"/>
                <w:color w:val="auto"/>
              </w:rPr>
              <w:t>Insurance</w:t>
            </w:r>
          </w:p>
        </w:tc>
        <w:tc>
          <w:tcPr>
            <w:tcW w:w="196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400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  The first product offered is Cancer</w:t>
            </w:r>
          </w:p>
        </w:tc>
        <w:tc>
          <w:tcPr>
            <w:tcW w:w="0" w:type="dxa"/>
            <w:vAlign w:val="bottom"/>
          </w:tcPr>
          <w:p>
            <w:pPr>
              <w:spacing w:after="0"/>
              <w:rPr>
                <w:sz w:val="1"/>
                <w:szCs w:val="1"/>
                <w:color w:val="auto"/>
              </w:rPr>
            </w:pPr>
          </w:p>
        </w:tc>
      </w:tr>
      <w:tr>
        <w:trPr>
          <w:trHeight w:val="77"/>
        </w:trPr>
        <w:tc>
          <w:tcPr>
            <w:tcW w:w="1740" w:type="dxa"/>
            <w:vAlign w:val="bottom"/>
            <w:tcBorders>
              <w:left w:val="single" w:sz="8" w:color="auto"/>
              <w:right w:val="single" w:sz="8" w:color="auto"/>
            </w:tcBorders>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40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4000" w:type="dxa"/>
            <w:vAlign w:val="bottom"/>
            <w:tcBorders>
              <w:bottom w:val="single" w:sz="8" w:color="auto"/>
              <w:right w:val="single" w:sz="8" w:color="auto"/>
            </w:tcBorders>
          </w:tcPr>
          <w:p>
            <w:pPr>
              <w:ind w:left="440"/>
              <w:spacing w:after="0" w:line="288" w:lineRule="exact"/>
              <w:rPr>
                <w:sz w:val="20"/>
                <w:szCs w:val="20"/>
                <w:color w:val="auto"/>
              </w:rPr>
            </w:pPr>
            <w:r>
              <w:rPr>
                <w:rFonts w:ascii="Arial" w:cs="Arial" w:eastAsia="Arial" w:hAnsi="Arial"/>
                <w:sz w:val="18"/>
                <w:szCs w:val="18"/>
                <w:color w:val="auto"/>
              </w:rPr>
              <w:t>Insurance</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0" w:right="220" w:hanging="4"/>
        <w:spacing w:after="0" w:line="204" w:lineRule="auto"/>
        <w:tabs>
          <w:tab w:leader="none" w:pos="245" w:val="left"/>
        </w:tabs>
        <w:numPr>
          <w:ilvl w:val="0"/>
          <w:numId w:val="58"/>
        </w:numPr>
        <w:rPr>
          <w:rFonts w:ascii="Arial" w:cs="Arial" w:eastAsia="Arial" w:hAnsi="Arial"/>
          <w:sz w:val="27"/>
          <w:szCs w:val="27"/>
          <w:color w:val="auto"/>
          <w:vertAlign w:val="superscript"/>
        </w:rPr>
      </w:pPr>
      <w:r>
        <w:rPr>
          <w:rFonts w:ascii="Arial" w:cs="Arial" w:eastAsia="Arial" w:hAnsi="Arial"/>
          <w:sz w:val="18"/>
          <w:szCs w:val="18"/>
          <w:color w:val="auto"/>
        </w:rPr>
        <w:t>Our product offerings and the carriers offering such products are presented as of the date of this prospectus and are subject to change from time to time.</w:t>
      </w:r>
    </w:p>
    <w:p>
      <w:pPr>
        <w:spacing w:after="0" w:line="2" w:lineRule="exact"/>
        <w:rPr>
          <w:sz w:val="20"/>
          <w:szCs w:val="20"/>
          <w:color w:val="auto"/>
        </w:rPr>
      </w:pPr>
    </w:p>
    <w:p>
      <w:pPr>
        <w:ind w:left="240" w:hanging="124"/>
        <w:spacing w:after="0"/>
        <w:tabs>
          <w:tab w:leader="none" w:pos="24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Ethos only serves as distributor for TruStage Term Life Insurance products.</w:t>
      </w:r>
    </w:p>
    <w:p>
      <w:pPr>
        <w:spacing w:after="0" w:line="89" w:lineRule="exact"/>
        <w:rPr>
          <w:rFonts w:ascii="Arial" w:cs="Arial" w:eastAsia="Arial" w:hAnsi="Arial"/>
          <w:sz w:val="27"/>
          <w:szCs w:val="27"/>
          <w:color w:val="auto"/>
          <w:vertAlign w:val="superscript"/>
        </w:rPr>
      </w:pPr>
    </w:p>
    <w:p>
      <w:pPr>
        <w:ind w:left="120"/>
        <w:spacing w:after="0"/>
        <w:rPr>
          <w:rFonts w:ascii="Arial" w:cs="Arial" w:eastAsia="Arial" w:hAnsi="Arial"/>
          <w:sz w:val="27"/>
          <w:szCs w:val="27"/>
          <w:color w:val="auto"/>
          <w:vertAlign w:val="superscript"/>
        </w:rPr>
      </w:pPr>
      <w:r>
        <w:rPr>
          <w:rFonts w:ascii="Arial" w:cs="Arial" w:eastAsia="Arial" w:hAnsi="Arial"/>
          <w:sz w:val="26"/>
          <w:szCs w:val="26"/>
          <w:color w:val="auto"/>
          <w:vertAlign w:val="superscript"/>
        </w:rPr>
        <w:t>3</w:t>
      </w:r>
      <w:r>
        <w:rPr>
          <w:rFonts w:ascii="Arial" w:cs="Arial" w:eastAsia="Arial" w:hAnsi="Arial"/>
          <w:sz w:val="18"/>
          <w:szCs w:val="18"/>
          <w:color w:val="auto"/>
        </w:rPr>
        <w:t xml:space="preserve"> Ethos began offering Cancer Insurance as of November 2025.</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Go-to-Market Strategy</w:t>
      </w:r>
    </w:p>
    <w:p>
      <w:pPr>
        <w:spacing w:after="0" w:line="104" w:lineRule="exact"/>
        <w:rPr>
          <w:sz w:val="20"/>
          <w:szCs w:val="20"/>
          <w:color w:val="auto"/>
        </w:rPr>
      </w:pPr>
    </w:p>
    <w:p>
      <w:pPr>
        <w:ind w:left="120" w:right="340" w:firstLine="551"/>
        <w:spacing w:after="0" w:line="247" w:lineRule="auto"/>
        <w:rPr>
          <w:sz w:val="20"/>
          <w:szCs w:val="20"/>
          <w:color w:val="auto"/>
        </w:rPr>
      </w:pPr>
      <w:r>
        <w:rPr>
          <w:rFonts w:ascii="Arial" w:cs="Arial" w:eastAsia="Arial" w:hAnsi="Arial"/>
          <w:sz w:val="18"/>
          <w:szCs w:val="18"/>
          <w:color w:val="auto"/>
        </w:rPr>
        <w:t>We have a diverse go-to-market model that combines the benefits of a digitally native solution with essential insights from the traditional third-party agent model. Our platform encompasses both our consumer-facing website and our dedicated portal of tools for independent agents, as well as other third-party integrations, and delivers personalized policies to applicants regardless of the channel through which they engage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5194935" cy="28460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9493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5"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Direct-to-Consumer</w:t>
      </w:r>
    </w:p>
    <w:p>
      <w:pPr>
        <w:spacing w:after="0" w:line="102"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Our platform provides consumers with a seamless, fully digital experience for purchasing life insurance online, similar to other frictionless and digital experiences to which consumers have grown accustomed. We optimize the consumer acquisition funnel by enhancing lead targeting and conversion. Our approach involves identifying high-potential leads using intent, demographic, and behavioral data. We then predict lead engagement, including expected conversion paths and underwriting class, and personalize the application experience to maximize conversion likelihood.</w:t>
      </w:r>
    </w:p>
    <w:p>
      <w:pPr>
        <w:spacing w:after="0" w:line="176" w:lineRule="exact"/>
        <w:rPr>
          <w:sz w:val="20"/>
          <w:szCs w:val="20"/>
          <w:color w:val="auto"/>
        </w:rPr>
      </w:pPr>
    </w:p>
    <w:p>
      <w:pPr>
        <w:ind w:left="120" w:right="220" w:firstLine="551"/>
        <w:spacing w:after="0" w:line="247" w:lineRule="auto"/>
        <w:rPr>
          <w:sz w:val="20"/>
          <w:szCs w:val="20"/>
          <w:color w:val="auto"/>
        </w:rPr>
      </w:pPr>
      <w:r>
        <w:rPr>
          <w:rFonts w:ascii="Arial" w:cs="Arial" w:eastAsia="Arial" w:hAnsi="Arial"/>
          <w:sz w:val="18"/>
          <w:szCs w:val="18"/>
          <w:color w:val="auto"/>
        </w:rPr>
        <w:t>To maximize efficiency and capitalize on emerging opportunities, Ethos evaluates and refines its marketing spend across over 25 channels and over 100 partners daily. By having a sophisticated data infrastructure that provides a deep understanding of consumer intent, willingness to pay, and underwriting eligibility, we are able to allocate marketing spend more strategically. Data-driven marketing spend allocation allows Ethos to optimize its marketing mix for maximum impact, promoting sustained growth in consumer acquisition.</w:t>
      </w:r>
    </w:p>
    <w:p>
      <w:pPr>
        <w:spacing w:after="0" w:line="174" w:lineRule="exact"/>
        <w:rPr>
          <w:sz w:val="20"/>
          <w:szCs w:val="20"/>
          <w:color w:val="auto"/>
        </w:rPr>
      </w:pPr>
    </w:p>
    <w:p>
      <w:pPr>
        <w:ind w:left="120" w:right="740" w:firstLine="551"/>
        <w:spacing w:after="0" w:line="253" w:lineRule="auto"/>
        <w:rPr>
          <w:sz w:val="20"/>
          <w:szCs w:val="20"/>
          <w:color w:val="auto"/>
        </w:rPr>
      </w:pPr>
      <w:r>
        <w:rPr>
          <w:rFonts w:ascii="Arial" w:cs="Arial" w:eastAsia="Arial" w:hAnsi="Arial"/>
          <w:sz w:val="18"/>
          <w:szCs w:val="18"/>
          <w:color w:val="auto"/>
        </w:rPr>
        <w:t>Our largest channels include marketing affiliates, organic traffic, and paid search. Notably, our organic channel, our largest marketing channel, generated 18% of DTC activated policies in both 2024 and in the nine months ended September 30, 2025, underscoring the strength of the Ethos brand and consumer value proposition.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Third-Party Channel</w:t>
      </w:r>
    </w:p>
    <w:p>
      <w:pPr>
        <w:spacing w:after="0" w:line="102"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Ethos has established a robust third-party network, which includes agents and fintech companies. We onboard new agents to our platform through our network of agencies. This channel enables us to access trusted advisor relationships and reach diverse consumer segments that prefer purchasing life insurance through an agent. Ethos distributes policies through an extensive network of independent agents at enterprise-level agencies and small-to-medium agency networks. In addition, while activated policies through fintech companies have not historically been material to our third-party channel revenue and results of operations, we intend to continue developing our relationships with fintech companies to further expand our reach and reinforce our distribution.</w:t>
      </w:r>
    </w:p>
    <w:p>
      <w:pPr>
        <w:spacing w:after="0" w:line="179" w:lineRule="exact"/>
        <w:rPr>
          <w:sz w:val="20"/>
          <w:szCs w:val="20"/>
          <w:color w:val="auto"/>
        </w:rPr>
      </w:pPr>
    </w:p>
    <w:p>
      <w:pPr>
        <w:ind w:left="120" w:right="400" w:firstLine="551"/>
        <w:spacing w:after="0" w:line="244" w:lineRule="auto"/>
        <w:rPr>
          <w:sz w:val="20"/>
          <w:szCs w:val="20"/>
          <w:color w:val="auto"/>
        </w:rPr>
      </w:pPr>
      <w:r>
        <w:rPr>
          <w:rFonts w:ascii="Arial" w:cs="Arial" w:eastAsia="Arial" w:hAnsi="Arial"/>
          <w:sz w:val="18"/>
          <w:szCs w:val="18"/>
          <w:color w:val="auto"/>
        </w:rPr>
        <w:t>Agents selling through Ethos have the flexibility to distribute policies through either an agent-assisted application process or by sharing personalized referral links with consumers, providing multiple avenues for engagement. The agent-assisted application is seamlessly integrated within the Agent OS, enabling agents to collaborate with consumers in real time to complete the application. Alternatively, the referral agent can provide a unique, personalized URL link that allows consumers to independently navigate and complete the application process at their convenience.</w:t>
      </w:r>
    </w:p>
    <w:p>
      <w:pPr>
        <w:spacing w:after="0" w:line="176"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To drive participation and performance, we offer flexible payment methods and next-day payments (compared to the industry standard of multiple weeks). Ethos enhances the agent experience through incentives and a structured loyalty program that motivates agents to achieve their goals. In addition, Ethos provides productivity tools, including co-branded websites, marketing and lifecycle tools, the ability to purchase leads, business quality oversight, and agency management tools such as downline performance management and chargeback management. These strategic incentives empower agents to scale and accelerate their business, which is mutually beneficial for Ethos as we continue to expand our third-party channel.</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Technology</w:t>
      </w:r>
    </w:p>
    <w:p>
      <w:pPr>
        <w:spacing w:after="0" w:line="104" w:lineRule="exact"/>
        <w:rPr>
          <w:sz w:val="20"/>
          <w:szCs w:val="20"/>
          <w:color w:val="auto"/>
        </w:rPr>
      </w:pPr>
    </w:p>
    <w:p>
      <w:pPr>
        <w:ind w:left="120" w:right="360" w:firstLine="551"/>
        <w:spacing w:after="0" w:line="253" w:lineRule="auto"/>
        <w:rPr>
          <w:sz w:val="20"/>
          <w:szCs w:val="20"/>
          <w:color w:val="auto"/>
        </w:rPr>
      </w:pPr>
      <w:r>
        <w:rPr>
          <w:rFonts w:ascii="Arial" w:cs="Arial" w:eastAsia="Arial" w:hAnsi="Arial"/>
          <w:sz w:val="18"/>
          <w:szCs w:val="18"/>
          <w:color w:val="auto"/>
        </w:rPr>
        <w:t>We have rebuilt the traditional insurance technology stack to improve efficiency, speed, and consumer access, using structured rule-based automation, unified data infrastructure, and modern, extensible software systems. This platform supports seamless experiences for consumers, enables superior productivity for agents, and drives sustainable growth for carriers.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136525</wp:posOffset>
            </wp:positionV>
            <wp:extent cx="5177790" cy="17316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7779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Application Engine</w:t>
      </w:r>
    </w:p>
    <w:p>
      <w:pPr>
        <w:spacing w:after="0" w:line="102" w:lineRule="exact"/>
        <w:rPr>
          <w:sz w:val="20"/>
          <w:szCs w:val="20"/>
          <w:color w:val="auto"/>
        </w:rPr>
      </w:pPr>
    </w:p>
    <w:p>
      <w:pPr>
        <w:ind w:left="120" w:right="480" w:firstLine="551"/>
        <w:spacing w:after="0" w:line="253" w:lineRule="auto"/>
        <w:rPr>
          <w:sz w:val="20"/>
          <w:szCs w:val="20"/>
          <w:color w:val="auto"/>
        </w:rPr>
      </w:pPr>
      <w:r>
        <w:rPr>
          <w:rFonts w:ascii="Arial" w:cs="Arial" w:eastAsia="Arial" w:hAnsi="Arial"/>
          <w:sz w:val="18"/>
          <w:szCs w:val="18"/>
          <w:color w:val="auto"/>
        </w:rPr>
        <w:t>Our application engine is designed to intelligently engage consumers by utilizing thousands of approved questions to gain a comprehensive understanding of their health. The engine tailors its questioning strategy to align with natural interactions, creating an accurate and user-friendly experience. Key components include:</w:t>
      </w:r>
    </w:p>
    <w:p>
      <w:pPr>
        <w:spacing w:after="0" w:line="74"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Intelligent probing to dynamically adjust the interaction based on consumer responses.</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Engine</w:t>
      </w:r>
    </w:p>
    <w:p>
      <w:pPr>
        <w:spacing w:after="0" w:line="102"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Our proprietary rules-based underwriting engine is powered by a dynamic consumer information graph that is generated from our application engine. This graph connects and structures health, behavioral, and other predictive data to evaluate risk precisely, consistently, and transparently while providing clear, traceable, auditable, and explainable underwriting decisions. It ingests self-reported health data, prescription history, electronic health records, and more, enabling:</w:t>
      </w:r>
    </w:p>
    <w:p>
      <w:pPr>
        <w:spacing w:after="0" w:line="79" w:lineRule="exact"/>
        <w:rPr>
          <w:sz w:val="20"/>
          <w:szCs w:val="20"/>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Instant decisions for most applicants.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Adaptive rule selection.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High approval rates with reduced friction and faster decision-making.</w:t>
      </w:r>
    </w:p>
    <w:p>
      <w:pPr>
        <w:spacing w:after="0" w:line="212" w:lineRule="exact"/>
        <w:rPr>
          <w:sz w:val="20"/>
          <w:szCs w:val="20"/>
          <w:color w:val="auto"/>
        </w:rPr>
      </w:pPr>
    </w:p>
    <w:p>
      <w:pPr>
        <w:ind w:left="120" w:right="620" w:firstLine="551"/>
        <w:spacing w:after="0" w:line="271" w:lineRule="auto"/>
        <w:rPr>
          <w:sz w:val="20"/>
          <w:szCs w:val="20"/>
          <w:color w:val="auto"/>
        </w:rPr>
      </w:pPr>
      <w:r>
        <w:rPr>
          <w:rFonts w:ascii="Arial" w:cs="Arial" w:eastAsia="Arial" w:hAnsi="Arial"/>
          <w:sz w:val="18"/>
          <w:szCs w:val="18"/>
          <w:color w:val="auto"/>
        </w:rPr>
        <w:t>The consumer information graph continuously evolves as new applications are processed. Outcomes are used to refine rule relevance, enhance risk segmentation, and improve pricing precision.</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Automated Policy Administration</w:t>
      </w:r>
    </w:p>
    <w:p>
      <w:pPr>
        <w:spacing w:after="0" w:line="102" w:lineRule="exact"/>
        <w:rPr>
          <w:sz w:val="20"/>
          <w:szCs w:val="20"/>
          <w:color w:val="auto"/>
        </w:rPr>
      </w:pPr>
    </w:p>
    <w:p>
      <w:pPr>
        <w:ind w:left="120" w:right="660" w:firstLine="551"/>
        <w:spacing w:after="0" w:line="271" w:lineRule="auto"/>
        <w:rPr>
          <w:sz w:val="20"/>
          <w:szCs w:val="20"/>
          <w:color w:val="auto"/>
        </w:rPr>
      </w:pPr>
      <w:r>
        <w:rPr>
          <w:rFonts w:ascii="Arial" w:cs="Arial" w:eastAsia="Arial" w:hAnsi="Arial"/>
          <w:sz w:val="18"/>
          <w:szCs w:val="18"/>
          <w:color w:val="auto"/>
        </w:rPr>
        <w:t>Our cloud-native policy administration system is able to automate significant portions of the policy lifecycle from issuance to servicing and policyholder payments. This includes:</w:t>
      </w:r>
    </w:p>
    <w:p>
      <w:pPr>
        <w:spacing w:after="0" w:line="59" w:lineRule="exact"/>
        <w:rPr>
          <w:sz w:val="20"/>
          <w:szCs w:val="20"/>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Dynamic policy contract generation.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Billing, payment processing, retries, and reinstatements.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Endorsements (policy changes such as coverage amount or beneficiary updates).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Full policy servicing workflows, including consumer self-service options.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Structured data pipelines for supporting carriers in claims, auditing, and compliance reporting.</w:t>
      </w:r>
    </w:p>
    <w:p>
      <w:pPr>
        <w:spacing w:after="0" w:line="212"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color w:val="auto"/>
        </w:rPr>
        <w:t>Owning our own policy administration stack allows us to deploy new product features, pricing updates, and carrier configurations in days, not quarters, significantly improving responsiveness and reducing external dependencies.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Agent OS</w:t>
      </w:r>
    </w:p>
    <w:p>
      <w:pPr>
        <w:spacing w:after="0" w:line="210" w:lineRule="exact"/>
        <w:rPr>
          <w:sz w:val="20"/>
          <w:szCs w:val="20"/>
          <w:color w:val="auto"/>
        </w:rPr>
      </w:pPr>
    </w:p>
    <w:p>
      <w:pPr>
        <w:ind w:left="120" w:right="880" w:firstLine="551"/>
        <w:spacing w:after="0" w:line="271" w:lineRule="auto"/>
        <w:rPr>
          <w:sz w:val="20"/>
          <w:szCs w:val="20"/>
          <w:color w:val="auto"/>
        </w:rPr>
      </w:pPr>
      <w:r>
        <w:rPr>
          <w:rFonts w:ascii="Arial" w:cs="Arial" w:eastAsia="Arial" w:hAnsi="Arial"/>
          <w:sz w:val="18"/>
          <w:szCs w:val="18"/>
          <w:color w:val="auto"/>
        </w:rPr>
        <w:t>Ethos provides agents with a comprehensive operating system to sell and manage life insurance policies. Our Agent OS functionality includes:</w:t>
      </w:r>
    </w:p>
    <w:p>
      <w:pPr>
        <w:spacing w:after="0" w:line="59" w:lineRule="exact"/>
        <w:rPr>
          <w:sz w:val="20"/>
          <w:szCs w:val="20"/>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Rapid agent onboarding and agent eligibility checks.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Quoting tools and near real-time application tracking.</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CRM integrations and marketing automation.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Agent payment dashboards and next-day payments.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Performance analytics and agent performance insights.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system improves agent productivity while reducing manual effort and enabling agents to focus on client engagement.</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Embedded Distribution Infrastructure</w:t>
      </w:r>
    </w:p>
    <w:p>
      <w:pPr>
        <w:spacing w:after="0" w:line="102" w:lineRule="exact"/>
        <w:rPr>
          <w:sz w:val="20"/>
          <w:szCs w:val="20"/>
          <w:color w:val="auto"/>
        </w:rPr>
      </w:pPr>
    </w:p>
    <w:p>
      <w:pPr>
        <w:ind w:left="120" w:right="280" w:firstLine="551"/>
        <w:spacing w:after="0" w:line="271" w:lineRule="auto"/>
        <w:rPr>
          <w:sz w:val="20"/>
          <w:szCs w:val="20"/>
          <w:color w:val="auto"/>
        </w:rPr>
      </w:pPr>
      <w:r>
        <w:rPr>
          <w:rFonts w:ascii="Arial" w:cs="Arial" w:eastAsia="Arial" w:hAnsi="Arial"/>
          <w:sz w:val="18"/>
          <w:szCs w:val="18"/>
          <w:color w:val="auto"/>
        </w:rPr>
        <w:t>Our APIs and software development kits, or SDKs, enable agent networks, fintechs, and others to embed insurance directly into their workflows. These parties can:</w:t>
      </w:r>
    </w:p>
    <w:p>
      <w:pPr>
        <w:spacing w:after="0" w:line="59" w:lineRule="exact"/>
        <w:rPr>
          <w:sz w:val="20"/>
          <w:szCs w:val="20"/>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Quote, process, and activate policies within their own platforms.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Track performance and conversion metrics via real-time dashboards.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Customize product routing while relying on Ethos for compliance, servicing, and underwriting.</w:t>
      </w:r>
    </w:p>
    <w:p>
      <w:pPr>
        <w:spacing w:after="0" w:line="212"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This infrastructure has allowed us to scale these relationships quickly and deepen integration, driving a compounding advantage as distribution partners grow.</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Applied Machine Learning and Operational Intelligence</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While our underwriting is rule-based, we deploy machine learning in key operational areas, including:</w:t>
      </w:r>
    </w:p>
    <w:p>
      <w:pPr>
        <w:spacing w:after="0" w:line="117" w:lineRule="exact"/>
        <w:rPr>
          <w:sz w:val="20"/>
          <w:szCs w:val="20"/>
          <w:color w:val="auto"/>
        </w:rPr>
      </w:pPr>
    </w:p>
    <w:p>
      <w:pPr>
        <w:ind w:left="880" w:hanging="224"/>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Fraud detection: </w:t>
      </w:r>
      <w:r>
        <w:rPr>
          <w:rFonts w:ascii="Arial" w:cs="Arial" w:eastAsia="Arial" w:hAnsi="Arial"/>
          <w:sz w:val="18"/>
          <w:szCs w:val="18"/>
          <w:color w:val="auto"/>
        </w:rPr>
        <w:t>Use behavioral analytics and identity verification APIs help flag anomalies and ensure secure transactions.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Agent quality scoring: </w:t>
      </w:r>
      <w:r>
        <w:rPr>
          <w:rFonts w:ascii="Arial" w:cs="Arial" w:eastAsia="Arial" w:hAnsi="Arial"/>
          <w:sz w:val="18"/>
          <w:szCs w:val="18"/>
          <w:color w:val="auto"/>
        </w:rPr>
        <w:t>Evaluate agent behavior, compliance, and conversion.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Marketing optimization: </w:t>
      </w:r>
      <w:r>
        <w:rPr>
          <w:rFonts w:ascii="Arial" w:cs="Arial" w:eastAsia="Arial" w:hAnsi="Arial"/>
          <w:sz w:val="18"/>
          <w:szCs w:val="18"/>
          <w:color w:val="auto"/>
        </w:rPr>
        <w:t>Optimize advertising spend, targeting, and creative testing.</w:t>
      </w:r>
    </w:p>
    <w:p>
      <w:pPr>
        <w:spacing w:after="0" w:line="117" w:lineRule="exact"/>
        <w:rPr>
          <w:rFonts w:ascii="Arial" w:cs="Arial" w:eastAsia="Arial" w:hAnsi="Arial"/>
          <w:sz w:val="18"/>
          <w:szCs w:val="18"/>
          <w:color w:val="auto"/>
        </w:rPr>
      </w:pPr>
    </w:p>
    <w:p>
      <w:pPr>
        <w:ind w:left="880" w:right="600" w:hanging="224"/>
        <w:spacing w:after="0" w:line="271"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Policy audit prioritization: </w:t>
      </w:r>
      <w:r>
        <w:rPr>
          <w:rFonts w:ascii="Arial" w:cs="Arial" w:eastAsia="Arial" w:hAnsi="Arial"/>
          <w:sz w:val="18"/>
          <w:szCs w:val="18"/>
          <w:color w:val="auto"/>
        </w:rPr>
        <w:t>Rank and sample decisioned policies for human review for effective auditing and accelerated</w:t>
      </w:r>
      <w:r>
        <w:rPr>
          <w:rFonts w:ascii="Arial" w:cs="Arial" w:eastAsia="Arial" w:hAnsi="Arial"/>
          <w:sz w:val="18"/>
          <w:szCs w:val="18"/>
          <w:b w:val="1"/>
          <w:bCs w:val="1"/>
          <w:color w:val="auto"/>
        </w:rPr>
        <w:t xml:space="preserve"> </w:t>
      </w:r>
      <w:r>
        <w:rPr>
          <w:rFonts w:ascii="Arial" w:cs="Arial" w:eastAsia="Arial" w:hAnsi="Arial"/>
          <w:sz w:val="18"/>
          <w:szCs w:val="18"/>
          <w:color w:val="auto"/>
        </w:rPr>
        <w:t>learning.</w:t>
      </w:r>
    </w:p>
    <w:p>
      <w:pPr>
        <w:spacing w:after="0" w:line="154" w:lineRule="exact"/>
        <w:rPr>
          <w:sz w:val="20"/>
          <w:szCs w:val="20"/>
          <w:color w:val="auto"/>
        </w:rPr>
      </w:pPr>
    </w:p>
    <w:p>
      <w:pPr>
        <w:ind w:left="120" w:right="720" w:firstLine="551"/>
        <w:spacing w:after="0" w:line="271" w:lineRule="auto"/>
        <w:rPr>
          <w:sz w:val="20"/>
          <w:szCs w:val="20"/>
          <w:color w:val="auto"/>
        </w:rPr>
      </w:pPr>
      <w:r>
        <w:rPr>
          <w:rFonts w:ascii="Arial" w:cs="Arial" w:eastAsia="Arial" w:hAnsi="Arial"/>
          <w:sz w:val="18"/>
          <w:szCs w:val="18"/>
          <w:color w:val="auto"/>
        </w:rPr>
        <w:t>These machine learning applications are subject to strong governance and bias mitigation, and improve our ability to scale efficiently across operations, growth, and compliance.</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5" w:right="4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Data Platform and Intelligence Layer</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built a modern data infrastructure that serves as the intelligence backbone of the business. Our architecture supports:</w:t>
      </w:r>
    </w:p>
    <w:p>
      <w:pPr>
        <w:spacing w:after="0" w:line="117" w:lineRule="exact"/>
        <w:rPr>
          <w:sz w:val="20"/>
          <w:szCs w:val="20"/>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unified journey model, linking anonymous and logged-in user behavior for experimentation and funnel analysis.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Cohort-based profit tracking, surfacing Contribution Margin and persistency dynamics across products and acquisition sources.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Advanced experimentation, supporting dozens of simultaneous A/B tests across our platform.</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Scalable Architecture and Security by Design</w:t>
      </w:r>
    </w:p>
    <w:p>
      <w:pPr>
        <w:spacing w:after="0" w:line="102" w:lineRule="exact"/>
        <w:rPr>
          <w:sz w:val="20"/>
          <w:szCs w:val="20"/>
          <w:color w:val="auto"/>
        </w:rPr>
      </w:pPr>
    </w:p>
    <w:p>
      <w:pPr>
        <w:ind w:left="120" w:right="640" w:firstLine="551"/>
        <w:spacing w:after="0" w:line="271" w:lineRule="auto"/>
        <w:rPr>
          <w:sz w:val="20"/>
          <w:szCs w:val="20"/>
          <w:color w:val="auto"/>
        </w:rPr>
      </w:pPr>
      <w:r>
        <w:rPr>
          <w:rFonts w:ascii="Arial" w:cs="Arial" w:eastAsia="Arial" w:hAnsi="Arial"/>
          <w:sz w:val="18"/>
          <w:szCs w:val="18"/>
          <w:color w:val="auto"/>
        </w:rPr>
        <w:t>Ethos is built on a modular, cloud-native architecture optimized for performance, extensibility, and resilience. Core attributes include:</w:t>
      </w:r>
    </w:p>
    <w:p>
      <w:pPr>
        <w:spacing w:after="0" w:line="59" w:lineRule="exact"/>
        <w:rPr>
          <w:sz w:val="20"/>
          <w:szCs w:val="20"/>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Microservices deployed on secure, modular infrastructure.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modern frontend platform using industry-leading technologies.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Unified observability, role based access control, and logging integrated across services.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End-to-end encryption, KBA/SMS-based authentication, and SOC 2 Type II certification.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platform enables rapid development, continuous deployment, and strict adherence to data privacy and regulatory standards.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04"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The business of selling insurance products and services is highly competitive and fragmented. While we believe we are well positioned to execute our business model and transform the life insurance industry, we actively compete with a number of companies, including agencies, brokerages, and traditional carrier distribution channels, as well as companies with online and platform offerings similar to ours. As insurance carriers and financial services companies expand their digital distribution strategies, we may face increased competition from larger, well-capitalized entities offering a broader range of products directly to consumers. In addition, a number of carriers are engaged in the direct sale of insurance, primarily to individuals, and do not pay commissions to brokers or other market intermediaries.</w:t>
      </w:r>
    </w:p>
    <w:p>
      <w:pPr>
        <w:spacing w:after="0" w:line="18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Furthermore, we compete with various other companies that provide risk-related services or alternatives to traditional insurance services, including other competing start-up companies, which are focused on using technology and innovation, including AI, machine learning, digital platforms, data analytics, robotics, and blockchain, to simplify and improve the customer experience, increase efficiencies, alter business models and effect other potentially disruptive changes in the industries in which we operate. We also expect new entrants to offer competitive services and carriers may also seek to build their own solutions, including using advanced tools such as AI, and particularly in markets where development costs are lower. In addition, in recent years, private equity sponsors have invested tens of billions of dollars into the insurance sector, transforming existing players and creating new ones to compete with large brokers.</w:t>
      </w:r>
    </w:p>
    <w:p>
      <w:pPr>
        <w:spacing w:after="0" w:line="185" w:lineRule="exact"/>
        <w:rPr>
          <w:sz w:val="20"/>
          <w:szCs w:val="20"/>
          <w:color w:val="auto"/>
        </w:rPr>
      </w:pPr>
    </w:p>
    <w:p>
      <w:pPr>
        <w:jc w:val="both"/>
        <w:ind w:left="120" w:right="60" w:firstLine="551"/>
        <w:spacing w:after="0" w:line="275" w:lineRule="auto"/>
        <w:rPr>
          <w:sz w:val="20"/>
          <w:szCs w:val="20"/>
          <w:color w:val="auto"/>
        </w:rPr>
      </w:pPr>
      <w:r>
        <w:rPr>
          <w:rFonts w:ascii="Arial" w:cs="Arial" w:eastAsia="Arial" w:hAnsi="Arial"/>
          <w:sz w:val="17"/>
          <w:szCs w:val="17"/>
          <w:color w:val="auto"/>
        </w:rPr>
        <w:t>We compete for consumers on the basis of reputation, customer service, program and product offerings, and our ability to innovate and tailor products and services to meet the specific needs of a customer. We believe we compete favorably across many of these factors with our fully digital and vertically integrated platform that simplifies the insurance value chain from distribution to underwriting,</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activation, payments, and administration. Our growing ecosystem of consumers, agents, and carriers benefits from the scale, easy-of-use, and efficiency of our platform, which creates strong network effects that drive our continued growth. For additional information about the risks to our business related to competition, see the section titled “Risk Factors—Risks Related to Our Business—Competition in our industry is intense, and our inability to compete effectively may adversely affect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Employees and Culture</w:t>
      </w:r>
    </w:p>
    <w:p>
      <w:pPr>
        <w:spacing w:after="0" w:line="104" w:lineRule="exact"/>
        <w:rPr>
          <w:sz w:val="20"/>
          <w:szCs w:val="20"/>
          <w:color w:val="auto"/>
        </w:rPr>
      </w:pPr>
    </w:p>
    <w:p>
      <w:pPr>
        <w:jc w:val="both"/>
        <w:ind w:left="120" w:right="240" w:firstLine="551"/>
        <w:spacing w:after="0" w:line="253" w:lineRule="auto"/>
        <w:rPr>
          <w:sz w:val="20"/>
          <w:szCs w:val="20"/>
          <w:color w:val="auto"/>
        </w:rPr>
      </w:pPr>
      <w:r>
        <w:rPr>
          <w:rFonts w:ascii="Arial" w:cs="Arial" w:eastAsia="Arial" w:hAnsi="Arial"/>
          <w:sz w:val="18"/>
          <w:szCs w:val="18"/>
          <w:color w:val="auto"/>
        </w:rPr>
        <w:t>At Ethos, our employees are the driving force behind our mission to democratize access to life insurance, protecting families and empowering agents at scale. Our culture is rooted in empathy, innovation and a commitment to meaningful impact, and the values that define our organization are as follows:</w:t>
      </w:r>
    </w:p>
    <w:p>
      <w:pPr>
        <w:spacing w:after="0" w:line="74" w:lineRule="exact"/>
        <w:rPr>
          <w:sz w:val="20"/>
          <w:szCs w:val="20"/>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Serve Our Families: </w:t>
      </w:r>
      <w:r>
        <w:rPr>
          <w:rFonts w:ascii="Arial" w:cs="Arial" w:eastAsia="Arial" w:hAnsi="Arial"/>
          <w:sz w:val="18"/>
          <w:szCs w:val="18"/>
          <w:color w:val="auto"/>
        </w:rPr>
        <w:t>We are driven by a deep sense of responsibility to serve and delight the families that depend on us.</w:t>
      </w:r>
    </w:p>
    <w:p>
      <w:pPr>
        <w:spacing w:after="0" w:line="117" w:lineRule="exact"/>
        <w:rPr>
          <w:rFonts w:ascii="Arial" w:cs="Arial" w:eastAsia="Arial" w:hAnsi="Arial"/>
          <w:sz w:val="18"/>
          <w:szCs w:val="18"/>
          <w:color w:val="auto"/>
        </w:rPr>
      </w:pPr>
    </w:p>
    <w:p>
      <w:pPr>
        <w:ind w:left="880" w:right="420" w:hanging="224"/>
        <w:spacing w:after="0" w:line="271"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Intellectual Rigor: </w:t>
      </w:r>
      <w:r>
        <w:rPr>
          <w:rFonts w:ascii="Arial" w:cs="Arial" w:eastAsia="Arial" w:hAnsi="Arial"/>
          <w:sz w:val="18"/>
          <w:szCs w:val="18"/>
          <w:color w:val="auto"/>
        </w:rPr>
        <w:t>We challenge assumptions and hold ourselves to the highest standards of analytical excellence, making</w:t>
      </w:r>
      <w:r>
        <w:rPr>
          <w:rFonts w:ascii="Arial" w:cs="Arial" w:eastAsia="Arial" w:hAnsi="Arial"/>
          <w:sz w:val="18"/>
          <w:szCs w:val="18"/>
          <w:b w:val="1"/>
          <w:bCs w:val="1"/>
          <w:color w:val="auto"/>
        </w:rPr>
        <w:t xml:space="preserve"> </w:t>
      </w:r>
      <w:r>
        <w:rPr>
          <w:rFonts w:ascii="Arial" w:cs="Arial" w:eastAsia="Arial" w:hAnsi="Arial"/>
          <w:sz w:val="18"/>
          <w:szCs w:val="18"/>
          <w:color w:val="auto"/>
        </w:rPr>
        <w:t>objective decisions informed by data and logic.</w:t>
      </w:r>
    </w:p>
    <w:p>
      <w:pPr>
        <w:spacing w:after="0" w:line="59" w:lineRule="exact"/>
        <w:rPr>
          <w:rFonts w:ascii="Arial" w:cs="Arial" w:eastAsia="Arial" w:hAnsi="Arial"/>
          <w:sz w:val="18"/>
          <w:szCs w:val="18"/>
          <w:color w:val="auto"/>
        </w:rPr>
      </w:pPr>
    </w:p>
    <w:p>
      <w:pPr>
        <w:ind w:left="880" w:right="40" w:hanging="224"/>
        <w:spacing w:after="0" w:line="271"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Bias for Impact: </w:t>
      </w:r>
      <w:r>
        <w:rPr>
          <w:rFonts w:ascii="Arial" w:cs="Arial" w:eastAsia="Arial" w:hAnsi="Arial"/>
          <w:sz w:val="18"/>
          <w:szCs w:val="18"/>
          <w:color w:val="auto"/>
        </w:rPr>
        <w:t>We prioritize outcomes over optics, empowering our teams to move quickly and decisively while always putting</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extra effort.</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 xml:space="preserve">Speak Your Mind: </w:t>
      </w:r>
      <w:r>
        <w:rPr>
          <w:rFonts w:ascii="Arial" w:cs="Arial" w:eastAsia="Arial" w:hAnsi="Arial"/>
          <w:sz w:val="17"/>
          <w:szCs w:val="17"/>
          <w:color w:val="auto"/>
        </w:rPr>
        <w:t>We foster a culture of candor and trust, where open dialogue and diverse perspectives drive better outcomes.</w:t>
      </w:r>
    </w:p>
    <w:p>
      <w:pPr>
        <w:spacing w:after="0" w:line="223"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Our employees are located in the global technology hubs of San Francisco and Bengaluru, India, as well as remotely across the United States and in select additional countries such as Singapore. Employees in San Francisco support core corporate, product, and go-to-market functions. Our operations in Bengaluru are focused primarily on engineering and customer success, supported by local administrative and human resources personnel. We believe this global yet concentrated distribution of employees provides us access to high quality and diverse technology talent. Our digital-first company culture empowers collaboration and innovation across time zones. Through employee referrals, campus recruiting, and target job postings, we aim to attract exceptional talent to drive our mission of reimagining life insurance. As of September 30, 2025, we had 548 full-time employees globally.</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Intellectual Property</w:t>
      </w:r>
    </w:p>
    <w:p>
      <w:pPr>
        <w:spacing w:after="0" w:line="104"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Our intellectual property is an important aspect of our business and helps us to maintain our competitive position in our industry. To establish and protect our proprietary rights, we rely upon a combination of trade secret, copyright, and trademark laws and contractual restrictions such as confidentiality agreements, licenses, and intellectual property assignment agreements.</w:t>
      </w:r>
    </w:p>
    <w:p>
      <w:pPr>
        <w:spacing w:after="0" w:line="169" w:lineRule="exact"/>
        <w:rPr>
          <w:sz w:val="20"/>
          <w:szCs w:val="20"/>
          <w:color w:val="auto"/>
        </w:rPr>
      </w:pPr>
    </w:p>
    <w:p>
      <w:pPr>
        <w:ind w:left="120" w:right="340" w:firstLine="551"/>
        <w:spacing w:after="0" w:line="253" w:lineRule="auto"/>
        <w:rPr>
          <w:sz w:val="20"/>
          <w:szCs w:val="20"/>
          <w:color w:val="auto"/>
        </w:rPr>
      </w:pPr>
      <w:r>
        <w:rPr>
          <w:rFonts w:ascii="Arial" w:cs="Arial" w:eastAsia="Arial" w:hAnsi="Arial"/>
          <w:sz w:val="18"/>
          <w:szCs w:val="18"/>
          <w:color w:val="auto"/>
        </w:rPr>
        <w:t>We control access to our intellectual property and confidential information through internal and external controls. We maintain a policy requiring our employees, contractors, consultants, and other third parties to enter into confidentiality and proprietary rights agreements to control access to and non-disclosure of our proprietary information.</w:t>
      </w:r>
    </w:p>
    <w:p>
      <w:pPr>
        <w:spacing w:after="0" w:line="169"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We also are the registered holder of a variety of domain names that include “ethos,” “ethoslife,” and similar variations; however, we do not own a U.S. federal trademark registration for our main brand “Ethos” or “Ethos Technologies,” and instead rely on common law protection for these trademarks. Further, we currently do not own any patents and instead, rely on copyright law and trade secret protection for our software and other proprietary technology.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Data Privacy and Security</w:t>
      </w:r>
    </w:p>
    <w:p>
      <w:pPr>
        <w:spacing w:after="0" w:line="104"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7"/>
          <w:szCs w:val="17"/>
          <w:color w:val="auto"/>
        </w:rPr>
        <w:t>In the ordinary course of our business, we process personal information (including sensitive personal information and medical records). Accordingly, we are subject to numerous data privacy and security requirements and obligations, including federal, state, and local laws, regulations, guidance, and industry standards. Such obligations may include, without limitation, data breach notification laws, comprehensive privacy laws, consumer protection laws (e.g., Section 5 of the Federal Trade Commission Act), and other similar laws (e.g., wiretapping laws). At the federal level, we are subject to, among other laws, the Gramm-Leach-Bliley Act, or GLBA, which requires financial institutions, including insurers, among other things, periodically disclose their privacy policies and practices relating to sharing “nonpublic personal information” and, in some cases, enables customers to opt out of the sharing of certain personal information with unaffiliated third parties. The GLBA also requires financial institutions to implement an information security program that includes administrative, technical, and physical safeguards to ensure the security and confidentiality of customer records and information.</w:t>
      </w:r>
    </w:p>
    <w:p>
      <w:pPr>
        <w:spacing w:after="0" w:line="169"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Numerous U.S. states have enacted comprehensive privacy laws that impose certain obligations on covered businesses, including providing specific disclosures in privacy notices and affording residents with certain rights concerning their personal information, including health information. Certain states also impose stricter requirements for processing certain personal information, including sensitive information, such as conducting data privacy impact assessments. These state laws allow for statutory fines for noncompliance. For example, the CCPA applies to personal information of consumers, business representatives, employees, and others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The CCPA includes an exemption applicable to personal information collected, processed, sold or disclosed subject to the GLBA, and other comprehensive U.S. state privacy laws contain similar exemptions for GLBA-covered data or broader exemptions for GLBA-covered entities. However, these developments may further complicate compliance efforts and increase legal risk and compliance costs for us and the third parties with whom we work.</w:t>
      </w:r>
    </w:p>
    <w:p>
      <w:pPr>
        <w:spacing w:after="0" w:line="18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are also subject to various state financial privacy laws such as the California Financial Information Privacy Act. These laws require, among other things, providing either an opt-in or opt-out, depending on the state, to the sharing of non-public personal information with unaffiliated third parties. Additionally, in response to the growing threat of cyber-attacks in the insurance industry, certain jurisdictions, including New York, have begun to consider new cybersecurity measures, including the adoption of cybersecurity regulations. In October 2017, the National Association of Insurance Commissioners, or NAIC, adopted its Insurance Data Security Model Law, intended to serve as model legislation for states to enact in order to govern cybersecurity and data protection practices of insurers, insurance agents, and other licensed entities registered under state insurance laws. Various states have adopted versions of the NAIC Insurance Data Security Model Law.</w:t>
      </w:r>
    </w:p>
    <w:p>
      <w:pPr>
        <w:spacing w:after="0" w:line="18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Furthermore, we and the third parties with whom we work are subject to a variety of evolving cybersecurity threats, including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While we have implemented security measures designed to protect against security incidents and data breaches, these measures may not be effective. For information on risks associated with our information</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5" w:right="4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100"/>
        <w:spacing w:after="0" w:line="247" w:lineRule="auto"/>
        <w:rPr>
          <w:sz w:val="20"/>
          <w:szCs w:val="20"/>
          <w:color w:val="auto"/>
        </w:rPr>
      </w:pPr>
      <w:r>
        <w:rPr>
          <w:rFonts w:ascii="Arial" w:cs="Arial" w:eastAsia="Arial" w:hAnsi="Arial"/>
          <w:sz w:val="18"/>
          <w:szCs w:val="18"/>
          <w:color w:val="auto"/>
        </w:rPr>
        <w:t>technology systems, see “Risk Factors—Risks Related to Intellectual Property, Data Privacy, and Security—If our information technology systems or of those third parties with whom we work or our data, are or were compromised, we could experience adverse consequences resulting from such compromise, including regulatory investigations or actions, litigation, fines and penalties, disruptions of our business operations, reputational harm; loss of revenue or profits, loss of consumers or sales, and other adverse consequences.”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w:t>
      </w:r>
    </w:p>
    <w:p>
      <w:pPr>
        <w:spacing w:after="0" w:line="104" w:lineRule="exact"/>
        <w:rPr>
          <w:sz w:val="20"/>
          <w:szCs w:val="20"/>
          <w:color w:val="auto"/>
        </w:rPr>
      </w:pPr>
    </w:p>
    <w:p>
      <w:pPr>
        <w:ind w:left="120" w:right="400" w:firstLine="551"/>
        <w:spacing w:after="0" w:line="271" w:lineRule="auto"/>
        <w:rPr>
          <w:sz w:val="20"/>
          <w:szCs w:val="20"/>
          <w:color w:val="auto"/>
        </w:rPr>
      </w:pPr>
      <w:r>
        <w:rPr>
          <w:rFonts w:ascii="Arial" w:cs="Arial" w:eastAsia="Arial" w:hAnsi="Arial"/>
          <w:sz w:val="18"/>
          <w:szCs w:val="18"/>
          <w:color w:val="auto"/>
        </w:rPr>
        <w:t>We are also subject to extensive regulations at the state and federal level. These laws and regulations are designed to protect consumers, policyholders, and insureds and to protect the integrity of the financial markets.</w:t>
      </w:r>
    </w:p>
    <w:p>
      <w:pPr>
        <w:spacing w:after="0" w:line="154"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The regulatory regimes applicable to our business vary by state but generally require individual and company licensing to act as producers, agents, and third -party administrators. We hold producer licenses in 49 states and the District of Columbia and third-party administrator licenses in the 38 states that require a separate license to act as a third-party administrator. We do not operate in New York. These laws are administered and enforced by state insurance regulators as well as state attorneys general. State insurance regulators have broad authority to grant, renew, suspend, and terminate the company and individual licenses required to do business in their respective states. The conditions for maintaining these licenses in good standing include complying with reporting requirements, maintaining liability insurance policies and surety bonds, completing continuing education, and generally complying with the insurance laws and regulations of each state. Certain state insurance laws also require notification to state regulators of certain corporate changes, including changes of address, name, officers or directors, and ownership information or corporate structure. We operate as a licensed producer and administrator in 49 states.</w:t>
      </w:r>
    </w:p>
    <w:p>
      <w:pPr>
        <w:spacing w:after="0" w:line="180"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State insurance laws govern whether licensees may share commissions with unlicensed entities and individuals and in some cases prohibit the payment, directly or indirectly, of any compensation or valuable consideration in exchange for referring, soliciting, or negotiating an insurance contract. Third-party administrators are also subject to state insurance law requirements governing the receipt and payment of premiums. These funds are held in a fiduciary capacity and generally may not be invested or withdrawn except in accordance with the written agreement with the carrier. Producers, agents, and third-party administrators are also subject to insurance laws governing marketing, advertisements, and representations made regarding the terms, conditions, costs, and other features of insurance products. State insurance regulators and state attorneys generally enforce these laws and have authority to take action against a licensee’s license, to impose civil money penalties and fines, and to require remedial or corrective action for violations. Disciplinary action by one state regulator may also trigger requirements to notify other state regulators that supervise the company’s other state licenses.</w:t>
      </w:r>
    </w:p>
    <w:p>
      <w:pPr>
        <w:spacing w:after="0" w:line="18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addition to state insurance laws and regulations, we are subject to federal and state laws governing marketing and consumer outreach, including the federal TCPA, the Controlling the Assault of Non-Solicited Pornography and Marketing Act, or CAN-SPAM, and its state equivalents. These laws restrict telemarketing calls, text messages, and the use of automatic dialers and similar technology, and may limit when and how we can contact consumers. We are also subject to anti-money laundering, or AML, and economic sanctions laws and regulations, including those administered by the U.S. Department of Treasury’s Office of Foreign Asset Control, or OFAC, that prohibit issuing policies to certain sanctioned persons, entities, jurisdictions, or business sectors and may require reporting of certain information and transactions to OFAC. We must also cooperate with carriers with whom we work in providing them with information necessary for those partners to maintain effective AML programs.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80"/>
          </w:cols>
          <w:pgMar w:left="320" w:top="455" w:right="4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Agreements with Carriers</w:t>
      </w:r>
    </w:p>
    <w:p>
      <w:pPr>
        <w:spacing w:after="0" w:line="10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We enter into standard contractual arrangements with our carriers, many of which do not have a fixed term and others of which are structured as annual contracts with automatic renewal. These agreements typically permit either party to terminate for convenience with advance written notice, including some with notice periods of up to 18 months. Our carrier agreements also permit termination for cause in the event of a material breach, regulatory non-compliance, or other specified circumstances. Upon termination of a carrier agreement, we generally continue to receive commissions on policies that were active as of the termination date, for so long as we remain the agent of record for servicing those policies, until such policies are no longer active. Our carrier agreements generally do not impose minimum volume or policy commitments. Our carrier agreements include commission recoupment provisions that require us to repay a portion of commissions received if a policy is terminated within a specified period, typically between six- and 12 months following policy issuance, on a pro rata basis based on premiums received. These agreements generally include mutual indemnification obligations, confidentiality and data security provisions, and require us to maintain errors and omissions insurance.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Agreements with Agencies and Other Third-Parties</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enter into standard contractual agreements with agencies that allow their affiliated agents to access and use our platform to sell products offered on our platform. These agreements generally have one-year terms and renew automatically unless either party provides notice of non-renewal at least 30 days prior to the end of the then-current term. Generally, either party may also terminate the agreement earlier for convenience with advance written notice, typically ranging from 30 to 90 days, or for cause, including material breach, following a short cure period. The agreements do not impose any minimum production or engagement commitments. Recoupment provisions generally require the repayment to us by agents of all agent payments for policies that are terminated within the first six months following activation and the repayment of any unearned agent payments for policies that terminate after six months.</w:t>
      </w:r>
    </w:p>
    <w:p>
      <w:pPr>
        <w:spacing w:after="0" w:line="18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prohibit certain conduct under our agency agreements, including soliciting insurance without proper licensure, acting outside the scope of contractual authority, promoting competing life insurance products sold primarily online, and attempting to induce policyholders to surrender, lapse, or replace in-force coverage. Agencies and their affiliated agents are also prohibited from certain activities, such as engaging in deceptive or unethical trade practices, violating digital and social media marketing regulations, contacting consumers on “Do Not Call” registries, or using consumer data without appropriate consent. While we do not directly supervise individual agents and are not required to do so under applicable laws and regulations, our contractual arrangements are designed to ensure that agencies are responsible for supervising their affiliated agents, and agents have their own obligations to comply with applicable laws and avoid impermissible activities within the agency’s supervisory framework. Agents also face the risk of license loss through carrier-reported misconduct or mis-selling, a process we support when appropriate. In addition, agents must complete an annual compliance certification to access our platform, and we issue periodic compliance reminders. Despite these safeguards, our ability to monitor and influence agency and agent conduct is limited due to a variety of factors, including those described in the sections titled “Risk Factors–Risks Related to Our Business–Our business is subject to risks related to disputes, legal proceedings, and governmental inquiries.”</w:t>
      </w:r>
    </w:p>
    <w:p>
      <w:pPr>
        <w:spacing w:after="0" w:line="183" w:lineRule="exact"/>
        <w:rPr>
          <w:sz w:val="20"/>
          <w:szCs w:val="20"/>
          <w:color w:val="auto"/>
        </w:rPr>
      </w:pPr>
    </w:p>
    <w:p>
      <w:pPr>
        <w:ind w:left="120" w:right="220" w:firstLine="551"/>
        <w:spacing w:after="0" w:line="275" w:lineRule="auto"/>
        <w:rPr>
          <w:sz w:val="20"/>
          <w:szCs w:val="20"/>
          <w:color w:val="auto"/>
        </w:rPr>
      </w:pPr>
      <w:r>
        <w:rPr>
          <w:rFonts w:ascii="Arial" w:cs="Arial" w:eastAsia="Arial" w:hAnsi="Arial"/>
          <w:sz w:val="17"/>
          <w:szCs w:val="17"/>
          <w:color w:val="auto"/>
        </w:rPr>
        <w:t>We also maintain relationships with select third -party fintech companies that refer potential consumers through their own digital channels via customized partner links to our platform. These entities typically operate through affiliated licensed agencies whose agents are eligible to receive agent payments for new policies activated by referred consumers. In addition, we compensate the applicable</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color w:val="auto"/>
        </w:rPr>
        <w:t>fintech company in connection with referred customers who activate a new policy. For certain established relationships, we may also provide API access to enable integration, subject to regulatory compliance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04" w:lineRule="exact"/>
        <w:rPr>
          <w:sz w:val="20"/>
          <w:szCs w:val="20"/>
          <w:color w:val="auto"/>
        </w:rPr>
      </w:pPr>
    </w:p>
    <w:p>
      <w:pPr>
        <w:jc w:val="both"/>
        <w:ind w:left="120" w:right="120" w:firstLine="551"/>
        <w:spacing w:after="0" w:line="253" w:lineRule="auto"/>
        <w:rPr>
          <w:sz w:val="20"/>
          <w:szCs w:val="20"/>
          <w:color w:val="auto"/>
        </w:rPr>
      </w:pPr>
      <w:r>
        <w:rPr>
          <w:rFonts w:ascii="Arial" w:cs="Arial" w:eastAsia="Arial" w:hAnsi="Arial"/>
          <w:sz w:val="18"/>
          <w:szCs w:val="18"/>
          <w:color w:val="auto"/>
        </w:rPr>
        <w:t>Our principal executive offices are in San Francisco, California, where we occupy approximately 9,000 square feet of office space pursuant to a lease expiring in November 2028. As of September 30, 2025, we also lease office space internationally in Bengaluru, India and Singapore. We believe that our current facilities are adequate to meet our current needs.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04"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8"/>
          <w:szCs w:val="18"/>
          <w:color w:val="auto"/>
        </w:rPr>
        <w:t>From time to time, we are involved in various legal proceedings arising from activities in the normal course of business. We are not presently a party to any litigation the outcome of which, we believe, if determined adversely to us, would individually or taken together have a material adverse effect on our business, financial condition, results of operations, and cash flows.</w:t>
      </w:r>
    </w:p>
    <w:p>
      <w:pPr>
        <w:spacing w:after="0" w:line="169"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Defending any legal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60"/>
          </w:cols>
          <w:pgMar w:left="320" w:top="455" w:right="5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our executive officers and directors as of December 5, 2025:</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2800" w:type="dxa"/>
            <w:vAlign w:val="bottom"/>
          </w:tcPr>
          <w:p>
            <w:pPr>
              <w:spacing w:after="0"/>
              <w:rPr>
                <w:sz w:val="16"/>
                <w:szCs w:val="16"/>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Age</w:t>
            </w:r>
          </w:p>
        </w:tc>
        <w:tc>
          <w:tcPr>
            <w:tcW w:w="728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57"/>
        </w:trPr>
        <w:tc>
          <w:tcPr>
            <w:tcW w:w="3200" w:type="dxa"/>
            <w:vAlign w:val="bottom"/>
            <w:gridSpan w:val="2"/>
          </w:tcPr>
          <w:p>
            <w:pPr>
              <w:spacing w:after="0" w:line="157" w:lineRule="exact"/>
              <w:rPr>
                <w:sz w:val="20"/>
                <w:szCs w:val="20"/>
                <w:color w:val="auto"/>
              </w:rPr>
            </w:pPr>
            <w:r>
              <w:rPr>
                <w:rFonts w:ascii="Arial" w:cs="Arial" w:eastAsia="Arial" w:hAnsi="Arial"/>
                <w:sz w:val="18"/>
                <w:szCs w:val="18"/>
                <w:b w:val="1"/>
                <w:bCs w:val="1"/>
                <w:i w:val="1"/>
                <w:iCs w:val="1"/>
                <w:color w:val="auto"/>
              </w:rPr>
              <w:t>Executive Officers</w:t>
            </w: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80" w:type="dxa"/>
            <w:vAlign w:val="bottom"/>
            <w:tcBorders>
              <w:top w:val="single" w:sz="8" w:color="auto"/>
            </w:tcBorders>
          </w:tcPr>
          <w:p>
            <w:pPr>
              <w:spacing w:after="0"/>
              <w:rPr>
                <w:sz w:val="13"/>
                <w:szCs w:val="13"/>
                <w:color w:val="auto"/>
              </w:rPr>
            </w:pP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Peter Colis</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36</w:t>
            </w:r>
          </w:p>
        </w:tc>
        <w:tc>
          <w:tcPr>
            <w:tcW w:w="100" w:type="dxa"/>
            <w:vAlign w:val="bottom"/>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Chief Executive Officer and Chair of our Board of Directors</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Lingke Wang</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35</w:t>
            </w:r>
          </w:p>
        </w:tc>
        <w:tc>
          <w:tcPr>
            <w:tcW w:w="100" w:type="dxa"/>
            <w:vAlign w:val="bottom"/>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President and Director</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Christopher Capozzi</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48</w:t>
            </w:r>
          </w:p>
        </w:tc>
        <w:tc>
          <w:tcPr>
            <w:tcW w:w="100" w:type="dxa"/>
            <w:vAlign w:val="bottom"/>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Erin Lantz</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46</w:t>
            </w:r>
          </w:p>
        </w:tc>
        <w:tc>
          <w:tcPr>
            <w:tcW w:w="100" w:type="dxa"/>
            <w:vAlign w:val="bottom"/>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Chief Revenue Officer</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Kunal Mehta</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44</w:t>
            </w:r>
          </w:p>
        </w:tc>
        <w:tc>
          <w:tcPr>
            <w:tcW w:w="100" w:type="dxa"/>
            <w:vAlign w:val="bottom"/>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Senior Vice President, Finance</w:t>
            </w:r>
          </w:p>
        </w:tc>
      </w:tr>
      <w:tr>
        <w:trPr>
          <w:trHeight w:val="239"/>
        </w:trPr>
        <w:tc>
          <w:tcPr>
            <w:tcW w:w="3200" w:type="dxa"/>
            <w:vAlign w:val="bottom"/>
            <w:gridSpan w:val="2"/>
          </w:tcPr>
          <w:p>
            <w:pPr>
              <w:spacing w:after="0"/>
              <w:rPr>
                <w:sz w:val="20"/>
                <w:szCs w:val="20"/>
                <w:color w:val="auto"/>
              </w:rPr>
            </w:pPr>
            <w:r>
              <w:rPr>
                <w:rFonts w:ascii="Arial" w:cs="Arial" w:eastAsia="Arial" w:hAnsi="Arial"/>
                <w:sz w:val="18"/>
                <w:szCs w:val="18"/>
                <w:color w:val="auto"/>
              </w:rPr>
              <w:t>Vipul Sharma</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10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74"/>
        </w:trPr>
        <w:tc>
          <w:tcPr>
            <w:tcW w:w="3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80" w:type="dxa"/>
            <w:vAlign w:val="bottom"/>
          </w:tcPr>
          <w:p>
            <w:pPr>
              <w:spacing w:after="0"/>
              <w:rPr>
                <w:sz w:val="23"/>
                <w:szCs w:val="23"/>
                <w:color w:val="auto"/>
              </w:rPr>
            </w:pP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6"/>
                <w:szCs w:val="16"/>
                <w:color w:val="auto"/>
              </w:rPr>
              <w:t>Roelof Botha</w:t>
            </w:r>
            <w:r>
              <w:rPr>
                <w:rFonts w:ascii="Arial" w:cs="Arial" w:eastAsia="Arial" w:hAnsi="Arial"/>
                <w:sz w:val="23"/>
                <w:szCs w:val="23"/>
                <w:color w:val="auto"/>
                <w:vertAlign w:val="superscript"/>
              </w:rPr>
              <w:t>(1)*</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52</w:t>
            </w:r>
          </w:p>
        </w:tc>
        <w:tc>
          <w:tcPr>
            <w:tcW w:w="100" w:type="dxa"/>
            <w:vAlign w:val="bottom"/>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6"/>
                <w:szCs w:val="16"/>
                <w:color w:val="auto"/>
              </w:rPr>
              <w:t>Priscilla Hung</w:t>
            </w:r>
            <w:r>
              <w:rPr>
                <w:rFonts w:ascii="Arial" w:cs="Arial" w:eastAsia="Arial" w:hAnsi="Arial"/>
                <w:sz w:val="23"/>
                <w:szCs w:val="23"/>
                <w:color w:val="auto"/>
                <w:vertAlign w:val="superscript"/>
              </w:rPr>
              <w:t>(2)</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59</w:t>
            </w:r>
          </w:p>
        </w:tc>
        <w:tc>
          <w:tcPr>
            <w:tcW w:w="100" w:type="dxa"/>
            <w:vAlign w:val="bottom"/>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6"/>
                <w:szCs w:val="16"/>
                <w:color w:val="auto"/>
              </w:rPr>
              <w:t>John Kunze</w:t>
            </w:r>
            <w:r>
              <w:rPr>
                <w:rFonts w:ascii="Arial" w:cs="Arial" w:eastAsia="Arial" w:hAnsi="Arial"/>
                <w:sz w:val="23"/>
                <w:szCs w:val="23"/>
                <w:color w:val="auto"/>
                <w:vertAlign w:val="superscript"/>
              </w:rPr>
              <w:t>(1)(2)</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62</w:t>
            </w:r>
          </w:p>
        </w:tc>
        <w:tc>
          <w:tcPr>
            <w:tcW w:w="100" w:type="dxa"/>
            <w:vAlign w:val="bottom"/>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6"/>
                <w:szCs w:val="16"/>
                <w:color w:val="auto"/>
              </w:rPr>
              <w:t>Nathan J. Niparko</w:t>
            </w:r>
            <w:r>
              <w:rPr>
                <w:rFonts w:ascii="Arial" w:cs="Arial" w:eastAsia="Arial" w:hAnsi="Arial"/>
                <w:sz w:val="23"/>
                <w:szCs w:val="23"/>
                <w:color w:val="auto"/>
                <w:vertAlign w:val="superscript"/>
              </w:rPr>
              <w:t>(3)</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39</w:t>
            </w:r>
          </w:p>
        </w:tc>
        <w:tc>
          <w:tcPr>
            <w:tcW w:w="100" w:type="dxa"/>
            <w:vAlign w:val="bottom"/>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6"/>
                <w:szCs w:val="16"/>
                <w:color w:val="auto"/>
              </w:rPr>
              <w:t>Khozema Shipchandler</w:t>
            </w:r>
            <w:r>
              <w:rPr>
                <w:rFonts w:ascii="Arial" w:cs="Arial" w:eastAsia="Arial" w:hAnsi="Arial"/>
                <w:sz w:val="23"/>
                <w:szCs w:val="23"/>
                <w:color w:val="auto"/>
                <w:vertAlign w:val="superscript"/>
              </w:rPr>
              <w:t>(1)</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51</w:t>
            </w:r>
          </w:p>
        </w:tc>
        <w:tc>
          <w:tcPr>
            <w:tcW w:w="100" w:type="dxa"/>
            <w:vAlign w:val="bottom"/>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366"/>
        </w:trPr>
        <w:tc>
          <w:tcPr>
            <w:tcW w:w="3200" w:type="dxa"/>
            <w:vAlign w:val="bottom"/>
            <w:gridSpan w:val="2"/>
          </w:tcPr>
          <w:p>
            <w:pPr>
              <w:spacing w:after="0"/>
              <w:rPr>
                <w:sz w:val="20"/>
                <w:szCs w:val="20"/>
                <w:color w:val="auto"/>
              </w:rPr>
            </w:pPr>
            <w:r>
              <w:rPr>
                <w:rFonts w:ascii="Arial" w:cs="Arial" w:eastAsia="Arial" w:hAnsi="Arial"/>
                <w:sz w:val="18"/>
                <w:szCs w:val="18"/>
                <w:color w:val="auto"/>
              </w:rPr>
              <w:t>William J. Wheeler</w:t>
            </w:r>
            <w:r>
              <w:rPr>
                <w:rFonts w:ascii="Arial" w:cs="Arial" w:eastAsia="Arial" w:hAnsi="Arial"/>
                <w:sz w:val="26"/>
                <w:szCs w:val="26"/>
                <w:color w:val="auto"/>
                <w:vertAlign w:val="superscript"/>
              </w:rPr>
              <w:t>(3)</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100" w:type="dxa"/>
            <w:vAlign w:val="bottom"/>
          </w:tcPr>
          <w:p>
            <w:pPr>
              <w:spacing w:after="0"/>
              <w:rPr>
                <w:sz w:val="24"/>
                <w:szCs w:val="24"/>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7715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 w:lineRule="exact"/>
        <w:rPr>
          <w:sz w:val="20"/>
          <w:szCs w:val="20"/>
          <w:color w:val="auto"/>
        </w:rPr>
      </w:pPr>
    </w:p>
    <w:p>
      <w:pPr>
        <w:ind w:left="660" w:hanging="544"/>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13"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660" w:hanging="544"/>
        <w:spacing w:after="0" w:line="23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Lead Independent Director.</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04"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i w:val="1"/>
          <w:iCs w:val="1"/>
          <w:color w:val="auto"/>
        </w:rPr>
        <w:t xml:space="preserve">Peter Colis. </w:t>
      </w:r>
      <w:r>
        <w:rPr>
          <w:rFonts w:ascii="Arial" w:cs="Arial" w:eastAsia="Arial" w:hAnsi="Arial"/>
          <w:sz w:val="18"/>
          <w:szCs w:val="18"/>
          <w:color w:val="auto"/>
        </w:rPr>
        <w:t>Mr. Colis is our co-founder and has served as our Chief Executive Officer and Chair of our board of directors since July</w:t>
      </w:r>
      <w:r>
        <w:rPr>
          <w:rFonts w:ascii="Arial" w:cs="Arial" w:eastAsia="Arial" w:hAnsi="Arial"/>
          <w:sz w:val="18"/>
          <w:szCs w:val="18"/>
          <w:i w:val="1"/>
          <w:iCs w:val="1"/>
          <w:color w:val="auto"/>
        </w:rPr>
        <w:t xml:space="preserve"> </w:t>
      </w:r>
      <w:r>
        <w:rPr>
          <w:rFonts w:ascii="Arial" w:cs="Arial" w:eastAsia="Arial" w:hAnsi="Arial"/>
          <w:sz w:val="18"/>
          <w:szCs w:val="18"/>
          <w:color w:val="auto"/>
        </w:rPr>
        <w:t>2016. Prior to co-founding Ethos, Mr. Colis served as the Chief Executive Officer of Ovid Corp., an insurance auction platform that was acquired in 2019. Mr. Colis holds a Bachelor of Arts in Philosophy from University of Colorado, Boulder and a Master of Business Administration from Stanford Graduate School of Business. Mr. Colis was selected to serve on our board of directors because of his experience as co-founder and Chief Executive Officer of Ethos as well as his extensive experience with advising and leading technology companies.</w:t>
      </w:r>
    </w:p>
    <w:p>
      <w:pPr>
        <w:spacing w:after="0" w:line="179"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i w:val="1"/>
          <w:iCs w:val="1"/>
          <w:color w:val="auto"/>
        </w:rPr>
        <w:t>Lingke Wang</w:t>
      </w:r>
      <w:r>
        <w:rPr>
          <w:rFonts w:ascii="Arial" w:cs="Arial" w:eastAsia="Arial" w:hAnsi="Arial"/>
          <w:sz w:val="18"/>
          <w:szCs w:val="18"/>
          <w:color w:val="auto"/>
        </w:rPr>
        <w:t>. Mr. Wang is our co-founder and has served as a member of our board of directors since July 2016. Mr. Wang has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President since July 2021 and previously served as our Chief Technology Officer from July 2016 to July 2021. Prior to co-founding Ethos, Mr. Wang co-founded and served as the Chief Product and Chief Technology Officer of Ovid Corp., an insurance auction platform that was acquired in 2019, and started his career at Morgan Stanley as an investment banking analyst. Mr. Wang holds a Bachelor of Science in Applied Mathematics, Economics and Mechanical Engineering from Brown University and a Master of Business Administration from Stanford Graduate School of Business. Mr. Wang was selected to serve on our board of directors because of his experience as co-founder and President of Ethos as well as his extensive experience in the insurance technology field and in finance.</w:t>
      </w:r>
    </w:p>
    <w:p>
      <w:pPr>
        <w:spacing w:after="0" w:line="185"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8"/>
          <w:szCs w:val="18"/>
          <w:i w:val="1"/>
          <w:iCs w:val="1"/>
          <w:color w:val="auto"/>
        </w:rPr>
        <w:t>Christopher Capozzi</w:t>
      </w:r>
      <w:r>
        <w:rPr>
          <w:rFonts w:ascii="Arial" w:cs="Arial" w:eastAsia="Arial" w:hAnsi="Arial"/>
          <w:sz w:val="18"/>
          <w:szCs w:val="18"/>
          <w:color w:val="auto"/>
        </w:rPr>
        <w:t>. Mr. Capozzi has served as our Chief Financial Officer since April 2025. Prior to Ethos, Mr. Capozzi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a Partner and Chief Financial Officer at Quiet Capital, an investment management company, from January 2021 to April 2025, where he was responsible for financial oversight, strategic planning and risk management. Previously, Mr. Capozzi served as Advisor</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55" w:right="4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and Former Chief Operating Officer and Chief Financial Officer of Achieve, a leading digital personal finance company, from January 2017 to July 2021, and in various executive roles, including Chief Risk Officer, at General Electric from 1999 to 2016. Mr. Capozzi holds a Bachelor of Science in Business Administration from Boston College and a Master of Business Administration from Columbia Business School.</w:t>
      </w:r>
    </w:p>
    <w:p>
      <w:pPr>
        <w:spacing w:after="0" w:line="17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i w:val="1"/>
          <w:iCs w:val="1"/>
          <w:color w:val="auto"/>
        </w:rPr>
        <w:t>Erin Lantz</w:t>
      </w:r>
      <w:r>
        <w:rPr>
          <w:rFonts w:ascii="Arial" w:cs="Arial" w:eastAsia="Arial" w:hAnsi="Arial"/>
          <w:sz w:val="18"/>
          <w:szCs w:val="18"/>
          <w:color w:val="auto"/>
        </w:rPr>
        <w:t>. Ms. Lantz has served as our Chief Revenue Officer since April 2020. Prior to joining Ethos, Ms. Lantz led the Mortgages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at Zillow Group from July 2010 through October 2019 where she oversaw several functions including product, engineering, sales, marketing, operations and compliance. Earlier, she was a Senior Vice President at Bank of America and an Associate Consultant at the Boston Consulting Group. Ms. Lantz has served on the board of directors of Blend Labs (NYSE: BLND), an origination platform for digital banking, where she chairs the compensation committee and has been a member of the audit committee, since January 2023. She also has served on the board of directors of Meritage Homes Corporation (NYSE: MTH), an energy-efficient residential construction company, where she has been a member of the audit committee, since October 2024. Previously, Ms. Lantz served on the board of directors of TrueCar, Inc. (Nasdaq: TRUE), a digital automotive marketplace, from November 2016 to May 2024, Shelter Acquisition Corp (Nasdaq: SHQA), a special-purpose acquisition company focused on the property technology industry from July 2021 to December 2022 and Washington Federal, Inc. (Nasdaq: WAFD), a bank holding company, from September 2016 to August 2018. Ms. Lantz holds a Bachelor of Arts in Political Science, Philosophy, and Economics from University of Pennsylvania and a Master of Business Administration from Harvard Business School.</w:t>
      </w:r>
    </w:p>
    <w:p>
      <w:pPr>
        <w:spacing w:after="0" w:line="183"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i w:val="1"/>
          <w:iCs w:val="1"/>
          <w:color w:val="auto"/>
        </w:rPr>
        <w:t>Kunal Mehta</w:t>
      </w:r>
      <w:r>
        <w:rPr>
          <w:rFonts w:ascii="Arial" w:cs="Arial" w:eastAsia="Arial" w:hAnsi="Arial"/>
          <w:sz w:val="18"/>
          <w:szCs w:val="18"/>
          <w:color w:val="auto"/>
        </w:rPr>
        <w:t>. Mr. Mehta has served as our Senior Vice President, Finance since April 2025, our Chief Financial Officer from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2023 to April 2025 and our Vice President, Finance and Corporate Strategy from September 2021 to March 2023. Prior to Ethos,</w:t>
      </w:r>
    </w:p>
    <w:p>
      <w:pPr>
        <w:ind w:left="120"/>
        <w:spacing w:after="0" w:line="238" w:lineRule="auto"/>
        <w:rPr>
          <w:sz w:val="20"/>
          <w:szCs w:val="20"/>
          <w:color w:val="auto"/>
        </w:rPr>
      </w:pPr>
      <w:r>
        <w:rPr>
          <w:rFonts w:ascii="Arial" w:cs="Arial" w:eastAsia="Arial" w:hAnsi="Arial"/>
          <w:sz w:val="18"/>
          <w:szCs w:val="18"/>
          <w:color w:val="auto"/>
        </w:rPr>
        <w:t>Mr. Mehta held senior leadership roles at Adobe, a global leader in digital media and marketing solutions, from March 2017 to September 2021, where he most recently led GTM sales strategy for Adobe’s digital media enterprise business, and at DocuSign, a cloud-based platform that simplifies the process of signing, sending, and managing documents electronically, from July 2014 to March 2017, where he scaled corporate strategy, M&amp;A and business operations functions. His career began at Intuit, Deutsche Bank and PwC. Mr. Mehta holds a Bachelor of Science in Computer Science from University of California, Los Angeles and a Master of Business Administration from Tuck School of Business of Dartmouth College.</w:t>
      </w:r>
    </w:p>
    <w:p>
      <w:pPr>
        <w:spacing w:after="0" w:line="181"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i w:val="1"/>
          <w:iCs w:val="1"/>
          <w:color w:val="auto"/>
        </w:rPr>
        <w:t>Vipul Sharma</w:t>
      </w:r>
      <w:r>
        <w:rPr>
          <w:rFonts w:ascii="Arial" w:cs="Arial" w:eastAsia="Arial" w:hAnsi="Arial"/>
          <w:sz w:val="18"/>
          <w:szCs w:val="18"/>
          <w:color w:val="auto"/>
        </w:rPr>
        <w:t>. Mr. Sharma has served as our Chief Technology Officer since July 2021 and previously served as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from January 2019 to June 2021. Prior to Ethos, Mr. Sharma held engineering leadership positions at Indeed.com, an internet job search and recruiting platform, and Eventbrite, an online ticketing platform, and founded Simppler, an employee referral platform that was later acquired. Mr. Sharma holds a Bachelor’s in Computer Science from College of Engineering Roorkee and a Master of Science in Computer Science from University of Houston.</w:t>
      </w:r>
    </w:p>
    <w:p>
      <w:pPr>
        <w:spacing w:after="0" w:line="176"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color w:val="auto"/>
        </w:rPr>
        <w:t>Each executive officer serves at the discretion of our board of directors and holds office until his or her successor is duly appointed and qualified or until his or her earlier resignation or removal.</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104"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i w:val="1"/>
          <w:iCs w:val="1"/>
          <w:color w:val="auto"/>
        </w:rPr>
        <w:t xml:space="preserve">Roelof Botha. </w:t>
      </w:r>
      <w:r>
        <w:rPr>
          <w:rFonts w:ascii="Arial" w:cs="Arial" w:eastAsia="Arial" w:hAnsi="Arial"/>
          <w:sz w:val="18"/>
          <w:szCs w:val="18"/>
          <w:color w:val="auto"/>
        </w:rPr>
        <w:t>Mr. Botha has served on our board of directors since October 2018. Mr. Botha is a Partner at Sequoia Capital, a</w:t>
      </w:r>
      <w:r>
        <w:rPr>
          <w:rFonts w:ascii="Arial" w:cs="Arial" w:eastAsia="Arial" w:hAnsi="Arial"/>
          <w:sz w:val="18"/>
          <w:szCs w:val="18"/>
          <w:i w:val="1"/>
          <w:iCs w:val="1"/>
          <w:color w:val="auto"/>
        </w:rPr>
        <w:t xml:space="preserve"> </w:t>
      </w:r>
      <w:r>
        <w:rPr>
          <w:rFonts w:ascii="Arial" w:cs="Arial" w:eastAsia="Arial" w:hAnsi="Arial"/>
          <w:sz w:val="18"/>
          <w:szCs w:val="18"/>
          <w:color w:val="auto"/>
        </w:rPr>
        <w:t>venture capital firm, and has been with Sequoia Capital since 2003. Mr. Botha has spent over 25 years building companies in Silicon Valley. From 2000 to 2003, Mr. Botha served in various positions at PayPal, Inc. (Nasdaq: PYPL), an online payments company, including as the chief financial officer. Mr. Botha has served on the board of directors of MongoDB (Nasdaq: MDB) since December 2013, where he serves on the audit committee, Block, Inc. (NYSE: XYZ) (formerly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Square, Inc.), a technology company and financial services provider since January 2011, where he serves as the lead independent director and a member of the audit and risk committee and compensation committee, Natera Inc. (Nasdaq: NTRA), a public genetic testing company, since June 2007, where he serves as the lead independent director and a member of the nominating, corporate governance and compliance committee, and Unity Software (NYSE: U), a public video game software development company, since 2009, where he serves on the audit committee, and a number of privately held companies. Mr. Botha previously served on the boards of directors of 23andMe, Inc. (Nasdaq: ME), a personal genetics company, from September 2017 to September 2024, Bird Global, Inc. (NYSE: BRDS), an electric vehicle ridesharing company, from June 2018 to December 2022, and Eventbrite, Inc. (NYSE: EB), a global platform for live experiences, from October 2009 to June 2022. Mr. Botha received his Bachelor of Science in Actuarial Science, Economics, and Statistics from University of Cape Town and a Master of Business Administration from Stanford Graduate School of Business. Mr. Botha was selected to serve on our board of directors because of his experience serving on the boards of public companies as well as his expertise with venture capital and technology companies.</w:t>
      </w:r>
    </w:p>
    <w:p>
      <w:pPr>
        <w:spacing w:after="0" w:line="18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i w:val="1"/>
          <w:iCs w:val="1"/>
          <w:color w:val="auto"/>
        </w:rPr>
        <w:t>Priscilla Hung</w:t>
      </w:r>
      <w:r>
        <w:rPr>
          <w:rFonts w:ascii="Arial" w:cs="Arial" w:eastAsia="Arial" w:hAnsi="Arial"/>
          <w:sz w:val="18"/>
          <w:szCs w:val="18"/>
          <w:color w:val="auto"/>
        </w:rPr>
        <w:t>. Ms. Hung has served as a member of our board of directors since April 2021. Ms. Hung previously served as a</w:t>
      </w:r>
      <w:r>
        <w:rPr>
          <w:rFonts w:ascii="Arial" w:cs="Arial" w:eastAsia="Arial" w:hAnsi="Arial"/>
          <w:sz w:val="18"/>
          <w:szCs w:val="18"/>
          <w:i w:val="1"/>
          <w:iCs w:val="1"/>
          <w:color w:val="auto"/>
        </w:rPr>
        <w:t xml:space="preserve"> </w:t>
      </w:r>
      <w:r>
        <w:rPr>
          <w:rFonts w:ascii="Arial" w:cs="Arial" w:eastAsia="Arial" w:hAnsi="Arial"/>
          <w:sz w:val="18"/>
          <w:szCs w:val="18"/>
          <w:color w:val="auto"/>
        </w:rPr>
        <w:t>Senior Advisor at Guidewire Software, Inc., a provider of cloud-based software for the property and casualty insurance industry from January 2024 to June 2025. Prior to becoming a Senior Advisor, Ms. Hung held multiple executive roles at Guidewire since 2005, including president and chief operating officer, chief administrative officer, senior vice president of corporate development, vice president of operations, and vice president of corporate development. Prior to joining Guidewire, Ms. Hung held multiple management positions at SAP Ariba, a software and information technology services company, Sun Microsystems, Inc., a manufacturer of computer workstations, servers, and software, and Oracle Corporation, a database and enterprise management company. Ms. Hung has served on the board of Xerox Holdings Corporation (Nasdaq: XRX), a global leader in office systems and production print technology, since May 2024, where she serves on the corporate governance committee and finance committee, Veeva Systems Inc. (NYSE: VEEV), a provider of cloud-based software for the global life sciences industry, since January 2022, where she serves on the audit committee, and Waystar Holding Corp. (Nasdaq: WAY), a leading enterprise healthcare payments company, since February 2024, where she serves on the audit, compliance, and risk committee and talent and compensation committee. Ms. Hung previously served on the board of Vonage Holdings Corp., a cloud communications provider, from 2019 until 2022, when it was acquired by Telefonaktiebolaget LM Ericsson. Ms. Hung holds a Bachelor of Arts degree in Computer Science from Mills College and a Master of Engineering in Operation Research &amp; Industrial Engineering from Cornell University. Ms. Hung was selected to serve on our board of directors because of her experience serving on the boards of financial technology companies as well as her corporate management experience.</w:t>
      </w:r>
    </w:p>
    <w:p>
      <w:pPr>
        <w:spacing w:after="0" w:line="186"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i w:val="1"/>
          <w:iCs w:val="1"/>
          <w:color w:val="auto"/>
        </w:rPr>
        <w:t>John Kunze</w:t>
      </w:r>
      <w:r>
        <w:rPr>
          <w:rFonts w:ascii="Arial" w:cs="Arial" w:eastAsia="Arial" w:hAnsi="Arial"/>
          <w:sz w:val="18"/>
          <w:szCs w:val="18"/>
          <w:color w:val="auto"/>
        </w:rPr>
        <w:t>. Mr. Kunze has served as a member of our board of directors since July 2019. Previously, Mr. Kunze served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roles at PayPal, Inc. (Nasdaq: PYPL), an online payments company from 2015 to 2023, including most recently as its Senior Vice President, Global Consumer Product and Technology from June 2019 to April 2023. Mr. Kunze served as the Chief Executive Officer of Xoom Corporation, a global online payments service, until its acquisition by PayPal in 2015. Mr. Kunze holds a Bachelor of Arts degree in Economics from Franklin &amp; Marshall College. Mr. Kunze was selected to serve on our board of directors because of his extensive management experience with financial technology companies.</w:t>
      </w:r>
    </w:p>
    <w:p>
      <w:pPr>
        <w:spacing w:after="0" w:line="179" w:lineRule="exact"/>
        <w:rPr>
          <w:sz w:val="20"/>
          <w:szCs w:val="20"/>
          <w:color w:val="auto"/>
        </w:rPr>
      </w:pPr>
    </w:p>
    <w:p>
      <w:pPr>
        <w:ind w:left="120" w:right="40" w:firstLine="551"/>
        <w:spacing w:after="0" w:line="275" w:lineRule="auto"/>
        <w:rPr>
          <w:sz w:val="20"/>
          <w:szCs w:val="20"/>
          <w:color w:val="auto"/>
        </w:rPr>
      </w:pPr>
      <w:r>
        <w:rPr>
          <w:rFonts w:ascii="Arial" w:cs="Arial" w:eastAsia="Arial" w:hAnsi="Arial"/>
          <w:sz w:val="17"/>
          <w:szCs w:val="17"/>
          <w:i w:val="1"/>
          <w:iCs w:val="1"/>
          <w:color w:val="auto"/>
        </w:rPr>
        <w:t>Nathan J. Niparko</w:t>
      </w:r>
      <w:r>
        <w:rPr>
          <w:rFonts w:ascii="Arial" w:cs="Arial" w:eastAsia="Arial" w:hAnsi="Arial"/>
          <w:sz w:val="17"/>
          <w:szCs w:val="17"/>
          <w:color w:val="auto"/>
        </w:rPr>
        <w:t>. Mr. Niparko has served as a member of our board of directors since October 2018. Since 2011, Mr. Niparko has</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a partner at Accel, a venture capital firm. He also serves on the boards of directors of various private companies. Mr. Niparko holds Bachelor’s Degrees in Economics and Engineering from Dartmouth College, and a Master of Business Administration from Stanford</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auto"/>
        </w:rPr>
        <w:t>University Graduate School of Business. Mr. Niparko was selected to serve on our board of directors because of his experience advising financial technology, cloud, and software services companies.</w:t>
      </w:r>
    </w:p>
    <w:p>
      <w:pPr>
        <w:spacing w:after="0" w:line="154"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i w:val="1"/>
          <w:iCs w:val="1"/>
          <w:color w:val="auto"/>
        </w:rPr>
        <w:t>Khozema Shipchandler</w:t>
      </w:r>
      <w:r>
        <w:rPr>
          <w:rFonts w:ascii="Arial" w:cs="Arial" w:eastAsia="Arial" w:hAnsi="Arial"/>
          <w:sz w:val="18"/>
          <w:szCs w:val="18"/>
          <w:color w:val="auto"/>
        </w:rPr>
        <w:t>. Mr. Shipchandler has served as a member of our board of directors since July 2021. Mr. Shipchandler has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Chief Executive Officer of Twilio, Inc. (NYSE: TWLO), a leading cloud communications company, since January 2024. Prior to that, Mr. Shipchandler served as Twilio’s President from March 2023 to January 2024, as Chief Operating Officer from 2021 to 2023, and as Chief Financial Officer from 2018 to 2021. From 2015 to 2018, Mr. Shipchandler served as Chief Financial Officer and Executive Vice President of Corporate Development at GE Digital, an operational technology and infrastructure software company that is a division of General Electric, a multinational conglomerate. From 1996 to 2015, Mr. Shipchandler served in various executive roles at General Electric, including as Chief Financial Officer, Middle East, North Africa and Turkey from 2011 to 2013. Mr. Shipchandler previously served on the board of directors of Smartsheet Inc., an enterprise software company, from June 2023 to January 2025. Mr. Shipchandler holds a Bachelor of Arts degree in Biology and English from Indiana University Bloomington. Mr. Shipchandler was selected to serve on our board of directors because of his management experience at multiple global technology companies.</w:t>
      </w:r>
    </w:p>
    <w:p>
      <w:pPr>
        <w:spacing w:after="0" w:line="18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i w:val="1"/>
          <w:iCs w:val="1"/>
          <w:color w:val="auto"/>
        </w:rPr>
        <w:t xml:space="preserve">William J. Wheeler. </w:t>
      </w:r>
      <w:r>
        <w:rPr>
          <w:rFonts w:ascii="Arial" w:cs="Arial" w:eastAsia="Arial" w:hAnsi="Arial"/>
          <w:sz w:val="18"/>
          <w:szCs w:val="18"/>
          <w:color w:val="auto"/>
        </w:rPr>
        <w:t>Mr. Wheeler has served on our board of directors since July 2025. Mr. Wheeler has served on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of Evercore Inc. (NYSE: EVR), a premier global independent investment banking advisory firm, since February 2015, where he serves as chair of the audit committee and as a member of the compensation committee. Mr. Wheeler previously served as the Vice Chairman of Athene Holding Ltd. (NYSE: ATH-PA), a leading retirement services company and a subsidiary of Apollo Global Management, Inc., from April 2022 to February 2025 and as President from September 2015 to March 2022. Prior to joining Athene, Mr. Wheeler was President of the Americas group for MetLife Inc. (NYSE: MET) from September 2011 to August 2015, where he oversaw the insurance and retirement business in the United States and Latin America. Previously, Mr. Wheeler had been Executive Vice President and Chief Financial Officer at MetLife. Prior to joining MetLife, Mr. Wheeler was an investment banker at Donaldson, Lufkin &amp; Jenrette. Mr. Wheeler holds a Bachelor of Arts degree from Wabash College, where he is the Chairman of its board of trustees, and a Master of Business Administration from Harvard Business School. Mr. Wheeler was selected to serve on our board of directors because of his deep expertise across insurance, retirement services and investment banking.</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04"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Our business and affairs are managed under the direction of our board of directors. Pursuant to our certificate of incorporation and our amended and restated voting agreement in effect prior to the closing of this offering, our directors were elected as follows:</w:t>
      </w:r>
    </w:p>
    <w:p>
      <w:pPr>
        <w:spacing w:after="0" w:line="59" w:lineRule="exact"/>
        <w:rPr>
          <w:sz w:val="20"/>
          <w:szCs w:val="20"/>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Mr. Botha was elected as the designee nominated by holders of our Series A redeemable convertible preferred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Mr. Niparko was elected as the designee nominated by holders of our Series B convertible redeemable preferred stock; and</w:t>
      </w:r>
    </w:p>
    <w:p>
      <w:pPr>
        <w:spacing w:after="0" w:line="117" w:lineRule="exact"/>
        <w:rPr>
          <w:rFonts w:ascii="Arial" w:cs="Arial" w:eastAsia="Arial" w:hAnsi="Arial"/>
          <w:sz w:val="18"/>
          <w:szCs w:val="18"/>
          <w:color w:val="auto"/>
        </w:rPr>
      </w:pPr>
    </w:p>
    <w:p>
      <w:pPr>
        <w:ind w:left="880" w:right="220" w:hanging="224"/>
        <w:spacing w:after="0" w:line="271"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Messrs. Colis, Wang, Kunze, Shipchandler and Wheeler and Ms. Hung were elected as the independent designees nominated by holders of our common stock.</w:t>
      </w:r>
    </w:p>
    <w:p>
      <w:pPr>
        <w:spacing w:after="0" w:line="154" w:lineRule="exact"/>
        <w:rPr>
          <w:sz w:val="20"/>
          <w:szCs w:val="20"/>
          <w:color w:val="auto"/>
        </w:rPr>
      </w:pPr>
    </w:p>
    <w:p>
      <w:pPr>
        <w:ind w:left="120" w:right="680" w:firstLine="551"/>
        <w:spacing w:after="0" w:line="271" w:lineRule="auto"/>
        <w:rPr>
          <w:sz w:val="20"/>
          <w:szCs w:val="20"/>
          <w:color w:val="auto"/>
        </w:rPr>
      </w:pPr>
      <w:r>
        <w:rPr>
          <w:rFonts w:ascii="Arial" w:cs="Arial" w:eastAsia="Arial" w:hAnsi="Arial"/>
          <w:sz w:val="18"/>
          <w:szCs w:val="18"/>
          <w:color w:val="auto"/>
        </w:rPr>
        <w:t>Immediately prior to the closing of this offering, our amended and restated voting agreement will terminate, our certificate of incorporation, along with our bylaws, will be amended and restated, and</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5" w:right="4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none of our stockholders will have any special rights regarding the election or designation of members of our board of directors. After the closing of this offering,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74"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In accordance with our amended and restated certificate of incorporation that will be in effect immediately prior to the closing of this offering, immediately after the closing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82" w:lineRule="exact"/>
        <w:rPr>
          <w:sz w:val="20"/>
          <w:szCs w:val="20"/>
          <w:color w:val="auto"/>
        </w:rPr>
      </w:pPr>
    </w:p>
    <w:p>
      <w:pPr>
        <w:ind w:left="880" w:right="180" w:hanging="224"/>
        <w:spacing w:after="0" w:line="271"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Class I directors will be Peter Colis and Priscilla Hung and their terms will expire at our first annual meeting of stockholders following this offering;</w:t>
      </w:r>
    </w:p>
    <w:p>
      <w:pPr>
        <w:spacing w:after="0" w:line="59" w:lineRule="exact"/>
        <w:rPr>
          <w:rFonts w:ascii="Arial" w:cs="Arial" w:eastAsia="Arial" w:hAnsi="Arial"/>
          <w:sz w:val="18"/>
          <w:szCs w:val="18"/>
          <w:color w:val="auto"/>
        </w:rPr>
      </w:pPr>
    </w:p>
    <w:p>
      <w:pPr>
        <w:ind w:left="880" w:right="240" w:hanging="224"/>
        <w:spacing w:after="0" w:line="271"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Class II directors will be Lingke Wang, Nathan J. Niparko, and William J. Wheeler and their terms will expire at our second annual meeting of stockholders following this offering; and</w:t>
      </w:r>
    </w:p>
    <w:p>
      <w:pPr>
        <w:spacing w:after="0" w:line="59" w:lineRule="exact"/>
        <w:rPr>
          <w:rFonts w:ascii="Arial" w:cs="Arial" w:eastAsia="Arial" w:hAnsi="Arial"/>
          <w:sz w:val="18"/>
          <w:szCs w:val="18"/>
          <w:color w:val="auto"/>
        </w:rPr>
      </w:pPr>
    </w:p>
    <w:p>
      <w:pPr>
        <w:ind w:left="880" w:right="540" w:hanging="224"/>
        <w:spacing w:after="0" w:line="271"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Class III directors will be Roelof Botha, John Kunze, and Khozema Shipchandler and their terms will expire at our third annual meeting of stockholders following this offering.</w:t>
      </w:r>
    </w:p>
    <w:p>
      <w:pPr>
        <w:spacing w:after="0" w:line="154"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04"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Roelof Botha, Priscilla Hung, John Kunze, Nathan J. Niparko, Khozema Shipchandler, and William J. Wheeler do not have relationships that would interfere with the exercise of independent judgment in carrying out the responsibilities of a director and that each of these directors is “independent” as that term is defined under Nasdaq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 addition, our board of directors considered the beneficial ownership of our shares held by each non-employee director and the transactions described in the section titled “Certain Relationships and Related Party Transactions.”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Lead Independent Director</w:t>
      </w:r>
    </w:p>
    <w:p>
      <w:pPr>
        <w:spacing w:after="0" w:line="104" w:lineRule="exact"/>
        <w:rPr>
          <w:sz w:val="20"/>
          <w:szCs w:val="20"/>
          <w:color w:val="auto"/>
        </w:rPr>
      </w:pPr>
    </w:p>
    <w:p>
      <w:pPr>
        <w:ind w:left="120" w:right="180" w:firstLine="551"/>
        <w:spacing w:after="0" w:line="266" w:lineRule="auto"/>
        <w:rPr>
          <w:sz w:val="20"/>
          <w:szCs w:val="20"/>
          <w:color w:val="auto"/>
        </w:rPr>
      </w:pPr>
      <w:r>
        <w:rPr>
          <w:rFonts w:ascii="Arial" w:cs="Arial" w:eastAsia="Arial" w:hAnsi="Arial"/>
          <w:sz w:val="17"/>
          <w:szCs w:val="17"/>
          <w:color w:val="auto"/>
        </w:rPr>
        <w:t>Upon the closing of this offering, our corporate governance guidelines will provide that one of our independent directors will serve as our Lead Independent Director. Our board of directors has appointed Roelof Botha to serve as our Lead Independent Director. The Lead Independent Director will be responsible for presiding over each executive session of non-management directors in which those directors meet without management participation and perform other duties as our board of directors may determine from time to time.</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04" w:lineRule="exact"/>
        <w:rPr>
          <w:sz w:val="20"/>
          <w:szCs w:val="20"/>
          <w:color w:val="auto"/>
        </w:rPr>
      </w:pPr>
    </w:p>
    <w:p>
      <w:pPr>
        <w:ind w:left="120" w:right="380" w:firstLine="551"/>
        <w:spacing w:after="0" w:line="271" w:lineRule="auto"/>
        <w:rPr>
          <w:sz w:val="20"/>
          <w:szCs w:val="20"/>
          <w:color w:val="auto"/>
        </w:rPr>
      </w:pPr>
      <w:r>
        <w:rPr>
          <w:rFonts w:ascii="Arial" w:cs="Arial" w:eastAsia="Arial" w:hAnsi="Arial"/>
          <w:sz w:val="18"/>
          <w:szCs w:val="18"/>
          <w:color w:val="auto"/>
        </w:rPr>
        <w:t>Our board of directors has established an audit committee and a compensation committee, and will establish a nominating and corporate governance committee before the closing of this offering. The</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00"/>
          </w:cols>
          <w:pgMar w:left="320" w:top="455" w:right="4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560"/>
        <w:spacing w:after="0" w:line="253" w:lineRule="auto"/>
        <w:rPr>
          <w:sz w:val="20"/>
          <w:szCs w:val="20"/>
          <w:color w:val="auto"/>
        </w:rPr>
      </w:pPr>
      <w:r>
        <w:rPr>
          <w:rFonts w:ascii="Arial" w:cs="Arial" w:eastAsia="Arial" w:hAnsi="Arial"/>
          <w:sz w:val="18"/>
          <w:szCs w:val="18"/>
          <w:color w:val="auto"/>
        </w:rPr>
        <w:t>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Our audit committee consists of Khozema Shipchandler, Roelof Botha and John Kunze. The chairperson of our audit committee is Mr. Shipchandler. Our board of directors has determined that each member of our audit committee satisfies the independence requirements under the listing standards of Nasdaq and Rule 10A-3(b)(1) under the Exchange Act. Our board of directors has determined that Mr. Shipchandler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w:t>
      </w:r>
    </w:p>
    <w:p>
      <w:pPr>
        <w:spacing w:after="0" w:line="185" w:lineRule="exact"/>
        <w:rPr>
          <w:sz w:val="20"/>
          <w:szCs w:val="20"/>
          <w:color w:val="auto"/>
        </w:rPr>
      </w:pPr>
    </w:p>
    <w:p>
      <w:pPr>
        <w:ind w:left="120" w:right="420" w:firstLine="551"/>
        <w:spacing w:after="0" w:line="253" w:lineRule="auto"/>
        <w:rPr>
          <w:sz w:val="20"/>
          <w:szCs w:val="20"/>
          <w:color w:val="auto"/>
        </w:rPr>
      </w:pPr>
      <w:r>
        <w:rPr>
          <w:rFonts w:ascii="Arial" w:cs="Arial" w:eastAsia="Arial" w:hAnsi="Arial"/>
          <w:sz w:val="18"/>
          <w:szCs w:val="18"/>
          <w:color w:val="auto"/>
        </w:rPr>
        <w:t>The primary purpose of our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74" w:lineRule="exact"/>
        <w:rPr>
          <w:sz w:val="20"/>
          <w:szCs w:val="20"/>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17" w:lineRule="exact"/>
        <w:rPr>
          <w:rFonts w:ascii="Arial" w:cs="Arial" w:eastAsia="Arial" w:hAnsi="Arial"/>
          <w:sz w:val="18"/>
          <w:szCs w:val="18"/>
          <w:color w:val="auto"/>
        </w:rPr>
      </w:pPr>
    </w:p>
    <w:p>
      <w:pPr>
        <w:ind w:left="880" w:hanging="224"/>
        <w:spacing w:after="0" w:line="253"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managing the selection, engagement, compensation, qualifications, independence, and performance of a qualified firm to serve as the independent registered public accounting firm to audit our financial statements and the effectiveness of our internal control over financial reporting, when required;</w:t>
      </w:r>
    </w:p>
    <w:p>
      <w:pPr>
        <w:spacing w:after="0" w:line="74" w:lineRule="exact"/>
        <w:rPr>
          <w:rFonts w:ascii="Arial" w:cs="Arial" w:eastAsia="Arial" w:hAnsi="Arial"/>
          <w:sz w:val="18"/>
          <w:szCs w:val="18"/>
          <w:color w:val="auto"/>
        </w:rPr>
      </w:pPr>
    </w:p>
    <w:p>
      <w:pPr>
        <w:ind w:left="880" w:right="720" w:hanging="224"/>
        <w:spacing w:after="0" w:line="271"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results of operations;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and approving any material related party transactions;</w:t>
      </w:r>
    </w:p>
    <w:p>
      <w:pPr>
        <w:spacing w:after="0" w:line="117" w:lineRule="exact"/>
        <w:rPr>
          <w:rFonts w:ascii="Arial" w:cs="Arial" w:eastAsia="Arial" w:hAnsi="Arial"/>
          <w:sz w:val="18"/>
          <w:szCs w:val="18"/>
          <w:color w:val="auto"/>
        </w:rPr>
      </w:pPr>
    </w:p>
    <w:p>
      <w:pPr>
        <w:ind w:left="880" w:right="20" w:hanging="224"/>
        <w:spacing w:after="0" w:line="271"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guidelines and policies on risk assessment and risk management, including financial risk, cybersecurity risk, and any other identified operational risks;</w:t>
      </w:r>
    </w:p>
    <w:p>
      <w:pPr>
        <w:spacing w:after="0" w:line="59" w:lineRule="exact"/>
        <w:rPr>
          <w:rFonts w:ascii="Arial" w:cs="Arial" w:eastAsia="Arial" w:hAnsi="Arial"/>
          <w:sz w:val="18"/>
          <w:szCs w:val="18"/>
          <w:color w:val="auto"/>
        </w:rPr>
      </w:pPr>
    </w:p>
    <w:p>
      <w:pPr>
        <w:ind w:left="880" w:right="120" w:hanging="224"/>
        <w:spacing w:after="0" w:line="271"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approving or, as permitted, pre-approving, audit, review, and attest services and permissible non-audit services to be performed by the independent registered public accounting firm and the related fees; and</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audit committee operates under a written charter that satisfies the applicable listing standards of Nasdaq.</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2" w:lineRule="exact"/>
        <w:rPr>
          <w:sz w:val="20"/>
          <w:szCs w:val="20"/>
          <w:color w:val="auto"/>
        </w:rPr>
      </w:pPr>
    </w:p>
    <w:p>
      <w:pPr>
        <w:ind w:left="120" w:right="260" w:firstLine="551"/>
        <w:spacing w:after="0" w:line="253" w:lineRule="auto"/>
        <w:rPr>
          <w:sz w:val="20"/>
          <w:szCs w:val="20"/>
          <w:color w:val="auto"/>
        </w:rPr>
      </w:pPr>
      <w:r>
        <w:rPr>
          <w:rFonts w:ascii="Arial" w:cs="Arial" w:eastAsia="Arial" w:hAnsi="Arial"/>
          <w:sz w:val="18"/>
          <w:szCs w:val="18"/>
          <w:color w:val="auto"/>
        </w:rPr>
        <w:t>Our compensation committee consists of John Kunze and Priscilla Hung. The chairperson of our compensation committee is Mr. Kunze. Our board of directors has determined that each member of our compensation committee is independent under the listing standards of Nasdaq, and a “non-employee director” as defined in Rule 16b-3 under the Exchange Act.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in overseeing our compensation policies, plans, and programs, and to review and determine or recommend to our board of directors for approval, as applicable, the compensation to be paid to our executive officers, directors, and other senior management, as appropriate. Specific responsibilities of our compensation committee include:</w:t>
      </w:r>
    </w:p>
    <w:p>
      <w:pPr>
        <w:spacing w:after="0" w:line="79" w:lineRule="exact"/>
        <w:rPr>
          <w:sz w:val="20"/>
          <w:szCs w:val="20"/>
          <w:color w:val="auto"/>
        </w:rPr>
      </w:pPr>
    </w:p>
    <w:p>
      <w:pPr>
        <w:ind w:left="880" w:hanging="224"/>
        <w:spacing w:after="0" w:line="253"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recommending to the independent members of our board of directors the compensation of our chief executive officer and approving the compensation of other senior executives that may be designated by our board of directors for review by our compensation committee;</w:t>
      </w:r>
    </w:p>
    <w:p>
      <w:pPr>
        <w:spacing w:after="0" w:line="74" w:lineRule="exact"/>
        <w:rPr>
          <w:rFonts w:ascii="Arial" w:cs="Arial" w:eastAsia="Arial" w:hAnsi="Arial"/>
          <w:sz w:val="18"/>
          <w:szCs w:val="18"/>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consultation with our chief executive officer, reviewing and approving the compensation of our other executive officers;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non-employee directors;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117" w:lineRule="exact"/>
        <w:rPr>
          <w:rFonts w:ascii="Arial" w:cs="Arial" w:eastAsia="Arial" w:hAnsi="Arial"/>
          <w:sz w:val="18"/>
          <w:szCs w:val="18"/>
          <w:color w:val="auto"/>
        </w:rPr>
      </w:pPr>
    </w:p>
    <w:p>
      <w:pPr>
        <w:ind w:left="880" w:right="260" w:hanging="224"/>
        <w:spacing w:after="0" w:line="253"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interpreting, adopting, amending, and terminating our incentive compensation and equity plans, severance agreements, bonus plans, change of control protections, and any other compensatory arrangements for our executive officers and other senior management; and</w:t>
      </w:r>
    </w:p>
    <w:p>
      <w:pPr>
        <w:spacing w:after="0" w:line="74" w:lineRule="exact"/>
        <w:rPr>
          <w:rFonts w:ascii="Arial" w:cs="Arial" w:eastAsia="Arial" w:hAnsi="Arial"/>
          <w:sz w:val="18"/>
          <w:szCs w:val="18"/>
          <w:color w:val="auto"/>
        </w:rPr>
      </w:pPr>
    </w:p>
    <w:p>
      <w:pPr>
        <w:ind w:left="880" w:right="80" w:hanging="224"/>
        <w:spacing w:after="0" w:line="271"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establishing general policies and programs relating to compensation and benefits of our employees, including our overall compensation philosophy.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committee operates under a written charter that satisfies the applicable listing standards of Nasdaq.</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2"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Our nominating and corporate governance committee consists of William J. Wheeler and Nathan J. Niparko. The chairperson of our nominating and corporate governance committee is Mr. Wheeler. Our board of directors has determined that each member of our nominating and corporate governance committee is independent under the listing standards of Nasdaq.</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17" w:lineRule="exact"/>
        <w:rPr>
          <w:sz w:val="20"/>
          <w:szCs w:val="20"/>
          <w:color w:val="auto"/>
        </w:rPr>
      </w:pPr>
    </w:p>
    <w:p>
      <w:pPr>
        <w:ind w:left="880" w:right="1160" w:hanging="224"/>
        <w:spacing w:after="0" w:line="271"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59" w:lineRule="exact"/>
        <w:rPr>
          <w:rFonts w:ascii="Arial" w:cs="Arial" w:eastAsia="Arial" w:hAnsi="Arial"/>
          <w:sz w:val="18"/>
          <w:szCs w:val="18"/>
          <w:color w:val="auto"/>
        </w:rPr>
      </w:pPr>
    </w:p>
    <w:p>
      <w:pPr>
        <w:ind w:left="880" w:right="860" w:hanging="224"/>
        <w:spacing w:after="0" w:line="271"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chairpersons of the committees of our board of directors;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12" w:lineRule="exact"/>
        <w:rPr>
          <w:sz w:val="20"/>
          <w:szCs w:val="20"/>
          <w:color w:val="auto"/>
        </w:rPr>
      </w:pPr>
    </w:p>
    <w:p>
      <w:pPr>
        <w:jc w:val="both"/>
        <w:ind w:left="120" w:right="40" w:firstLine="551"/>
        <w:spacing w:after="0" w:line="271" w:lineRule="auto"/>
        <w:rPr>
          <w:sz w:val="20"/>
          <w:szCs w:val="20"/>
          <w:color w:val="auto"/>
        </w:rPr>
      </w:pPr>
      <w:r>
        <w:rPr>
          <w:rFonts w:ascii="Arial" w:cs="Arial" w:eastAsia="Arial" w:hAnsi="Arial"/>
          <w:sz w:val="18"/>
          <w:szCs w:val="18"/>
          <w:color w:val="auto"/>
        </w:rPr>
        <w:t>Our nominating and corporate governance committee operates under a written charter that satisfies the applicable listing standards of Nasdaq.</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Conduct</w:t>
      </w:r>
    </w:p>
    <w:p>
      <w:pPr>
        <w:spacing w:after="0" w:line="104" w:lineRule="exact"/>
        <w:rPr>
          <w:sz w:val="20"/>
          <w:szCs w:val="20"/>
          <w:color w:val="auto"/>
        </w:rPr>
      </w:pPr>
    </w:p>
    <w:p>
      <w:pPr>
        <w:jc w:val="both"/>
        <w:ind w:left="120" w:right="40" w:firstLine="551"/>
        <w:spacing w:after="0" w:line="253" w:lineRule="auto"/>
        <w:rPr>
          <w:sz w:val="20"/>
          <w:szCs w:val="20"/>
          <w:color w:val="auto"/>
        </w:rPr>
      </w:pPr>
      <w:r>
        <w:rPr>
          <w:rFonts w:ascii="Arial" w:cs="Arial" w:eastAsia="Arial" w:hAnsi="Arial"/>
          <w:sz w:val="18"/>
          <w:szCs w:val="18"/>
          <w:color w:val="auto"/>
        </w:rPr>
        <w:t>We have adopted a code of conduct that applies to our directors, officers, and employees, including our principal executive officer, principal financial officer, principal accounting officer, or controller, or persons performing similar functions. Immediately prior to the closing of this offering, our</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80"/>
        <w:spacing w:after="0" w:line="247" w:lineRule="auto"/>
        <w:rPr>
          <w:sz w:val="20"/>
          <w:szCs w:val="20"/>
          <w:color w:val="auto"/>
        </w:rPr>
      </w:pPr>
      <w:r>
        <w:rPr>
          <w:rFonts w:ascii="Arial" w:cs="Arial" w:eastAsia="Arial" w:hAnsi="Arial"/>
          <w:sz w:val="18"/>
          <w:szCs w:val="18"/>
          <w:color w:val="auto"/>
        </w:rPr>
        <w:t>code of conduct will be available under the corporate governance section of our website at www.ethos.com. In addition, we intend to post on our website all disclosures that are required by law or the listing standards of Nasdaq concerning any amendments to, or waivers from, any provision of our code of conduct. Information contained on, or accessible through, our website is not a part of this prospectus, and the inclusion of our website address in this prospectus is only as an inactive textual reference.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4" w:lineRule="exact"/>
        <w:rPr>
          <w:sz w:val="20"/>
          <w:szCs w:val="20"/>
          <w:color w:val="auto"/>
        </w:rPr>
      </w:pPr>
    </w:p>
    <w:p>
      <w:pPr>
        <w:ind w:left="120" w:right="20" w:firstLine="551"/>
        <w:spacing w:after="0" w:line="275" w:lineRule="auto"/>
        <w:rPr>
          <w:sz w:val="20"/>
          <w:szCs w:val="20"/>
          <w:color w:val="auto"/>
        </w:rPr>
      </w:pPr>
      <w:r>
        <w:rPr>
          <w:rFonts w:ascii="Arial" w:cs="Arial" w:eastAsia="Arial" w:hAnsi="Arial"/>
          <w:sz w:val="17"/>
          <w:szCs w:val="17"/>
          <w:color w:val="auto"/>
        </w:rPr>
        <w:t>None of the members of our compensation committee are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104"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During the year ended December 31, 2024, we did not pay any compensation to our non-employee directors for their service on our board of directors. We have reimbursed and will continue to reimburse all of our non-employee directors for their reasonable out-of-pocket expenses incurred in attending board of directors and committee meetings.</w:t>
      </w:r>
    </w:p>
    <w:p>
      <w:pPr>
        <w:spacing w:after="0" w:line="169"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Messrs. Colis and Wang also served on our board of directors during the year ended December 31, 2024, but did not receive any additional compensation for their service as directors. See the section titled “Executive Compensation” for additional information regarding the compensation earned by Mr. Colis.</w:t>
      </w:r>
    </w:p>
    <w:p>
      <w:pPr>
        <w:spacing w:after="0" w:line="169" w:lineRule="exact"/>
        <w:rPr>
          <w:sz w:val="20"/>
          <w:szCs w:val="20"/>
          <w:color w:val="auto"/>
        </w:rPr>
      </w:pPr>
    </w:p>
    <w:p>
      <w:pPr>
        <w:ind w:left="120" w:right="420" w:firstLine="551"/>
        <w:spacing w:after="0" w:line="271" w:lineRule="auto"/>
        <w:rPr>
          <w:sz w:val="20"/>
          <w:szCs w:val="20"/>
          <w:color w:val="auto"/>
        </w:rPr>
      </w:pPr>
      <w:r>
        <w:rPr>
          <w:rFonts w:ascii="Arial" w:cs="Arial" w:eastAsia="Arial" w:hAnsi="Arial"/>
          <w:sz w:val="18"/>
          <w:szCs w:val="18"/>
          <w:color w:val="auto"/>
        </w:rPr>
        <w:t>As of December 31, 2024, the aggregate number of shares of common stock underlying outstanding stock awards and options under our 2016 Plan held by each of our non-employee directors was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18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Number of</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918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918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Underlying</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r>
      <w:tr>
        <w:trPr>
          <w:trHeight w:val="162"/>
        </w:trPr>
        <w:tc>
          <w:tcPr>
            <w:tcW w:w="918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Stock</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Underlying</w:t>
            </w:r>
          </w:p>
        </w:tc>
      </w:tr>
      <w:tr>
        <w:trPr>
          <w:trHeight w:val="171"/>
        </w:trPr>
        <w:tc>
          <w:tcPr>
            <w:tcW w:w="91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Awards</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Options</w:t>
            </w:r>
          </w:p>
        </w:tc>
      </w:tr>
      <w:tr>
        <w:trPr>
          <w:trHeight w:val="196"/>
        </w:trPr>
        <w:tc>
          <w:tcPr>
            <w:tcW w:w="9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Roelof Botha</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9180" w:type="dxa"/>
            <w:vAlign w:val="bottom"/>
          </w:tcPr>
          <w:p>
            <w:pPr>
              <w:spacing w:after="0" w:line="202" w:lineRule="exact"/>
              <w:rPr>
                <w:sz w:val="20"/>
                <w:szCs w:val="20"/>
                <w:color w:val="auto"/>
              </w:rPr>
            </w:pPr>
            <w:r>
              <w:rPr>
                <w:rFonts w:ascii="Arial" w:cs="Arial" w:eastAsia="Arial" w:hAnsi="Arial"/>
                <w:sz w:val="18"/>
                <w:szCs w:val="18"/>
                <w:color w:val="auto"/>
              </w:rPr>
              <w:t>Priscilla Hung</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21,877</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32,879</w:t>
            </w: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John Kunze</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22,806</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49,319</w:t>
            </w: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Nathan J. Niparko</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Khozema Shipchandler</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15,714</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9,566</w:t>
            </w:r>
          </w:p>
        </w:tc>
      </w:tr>
    </w:tbl>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Prior to the closing of this offering, we did not have an established plan or policy with regard to compensation of</w:t>
      </w:r>
    </w:p>
    <w:p>
      <w:pPr>
        <w:spacing w:after="0" w:line="14" w:lineRule="exact"/>
        <w:rPr>
          <w:sz w:val="20"/>
          <w:szCs w:val="20"/>
          <w:color w:val="auto"/>
        </w:rPr>
      </w:pPr>
    </w:p>
    <w:p>
      <w:pPr>
        <w:ind w:left="120" w:right="400"/>
        <w:spacing w:after="0"/>
        <w:rPr>
          <w:sz w:val="20"/>
          <w:szCs w:val="20"/>
          <w:color w:val="auto"/>
        </w:rPr>
      </w:pPr>
      <w:r>
        <w:rPr>
          <w:rFonts w:ascii="Arial" w:cs="Arial" w:eastAsia="Arial" w:hAnsi="Arial"/>
          <w:sz w:val="18"/>
          <w:szCs w:val="18"/>
          <w:color w:val="auto"/>
        </w:rPr>
        <w:t>our non-employee directors. In connection with this offering, we intend to adopt a non-employee director compensation policy, or the Director Compensation Policy, that will become effective upon the execution and delivery of the underwriting agreement related to this offering and will be applicable to all of our non-employee directors. The Director Compensation Policy provides that each such non-employee director will receive the following compensation for service on our board of directors:</w:t>
      </w:r>
    </w:p>
    <w:p>
      <w:pPr>
        <w:spacing w:after="0" w:line="86" w:lineRule="exact"/>
        <w:rPr>
          <w:sz w:val="20"/>
          <w:szCs w:val="20"/>
          <w:color w:val="auto"/>
        </w:rPr>
      </w:pPr>
    </w:p>
    <w:p>
      <w:pPr>
        <w:ind w:left="880" w:right="380" w:hanging="224"/>
        <w:spacing w:after="0" w:line="271"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annual service retainer in the form of RSUs covering a number of shares that results in a value of $35,000, vesting over a one-year period in equal quarterly installments;</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5" w:right="4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880" w:right="120" w:hanging="224"/>
        <w:spacing w:after="0" w:line="253"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additional annual service retainer in the form of RSUs covering a number of shares that results in a value of $35,000 for service as non-employee chair of the board of directors or $15,000 for service as lead independent director, vesting over a one-year period in equal quarterly installments;</w:t>
      </w:r>
    </w:p>
    <w:p>
      <w:pPr>
        <w:spacing w:after="0" w:line="74" w:lineRule="exact"/>
        <w:rPr>
          <w:rFonts w:ascii="Arial" w:cs="Arial" w:eastAsia="Arial" w:hAnsi="Arial"/>
          <w:sz w:val="18"/>
          <w:szCs w:val="18"/>
          <w:color w:val="auto"/>
        </w:rPr>
      </w:pPr>
    </w:p>
    <w:p>
      <w:pPr>
        <w:ind w:left="880" w:right="100" w:hanging="224"/>
        <w:spacing w:after="0" w:line="253"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additional annual service retainer in the form of RSUs covering a number of shares that results in a value of $10,000, $7,000 and $4,000 for service as a non-chair member of the audit committee, compensation committee, and the nominating and corporate governance committee, respectively, vesting over a one-year period in equal quarterly installments;</w:t>
      </w:r>
    </w:p>
    <w:p>
      <w:pPr>
        <w:spacing w:after="0" w:line="74" w:lineRule="exact"/>
        <w:rPr>
          <w:rFonts w:ascii="Arial" w:cs="Arial" w:eastAsia="Arial" w:hAnsi="Arial"/>
          <w:sz w:val="18"/>
          <w:szCs w:val="18"/>
          <w:color w:val="auto"/>
        </w:rPr>
      </w:pPr>
    </w:p>
    <w:p>
      <w:pPr>
        <w:ind w:left="880" w:hanging="224"/>
        <w:spacing w:after="0" w:line="247"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additional annual service retainer in the form of RSUs covering a number of shares that results in a value of $20,000, $15,000 and $8,000 for service as chair of the audit committee, chair of the compensation committee, and chair of the nominating and corporate governance committee, respectively (in lieu of the committee member retainer above), vesting over a one-year period in equal quarterly installments;</w:t>
      </w:r>
    </w:p>
    <w:p>
      <w:pPr>
        <w:spacing w:after="0" w:line="79" w:lineRule="exact"/>
        <w:rPr>
          <w:rFonts w:ascii="Arial" w:cs="Arial" w:eastAsia="Arial" w:hAnsi="Arial"/>
          <w:sz w:val="18"/>
          <w:szCs w:val="18"/>
          <w:color w:val="auto"/>
        </w:rPr>
      </w:pPr>
    </w:p>
    <w:p>
      <w:pPr>
        <w:ind w:left="880" w:right="300" w:hanging="224"/>
        <w:spacing w:after="0" w:line="271"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initial RSU grant to purchase a number of shares of our Class A common stock that results in a value of $360,000, vesting over three years in 12 equal quarterly installments;</w:t>
      </w:r>
    </w:p>
    <w:p>
      <w:pPr>
        <w:spacing w:after="0" w:line="59" w:lineRule="exact"/>
        <w:rPr>
          <w:rFonts w:ascii="Arial" w:cs="Arial" w:eastAsia="Arial" w:hAnsi="Arial"/>
          <w:sz w:val="18"/>
          <w:szCs w:val="18"/>
          <w:color w:val="auto"/>
        </w:rPr>
      </w:pPr>
    </w:p>
    <w:p>
      <w:pPr>
        <w:ind w:left="880" w:right="220" w:hanging="224"/>
        <w:spacing w:after="0" w:line="271"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additional initial service retainer in the form of RSUs covering a number of shares that results in a value of $35,000, vesting over three years in 12 equal quarterly installments.</w:t>
      </w:r>
    </w:p>
    <w:p>
      <w:pPr>
        <w:spacing w:after="0" w:line="59" w:lineRule="exact"/>
        <w:rPr>
          <w:rFonts w:ascii="Arial" w:cs="Arial" w:eastAsia="Arial" w:hAnsi="Arial"/>
          <w:sz w:val="18"/>
          <w:szCs w:val="18"/>
          <w:color w:val="auto"/>
        </w:rPr>
      </w:pPr>
    </w:p>
    <w:p>
      <w:pPr>
        <w:ind w:left="880" w:right="20" w:hanging="224"/>
        <w:spacing w:after="0" w:line="242"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annual RSU grant to purchase a number of shares of our Class A common stock that results in a value of $180,000, vesting over a one-year period in equal quarterly installments following the date of grant, provided that the last quarter of the annual RSU grant will be fully vested on the earlier of (i) the first anniversary of the date of grant and (ii) the date of the next annual meeting of shareholders, provided that newly elected non-employee directors who join the board on a date other than the date of our annual meeting will receive their first of annual grant on the date of the second annual stockholder meeting following such non-employee director first joining the Board.</w:t>
      </w:r>
    </w:p>
    <w:p>
      <w:pPr>
        <w:spacing w:after="0" w:line="179"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Each of the RSU grants described above will be granted under our 2026 Plan, the terms of which are described in more detail below under “Executive Compensation—Equity Benefit and Stock Plans—2026 Equity Incentive Plan.” Each such award will vest and become exercisable subject to the non-employee director’s continuous service with us through each applicable vesting date, provided that each award will vest in full upon a change in control (as defined in the 2026 Plan) of the company, subject to the director’s continuous service through immediately prior to the change in control. Our compensation committee may, in its discretion and in accordance with any non-qualified deferred compensation plan or arrangement, allow our non-employee directors to elect to defer the delivery of shares upon settlement of the RSU grants.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12" w:lineRule="exact"/>
        <w:rPr>
          <w:sz w:val="20"/>
          <w:szCs w:val="20"/>
          <w:color w:val="auto"/>
        </w:rPr>
      </w:pPr>
    </w:p>
    <w:p>
      <w:pPr>
        <w:ind w:left="120" w:right="140" w:firstLine="551"/>
        <w:spacing w:after="0" w:line="271" w:lineRule="auto"/>
        <w:rPr>
          <w:sz w:val="20"/>
          <w:szCs w:val="20"/>
          <w:color w:val="auto"/>
        </w:rPr>
      </w:pPr>
      <w:r>
        <w:rPr>
          <w:rFonts w:ascii="Arial" w:cs="Arial" w:eastAsia="Arial" w:hAnsi="Arial"/>
          <w:sz w:val="18"/>
          <w:szCs w:val="18"/>
          <w:color w:val="auto"/>
        </w:rPr>
        <w:t>Our named executive officers for the year ended December 31, 2024, consisting of our principal executive officer and the next two most highly compensated executive officers, were:</w:t>
      </w:r>
    </w:p>
    <w:p>
      <w:pPr>
        <w:spacing w:after="0" w:line="59" w:lineRule="exact"/>
        <w:rPr>
          <w:sz w:val="20"/>
          <w:szCs w:val="20"/>
          <w:color w:val="auto"/>
        </w:rPr>
      </w:pPr>
    </w:p>
    <w:p>
      <w:pPr>
        <w:ind w:left="880" w:hanging="224"/>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Peter Colis, our Chief Executive Officer;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Erin Lantz, our Chief Revenue Officer;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Kunal Mehta, our Senior Vice President, Finance.</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04" w:lineRule="exact"/>
        <w:rPr>
          <w:sz w:val="20"/>
          <w:szCs w:val="20"/>
          <w:color w:val="auto"/>
        </w:rPr>
      </w:pPr>
    </w:p>
    <w:p>
      <w:pPr>
        <w:ind w:left="120" w:right="60" w:firstLine="551"/>
        <w:spacing w:after="0" w:line="271" w:lineRule="auto"/>
        <w:rPr>
          <w:sz w:val="20"/>
          <w:szCs w:val="20"/>
          <w:color w:val="auto"/>
        </w:rPr>
      </w:pPr>
      <w:r>
        <w:rPr>
          <w:rFonts w:ascii="Arial" w:cs="Arial" w:eastAsia="Arial" w:hAnsi="Arial"/>
          <w:sz w:val="18"/>
          <w:szCs w:val="18"/>
          <w:color w:val="auto"/>
        </w:rPr>
        <w:t>The following table presents all of the compensation awarded to, earned by, or paid to our named executive officers during the year ended December 31, 2024.</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Non-Equity</w:t>
            </w: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Incentive Plan</w:t>
            </w: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8"/>
        </w:trPr>
        <w:tc>
          <w:tcPr>
            <w:tcW w:w="3760" w:type="dxa"/>
            <w:vAlign w:val="bottom"/>
          </w:tcPr>
          <w:p>
            <w:pPr>
              <w:spacing w:after="0"/>
              <w:rPr>
                <w:sz w:val="13"/>
                <w:szCs w:val="13"/>
                <w:color w:val="auto"/>
              </w:rPr>
            </w:pPr>
          </w:p>
        </w:tc>
        <w:tc>
          <w:tcPr>
            <w:tcW w:w="114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Salary</w:t>
            </w:r>
          </w:p>
        </w:tc>
        <w:tc>
          <w:tcPr>
            <w:tcW w:w="108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rPr>
              <w:t>Bonus</w:t>
            </w:r>
          </w:p>
        </w:tc>
        <w:tc>
          <w:tcPr>
            <w:tcW w:w="138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Stock Awards</w:t>
            </w:r>
          </w:p>
        </w:tc>
        <w:tc>
          <w:tcPr>
            <w:tcW w:w="144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rPr>
              <w:t>Compensation</w:t>
            </w:r>
          </w:p>
        </w:tc>
        <w:tc>
          <w:tcPr>
            <w:tcW w:w="144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Compensation</w:t>
            </w:r>
          </w:p>
        </w:tc>
        <w:tc>
          <w:tcPr>
            <w:tcW w:w="78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Total</w:t>
            </w:r>
          </w:p>
        </w:tc>
      </w:tr>
      <w:tr>
        <w:trPr>
          <w:trHeight w:val="175"/>
        </w:trPr>
        <w:tc>
          <w:tcPr>
            <w:tcW w:w="37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43"/>
              <w:spacing w:after="0" w:line="175"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(1)</w:t>
            </w:r>
          </w:p>
        </w:tc>
        <w:tc>
          <w:tcPr>
            <w:tcW w:w="4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(2)</w:t>
            </w:r>
          </w:p>
        </w:tc>
        <w:tc>
          <w:tcPr>
            <w:tcW w:w="4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r>
      <w:tr>
        <w:trPr>
          <w:trHeight w:val="166"/>
        </w:trPr>
        <w:tc>
          <w:tcPr>
            <w:tcW w:w="3760" w:type="dxa"/>
            <w:vAlign w:val="bottom"/>
            <w:shd w:val="clear" w:color="auto" w:fill="CCEEFF"/>
          </w:tcPr>
          <w:p>
            <w:pPr>
              <w:spacing w:after="0" w:line="166" w:lineRule="exact"/>
              <w:rPr>
                <w:sz w:val="20"/>
                <w:szCs w:val="20"/>
                <w:color w:val="auto"/>
              </w:rPr>
            </w:pPr>
            <w:r>
              <w:rPr>
                <w:rFonts w:ascii="Arial" w:cs="Arial" w:eastAsia="Arial" w:hAnsi="Arial"/>
                <w:sz w:val="18"/>
                <w:szCs w:val="18"/>
                <w:color w:val="auto"/>
              </w:rPr>
              <w:t>Peter Colis</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33"/>
        </w:trPr>
        <w:tc>
          <w:tcPr>
            <w:tcW w:w="3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300,000</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w:t>
            </w:r>
          </w:p>
        </w:tc>
      </w:tr>
      <w:tr>
        <w:trPr>
          <w:trHeight w:val="186"/>
        </w:trPr>
        <w:tc>
          <w:tcPr>
            <w:tcW w:w="3760" w:type="dxa"/>
            <w:vAlign w:val="bottom"/>
          </w:tcPr>
          <w:p>
            <w:pPr>
              <w:spacing w:after="0" w:line="186" w:lineRule="exact"/>
              <w:rPr>
                <w:sz w:val="20"/>
                <w:szCs w:val="20"/>
                <w:color w:val="auto"/>
              </w:rPr>
            </w:pPr>
            <w:r>
              <w:rPr>
                <w:rFonts w:ascii="Arial" w:cs="Arial" w:eastAsia="Arial" w:hAnsi="Arial"/>
                <w:sz w:val="18"/>
                <w:szCs w:val="18"/>
                <w:color w:val="auto"/>
              </w:rPr>
              <w:t>Erin Lantz</w:t>
            </w: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3"/>
        </w:trPr>
        <w:tc>
          <w:tcPr>
            <w:tcW w:w="3760" w:type="dxa"/>
            <w:vAlign w:val="bottom"/>
          </w:tcPr>
          <w:p>
            <w:pPr>
              <w:spacing w:after="0"/>
              <w:rPr>
                <w:sz w:val="20"/>
                <w:szCs w:val="20"/>
                <w:color w:val="auto"/>
              </w:rPr>
            </w:pPr>
            <w:r>
              <w:rPr>
                <w:rFonts w:ascii="Arial" w:cs="Arial" w:eastAsia="Arial" w:hAnsi="Arial"/>
                <w:sz w:val="18"/>
                <w:szCs w:val="18"/>
                <w:i w:val="1"/>
                <w:iCs w:val="1"/>
                <w:color w:val="auto"/>
              </w:rPr>
              <w:t>Chief Revenue Officer</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300,000</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209,169</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509,169</w:t>
            </w:r>
          </w:p>
        </w:tc>
      </w:tr>
      <w:tr>
        <w:trPr>
          <w:trHeight w:val="186"/>
        </w:trPr>
        <w:tc>
          <w:tcPr>
            <w:tcW w:w="3760" w:type="dxa"/>
            <w:vAlign w:val="bottom"/>
            <w:shd w:val="clear" w:color="auto" w:fill="CCEEFF"/>
          </w:tcPr>
          <w:p>
            <w:pPr>
              <w:spacing w:after="0" w:line="186" w:lineRule="exact"/>
              <w:rPr>
                <w:sz w:val="20"/>
                <w:szCs w:val="20"/>
                <w:color w:val="auto"/>
              </w:rPr>
            </w:pPr>
            <w:r>
              <w:rPr>
                <w:rFonts w:ascii="Arial" w:cs="Arial" w:eastAsia="Arial" w:hAnsi="Arial"/>
                <w:sz w:val="18"/>
                <w:szCs w:val="18"/>
                <w:color w:val="auto"/>
              </w:rPr>
              <w:t>Kunal Mehta</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3"/>
        </w:trPr>
        <w:tc>
          <w:tcPr>
            <w:tcW w:w="3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Senior Vice President, Finance</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394,792</w:t>
            </w:r>
          </w:p>
        </w:tc>
        <w:tc>
          <w:tcPr>
            <w:tcW w:w="1080" w:type="dxa"/>
            <w:vAlign w:val="bottom"/>
            <w:gridSpan w:val="2"/>
            <w:shd w:val="clear" w:color="auto" w:fill="CCEEFF"/>
          </w:tcPr>
          <w:p>
            <w:pPr>
              <w:jc w:val="right"/>
              <w:ind w:right="400"/>
              <w:spacing w:after="0" w:line="232" w:lineRule="exact"/>
              <w:rPr>
                <w:sz w:val="20"/>
                <w:szCs w:val="20"/>
                <w:color w:val="auto"/>
              </w:rPr>
            </w:pPr>
            <w:r>
              <w:rPr>
                <w:rFonts w:ascii="Arial" w:cs="Arial" w:eastAsia="Arial" w:hAnsi="Arial"/>
                <w:sz w:val="18"/>
                <w:szCs w:val="18"/>
                <w:color w:val="auto"/>
                <w:w w:val="99"/>
              </w:rPr>
              <w:t>5,000</w:t>
            </w:r>
            <w:r>
              <w:rPr>
                <w:rFonts w:ascii="Arial" w:cs="Arial" w:eastAsia="Arial" w:hAnsi="Arial"/>
                <w:sz w:val="26"/>
                <w:szCs w:val="26"/>
                <w:color w:val="auto"/>
                <w:w w:val="99"/>
                <w:vertAlign w:val="superscript"/>
              </w:rPr>
              <w:t>(3)</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108,738</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508,530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660" w:right="20" w:hanging="544"/>
        <w:spacing w:after="0" w:line="23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Amounts reported represent the aggregate grant date fair value of stock awards granted to our executive officers during the year ended December 31, 2024, under our 2016 Plan, computed in accordance with Financial Accounting Standards Board Accounting Standards Codification Topic 718, Compensation—Stock Compensation, or ASC Topic 718, excluding the effect of estimated forfeitures. The assumptions used in calculating the grant date fair value of the stock awards reported in these columns are set forth in the notes to our audited consolidated financial statements included elsewhere in this prospectus. These amounts will not reflect the actual economic value that may be realized by the named executive officers.</w:t>
      </w:r>
    </w:p>
    <w:p>
      <w:pPr>
        <w:spacing w:after="0" w:line="1" w:lineRule="exact"/>
        <w:rPr>
          <w:rFonts w:ascii="Arial" w:cs="Arial" w:eastAsia="Arial" w:hAnsi="Arial"/>
          <w:sz w:val="18"/>
          <w:szCs w:val="18"/>
          <w:color w:val="auto"/>
        </w:rPr>
      </w:pPr>
    </w:p>
    <w:p>
      <w:pPr>
        <w:ind w:left="660" w:right="140" w:hanging="544"/>
        <w:spacing w:after="0" w:line="23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Amounts reported in this column represent total cash bonuses earned by our named executive officers based on achievement of corporate performance goals as determined by our compensation committee for the year ended December 31, 2024, as described below under “—Narrative to the Summary Compensation Table—Annual Performance-Based Bonus Opportunity.”</w:t>
      </w:r>
    </w:p>
    <w:p>
      <w:pPr>
        <w:spacing w:after="0" w:line="2" w:lineRule="exact"/>
        <w:rPr>
          <w:rFonts w:ascii="Arial" w:cs="Arial" w:eastAsia="Arial" w:hAnsi="Arial"/>
          <w:sz w:val="18"/>
          <w:szCs w:val="18"/>
          <w:color w:val="auto"/>
        </w:rPr>
      </w:pPr>
    </w:p>
    <w:p>
      <w:pPr>
        <w:ind w:left="660" w:hanging="544"/>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a one-time discretionary cash bonus in recognition of Mr. Mehta’s contributions to the Company.</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the Summary Compensation Table</w:t>
      </w:r>
    </w:p>
    <w:p>
      <w:pPr>
        <w:spacing w:after="0" w:line="104"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Historically, our board of directors has been responsible for overseeing all aspects of our executive compensation programs. In making compensation determinations,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w:t>
      </w:r>
    </w:p>
    <w:p>
      <w:pPr>
        <w:spacing w:after="0" w:line="174" w:lineRule="exact"/>
        <w:rPr>
          <w:sz w:val="20"/>
          <w:szCs w:val="20"/>
          <w:color w:val="auto"/>
        </w:rPr>
      </w:pPr>
    </w:p>
    <w:p>
      <w:pPr>
        <w:ind w:left="120" w:right="240" w:firstLine="551"/>
        <w:spacing w:after="0" w:line="271" w:lineRule="auto"/>
        <w:rPr>
          <w:sz w:val="20"/>
          <w:szCs w:val="20"/>
          <w:color w:val="auto"/>
        </w:rPr>
      </w:pPr>
      <w:r>
        <w:rPr>
          <w:rFonts w:ascii="Arial" w:cs="Arial" w:eastAsia="Arial" w:hAnsi="Arial"/>
          <w:sz w:val="18"/>
          <w:szCs w:val="18"/>
          <w:color w:val="auto"/>
        </w:rPr>
        <w:t>Our board of directors has historically determined our executive officers’ compensation and has typically reviewed and discussed management’s proposed compensation with our Chief Executive</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Officer for all executives other than our Chief Executive Officer. Based on those discussions and its discretion, our board of directors has then approved the compensation of each executive officer.</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102" w:lineRule="exact"/>
        <w:rPr>
          <w:sz w:val="20"/>
          <w:szCs w:val="20"/>
          <w:color w:val="auto"/>
        </w:rPr>
      </w:pPr>
    </w:p>
    <w:p>
      <w:pPr>
        <w:ind w:left="120" w:right="360" w:firstLine="551"/>
        <w:spacing w:after="0" w:line="244" w:lineRule="auto"/>
        <w:rPr>
          <w:sz w:val="20"/>
          <w:szCs w:val="20"/>
          <w:color w:val="auto"/>
        </w:rPr>
      </w:pPr>
      <w:r>
        <w:rPr>
          <w:rFonts w:ascii="Arial" w:cs="Arial" w:eastAsia="Arial" w:hAnsi="Arial"/>
          <w:sz w:val="18"/>
          <w:szCs w:val="18"/>
          <w:color w:val="auto"/>
        </w:rPr>
        <w:t>Base salaries for our executive officers are initially established through arm’s-length negotiations at the time of the executive officer’s hiring, taking into account such named executive officer’s experience, qualifications, scope of responsibilities, and competitive market compensation paid by other companies for similar positions within the industry and geography. Base salaries are reviewed periodically, and adjusted from time to time to realign salaries with market levels after taking into account individual responsibilities, performance, and experience.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2024 annual base salaries for our named executive officers are set forth in the table below.</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08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Base Salary</w:t>
            </w:r>
          </w:p>
        </w:tc>
      </w:tr>
      <w:tr>
        <w:trPr>
          <w:trHeight w:val="171"/>
        </w:trPr>
        <w:tc>
          <w:tcPr>
            <w:tcW w:w="100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4"/>
                <w:szCs w:val="14"/>
                <w:color w:val="auto"/>
              </w:rPr>
            </w:pPr>
          </w:p>
        </w:tc>
      </w:tr>
      <w:tr>
        <w:trPr>
          <w:trHeight w:val="196"/>
        </w:trPr>
        <w:tc>
          <w:tcPr>
            <w:tcW w:w="10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Peter Colis</w:t>
            </w:r>
          </w:p>
        </w:tc>
        <w:tc>
          <w:tcPr>
            <w:tcW w:w="82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w w:val="95"/>
              </w:rPr>
              <w:t>300,000</w:t>
            </w:r>
          </w:p>
        </w:tc>
        <w:tc>
          <w:tcPr>
            <w:tcW w:w="120" w:type="dxa"/>
            <w:vAlign w:val="bottom"/>
            <w:shd w:val="clear" w:color="auto" w:fill="CCEEFF"/>
          </w:tcPr>
          <w:p>
            <w:pPr>
              <w:spacing w:after="0"/>
              <w:rPr>
                <w:sz w:val="17"/>
                <w:szCs w:val="17"/>
                <w:color w:val="auto"/>
              </w:rPr>
            </w:pPr>
          </w:p>
        </w:tc>
      </w:tr>
      <w:tr>
        <w:trPr>
          <w:trHeight w:val="203"/>
        </w:trPr>
        <w:tc>
          <w:tcPr>
            <w:tcW w:w="10080" w:type="dxa"/>
            <w:vAlign w:val="bottom"/>
          </w:tcPr>
          <w:p>
            <w:pPr>
              <w:spacing w:after="0" w:line="202" w:lineRule="exact"/>
              <w:rPr>
                <w:sz w:val="20"/>
                <w:szCs w:val="20"/>
                <w:color w:val="auto"/>
              </w:rPr>
            </w:pPr>
            <w:r>
              <w:rPr>
                <w:rFonts w:ascii="Arial" w:cs="Arial" w:eastAsia="Arial" w:hAnsi="Arial"/>
                <w:sz w:val="18"/>
                <w:szCs w:val="18"/>
                <w:color w:val="auto"/>
              </w:rPr>
              <w:t>Erin Lantz</w:t>
            </w:r>
          </w:p>
        </w:tc>
        <w:tc>
          <w:tcPr>
            <w:tcW w:w="9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300,000</w:t>
            </w:r>
          </w:p>
        </w:tc>
      </w:tr>
      <w:tr>
        <w:trPr>
          <w:trHeight w:val="203"/>
        </w:trPr>
        <w:tc>
          <w:tcPr>
            <w:tcW w:w="10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Kunal Mehta</w:t>
            </w:r>
          </w:p>
        </w:tc>
        <w:tc>
          <w:tcPr>
            <w:tcW w:w="9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6"/>
                <w:szCs w:val="16"/>
                <w:color w:val="auto"/>
              </w:rPr>
              <w:t>400,000</w:t>
            </w:r>
            <w:r>
              <w:rPr>
                <w:rFonts w:ascii="Arial" w:cs="Arial" w:eastAsia="Arial" w:hAnsi="Arial"/>
                <w:sz w:val="23"/>
                <w:szCs w:val="23"/>
                <w:color w:val="auto"/>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color w:val="auto"/>
        </w:rPr>
        <w:t>*</w:t>
        <w:tab/>
        <w:t>Effective March 16, 2024, Mr. Mehta’s salary increased from $375,000 to $400,000.</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Performance-Based Bonus Opportunity</w:t>
      </w:r>
    </w:p>
    <w:p>
      <w:pPr>
        <w:spacing w:after="0" w:line="102" w:lineRule="exact"/>
        <w:rPr>
          <w:sz w:val="20"/>
          <w:szCs w:val="20"/>
          <w:color w:val="auto"/>
        </w:rPr>
      </w:pPr>
    </w:p>
    <w:p>
      <w:pPr>
        <w:ind w:left="120" w:right="40" w:firstLine="551"/>
        <w:spacing w:after="0" w:line="266" w:lineRule="auto"/>
        <w:rPr>
          <w:sz w:val="20"/>
          <w:szCs w:val="20"/>
          <w:color w:val="auto"/>
        </w:rPr>
      </w:pPr>
      <w:r>
        <w:rPr>
          <w:rFonts w:ascii="Arial" w:cs="Arial" w:eastAsia="Arial" w:hAnsi="Arial"/>
          <w:sz w:val="17"/>
          <w:szCs w:val="17"/>
          <w:color w:val="auto"/>
        </w:rPr>
        <w:t>In addition to base salaries, our named executive officers, other than Mr. Colis, are eligible to receive performance-based cash bonuses, which are designed to provide appropriate incentives to our executives to achieve defined performance goals and to reward our executives for individual achievement towards these goals. The performance-based bonus each executive officer is eligible to receive is generally based on the extent to which we achieve the corporate goals that our board of directors or compensation committee establishes.</w:t>
      </w:r>
    </w:p>
    <w:p>
      <w:pPr>
        <w:spacing w:after="0" w:line="159" w:lineRule="exact"/>
        <w:rPr>
          <w:sz w:val="20"/>
          <w:szCs w:val="20"/>
          <w:color w:val="auto"/>
        </w:rPr>
      </w:pPr>
    </w:p>
    <w:p>
      <w:pPr>
        <w:ind w:left="120" w:right="480" w:firstLine="551"/>
        <w:spacing w:after="0" w:line="253" w:lineRule="auto"/>
        <w:rPr>
          <w:sz w:val="20"/>
          <w:szCs w:val="20"/>
          <w:color w:val="auto"/>
        </w:rPr>
      </w:pPr>
      <w:r>
        <w:rPr>
          <w:rFonts w:ascii="Arial" w:cs="Arial" w:eastAsia="Arial" w:hAnsi="Arial"/>
          <w:sz w:val="18"/>
          <w:szCs w:val="18"/>
          <w:color w:val="auto"/>
        </w:rPr>
        <w:t>For the year ended December 31, 2024, Ms. Lantz and Mr. Mehta were each eligible to receive a bonus at an annual target of $200,000 and $ 100,000, respectively. Our corporate performance objectives for the year ended December 31, 2024 related to the achievement of certain financial metrics.</w:t>
      </w:r>
    </w:p>
    <w:p>
      <w:pPr>
        <w:spacing w:after="0" w:line="169"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color w:val="auto"/>
        </w:rPr>
        <w:t>In connection with this offering, we intend to adopt the Employee Incentive Compensation Plan, or the Bonus Plan. The Bonus Plan will provide for the grant of such performance-based cash bonuses to our named executive officers going forward.</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102" w:lineRule="exact"/>
        <w:rPr>
          <w:sz w:val="20"/>
          <w:szCs w:val="20"/>
          <w:color w:val="auto"/>
        </w:rPr>
      </w:pPr>
    </w:p>
    <w:p>
      <w:pPr>
        <w:ind w:left="120" w:right="160" w:firstLine="551"/>
        <w:spacing w:after="0" w:line="247" w:lineRule="auto"/>
        <w:rPr>
          <w:sz w:val="20"/>
          <w:szCs w:val="20"/>
          <w:color w:val="auto"/>
        </w:rPr>
      </w:pPr>
      <w:r>
        <w:rPr>
          <w:rFonts w:ascii="Arial" w:cs="Arial" w:eastAsia="Arial" w:hAnsi="Arial"/>
          <w:sz w:val="18"/>
          <w:szCs w:val="18"/>
          <w:color w:val="auto"/>
        </w:rPr>
        <w:t>Our equity award program is the primary vehicle for offering long-term incentives to our executives. We believe that equity awards provide our executives with a strong link to our long-term performance, create an ownership culture, and help to align the interests of our executives and our stockholders. We believe that our equity awards are an important retention tool for our executives as well as for our other employees.</w:t>
      </w:r>
    </w:p>
    <w:p>
      <w:pPr>
        <w:spacing w:after="0" w:line="174"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color w:val="auto"/>
        </w:rPr>
        <w:t>While no equity awards were granted to our named executive officers during the year ended December 31, 2024, in May 2025, our Chief Executive Officer was granted an RSU award covering 1,854,134 shares of our common stock under the 2016 Plan. Vesting of the RSU award is subject to satisfaction of both a service-based vesting requirement and a liquidity event vesting condition. The service-based vesting requirement is satisfied as to 50% of the RSUs on the date of grant, and 3.125%</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455" w:right="4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of the RSUs vest on each quarterly vesting date thereafter, subject to Mr. Colis’ continued service to us through each applicable vesting date. The liquidity event requirement will be satisfied with respect to any then-outstanding RSUs upon the earliest to occur of: (i) the effective date of a registration statement of the Company filed under the Securities Act for the sale of the our common stock to the public, whether pursuant to an initial public offering of our common stock or by a direct listing of the our common stock, or (ii) immediately prior to the closing of a corporate transaction, as defined in our 2016 Plan. The liquidity event requirement will be satisfied in connection with the closing of this offering.</w:t>
      </w:r>
    </w:p>
    <w:p>
      <w:pPr>
        <w:spacing w:after="0" w:line="179"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Historically, we have granted RSU awards and stock option awards subject to service-based, liquidity event-based, and/or market-based conditions. Grants to our executives and other employees are made at the discretion of our compensation committee and are not made at any specific time period during a year. Prior to the closing of this offering, all of the equity awards we granted were made pursuant to our 2016 Plan, the terms of which are described below under “—Employee Benefit and Stock Plans.” The terms of equity awards granted to our named executive officers in the year ended December 31, 2024 are described below under “—Outstanding Equity Awards at Fiscal Year End.”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Our Named Executive Officers</w:t>
      </w:r>
    </w:p>
    <w:p>
      <w:pPr>
        <w:spacing w:after="0" w:line="102"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We entered into confirmatory offer letters with each of our named executive officers, which provide for an annual base salary, bonus opportunity, and standard employee benefits generally available to our employees. Each of our named executive officers is employed at-will. Additionally, each of our named executive officers entered into participation agreements under the Ethos Technologies Inc. Severance Plan, or the Severance Plan, providing for severance benefits as discussed below under “—Potential Payments and Benefits upon Termination or Change in Control.”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Payments and Benefits upon Termination or Change in Control</w:t>
      </w:r>
    </w:p>
    <w:p>
      <w:pPr>
        <w:spacing w:after="0" w:line="102" w:lineRule="exact"/>
        <w:rPr>
          <w:sz w:val="20"/>
          <w:szCs w:val="20"/>
          <w:color w:val="auto"/>
        </w:rPr>
      </w:pPr>
    </w:p>
    <w:p>
      <w:pPr>
        <w:ind w:left="120" w:right="500" w:firstLine="551"/>
        <w:spacing w:after="0" w:line="271" w:lineRule="auto"/>
        <w:rPr>
          <w:sz w:val="20"/>
          <w:szCs w:val="20"/>
          <w:color w:val="auto"/>
        </w:rPr>
      </w:pPr>
      <w:r>
        <w:rPr>
          <w:rFonts w:ascii="Arial" w:cs="Arial" w:eastAsia="Arial" w:hAnsi="Arial"/>
          <w:sz w:val="18"/>
          <w:szCs w:val="18"/>
          <w:color w:val="auto"/>
        </w:rPr>
        <w:t>Regardless of the manner in which a named executive officer’s service terminates, each named executive officer is entitled to receive amounts earned during his or her term of service, including unpaid salary and unused vacation.</w:t>
      </w:r>
    </w:p>
    <w:p>
      <w:pPr>
        <w:spacing w:after="0" w:line="154"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8"/>
          <w:szCs w:val="18"/>
          <w:color w:val="auto"/>
        </w:rPr>
        <w:t>Each of our named executive officers is eligible to receive benefits under the terms of our Severance Plan, which was approved on May 23, 2025 and amended and restated on October 10, 2025. The Severance Plan provides for severance benefits to the named executive officers upon certain terminations of employment.</w:t>
      </w:r>
    </w:p>
    <w:p>
      <w:pPr>
        <w:spacing w:after="0" w:line="169"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Upon a covered termination (as defined below), each of our named executive officers is entitled to a lump sum payment equal to a portion of their base salary (12 months for Mr. Colis and 6 months for each of Ms. Lantz and Mr. Mehta).</w:t>
      </w:r>
    </w:p>
    <w:p>
      <w:pPr>
        <w:spacing w:after="0" w:line="154"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Upon a covered CIC termination (as defined below), each of our named executive officers is entitled to a lump sum payment equal to a portion of their base salary (18 months for Mr. Colis and 12 months for each of Ms. Lantz and Mr. Mehta), a lump sum payment equal to a percentage of their annual target cash bonus (150% for Mr. Colis and 100% for each of Ms. Lantz and Mr. Mehta), payment of COBRA premiums (18 months for Mr. Colis and 12 months for each of Ms. Lantz and Mr. Mehta) and accelerated vesting of 100% of the then-unvested portion of their equity awards that vest based solely on continuous service. All severance benefits under the Severance Plan are subject to the executive’s execution of an effective release of claims against us.</w:t>
      </w:r>
    </w:p>
    <w:p>
      <w:pPr>
        <w:spacing w:after="0" w:line="179" w:lineRule="exact"/>
        <w:rPr>
          <w:sz w:val="20"/>
          <w:szCs w:val="20"/>
          <w:color w:val="auto"/>
        </w:rPr>
      </w:pPr>
    </w:p>
    <w:p>
      <w:pPr>
        <w:ind w:left="120" w:right="160" w:firstLine="551"/>
        <w:spacing w:after="0" w:line="253" w:lineRule="auto"/>
        <w:rPr>
          <w:sz w:val="20"/>
          <w:szCs w:val="20"/>
          <w:color w:val="auto"/>
        </w:rPr>
      </w:pPr>
      <w:r>
        <w:rPr>
          <w:rFonts w:ascii="Arial" w:cs="Arial" w:eastAsia="Arial" w:hAnsi="Arial"/>
          <w:sz w:val="18"/>
          <w:szCs w:val="18"/>
          <w:color w:val="auto"/>
        </w:rPr>
        <w:t>For purposes of the Severance Plan, a “covered termination” is an involuntary termination without “cause” (as defined in the Severance Plan) (and not as a result of death or disability), and a “covered CIC termination” is an involuntary termination without “cause” (and not as a result of death or disability)</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or a resignation for “good reason” (as defined in the Severance Plan), in any case that occurs during the period of time beginning three months prior to, and ending 12 months following, a “change in control,” as defined in the Severance Plan.</w:t>
      </w:r>
    </w:p>
    <w:p>
      <w:pPr>
        <w:spacing w:after="0" w:line="154" w:lineRule="exact"/>
        <w:rPr>
          <w:sz w:val="20"/>
          <w:szCs w:val="20"/>
          <w:color w:val="auto"/>
        </w:rPr>
      </w:pPr>
    </w:p>
    <w:p>
      <w:pPr>
        <w:ind w:left="120" w:right="100" w:firstLine="551"/>
        <w:spacing w:after="0" w:line="244" w:lineRule="auto"/>
        <w:rPr>
          <w:sz w:val="20"/>
          <w:szCs w:val="20"/>
          <w:color w:val="auto"/>
        </w:rPr>
      </w:pPr>
      <w:r>
        <w:rPr>
          <w:rFonts w:ascii="Arial" w:cs="Arial" w:eastAsia="Arial" w:hAnsi="Arial"/>
          <w:sz w:val="18"/>
          <w:szCs w:val="18"/>
          <w:color w:val="auto"/>
        </w:rPr>
        <w:t>Each of our named executive officers’ equity awards is further subject to the terms of our 2016 Plan and the applicable award agreement thereunder. A description of the termination and change in control provisions in our 2016 Plan and awards granted thereunder is provided below under “—Employee Benefit and Stock Plans,” and a description of the vesting provisions of each equity award held by our named executive officers which is outstanding and unvested as of December 31, 2024 is provided below under “—Outstanding Equity Awards at Fiscal Year End.”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outstanding equity awards held by each named executive officer as of December 31, 2024.</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Name and Principal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-2540</wp:posOffset>
            </wp:positionV>
            <wp:extent cx="6940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3"/>
          <w:szCs w:val="13"/>
          <w:color w:val="auto"/>
        </w:rPr>
        <w:t>Peter Colis</w:t>
      </w:r>
    </w:p>
    <w:p>
      <w:pPr>
        <w:ind w:left="120"/>
        <w:spacing w:after="0"/>
        <w:rPr>
          <w:sz w:val="20"/>
          <w:szCs w:val="20"/>
          <w:color w:val="auto"/>
        </w:rPr>
      </w:pPr>
      <w:r>
        <w:rPr>
          <w:rFonts w:ascii="Arial" w:cs="Arial" w:eastAsia="Arial" w:hAnsi="Arial"/>
          <w:sz w:val="13"/>
          <w:szCs w:val="13"/>
          <w:i w:val="1"/>
          <w:iCs w:val="1"/>
          <w:color w:val="auto"/>
        </w:rPr>
        <w:t>Chief Executive Officer</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Erin Lantz</w:t>
      </w:r>
    </w:p>
    <w:p>
      <w:pPr>
        <w:ind w:left="120"/>
        <w:spacing w:after="0"/>
        <w:rPr>
          <w:sz w:val="20"/>
          <w:szCs w:val="20"/>
          <w:color w:val="auto"/>
        </w:rPr>
      </w:pPr>
      <w:r>
        <w:rPr>
          <w:rFonts w:ascii="Arial" w:cs="Arial" w:eastAsia="Arial" w:hAnsi="Arial"/>
          <w:sz w:val="13"/>
          <w:szCs w:val="13"/>
          <w:i w:val="1"/>
          <w:iCs w:val="1"/>
          <w:color w:val="auto"/>
        </w:rPr>
        <w:t>Chief Revenue Officer</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4"/>
          </w:tcPr>
          <w:p>
            <w:pPr>
              <w:ind w:left="460"/>
              <w:spacing w:after="0"/>
              <w:rPr>
                <w:sz w:val="20"/>
                <w:szCs w:val="20"/>
                <w:color w:val="auto"/>
              </w:rPr>
            </w:pPr>
            <w:r>
              <w:rPr>
                <w:rFonts w:ascii="Arial" w:cs="Arial" w:eastAsia="Arial" w:hAnsi="Arial"/>
                <w:sz w:val="13"/>
                <w:szCs w:val="13"/>
                <w:b w:val="1"/>
                <w:bCs w:val="1"/>
                <w:color w:val="auto"/>
              </w:rPr>
              <w:t>Option Awards</w:t>
            </w: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0" w:type="dxa"/>
            <w:vAlign w:val="bottom"/>
            <w:gridSpan w:val="4"/>
          </w:tcPr>
          <w:p>
            <w:pPr>
              <w:ind w:left="760"/>
              <w:spacing w:after="0"/>
              <w:rPr>
                <w:sz w:val="20"/>
                <w:szCs w:val="20"/>
                <w:color w:val="auto"/>
              </w:rPr>
            </w:pPr>
            <w:r>
              <w:rPr>
                <w:rFonts w:ascii="Arial" w:cs="Arial" w:eastAsia="Arial" w:hAnsi="Arial"/>
                <w:sz w:val="13"/>
                <w:szCs w:val="13"/>
                <w:b w:val="1"/>
                <w:bCs w:val="1"/>
                <w:color w:val="auto"/>
              </w:rPr>
              <w:t>Stock Awards</w:t>
            </w:r>
          </w:p>
        </w:tc>
      </w:tr>
      <w:tr>
        <w:trPr>
          <w:trHeight w:val="119"/>
        </w:trPr>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2"/>
                <w:szCs w:val="12"/>
                <w:b w:val="1"/>
                <w:bCs w:val="1"/>
                <w:color w:val="auto"/>
                <w:w w:val="97"/>
              </w:rPr>
              <w:t>Equity Incentive</w:t>
            </w:r>
          </w:p>
        </w:tc>
        <w:tc>
          <w:tcPr>
            <w:tcW w:w="10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2"/>
                <w:szCs w:val="12"/>
                <w:b w:val="1"/>
                <w:bCs w:val="1"/>
                <w:color w:val="auto"/>
                <w:w w:val="95"/>
              </w:rPr>
              <w:t>Equity Incentive</w:t>
            </w:r>
          </w:p>
        </w:tc>
        <w:tc>
          <w:tcPr>
            <w:tcW w:w="20" w:type="dxa"/>
            <w:vAlign w:val="bottom"/>
          </w:tcPr>
          <w:p>
            <w:pPr>
              <w:spacing w:after="0"/>
              <w:rPr>
                <w:sz w:val="10"/>
                <w:szCs w:val="10"/>
                <w:color w:val="auto"/>
              </w:rPr>
            </w:pPr>
          </w:p>
        </w:tc>
      </w:tr>
      <w:tr>
        <w:trPr>
          <w:trHeight w:val="135"/>
        </w:trPr>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9"/>
              </w:rPr>
              <w:t>Number of</w:t>
            </w: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6"/>
              </w:rPr>
              <w:t>Number of</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w w:val="97"/>
              </w:rPr>
              <w:t>Plan Awards:</w:t>
            </w:r>
          </w:p>
        </w:tc>
        <w:tc>
          <w:tcPr>
            <w:tcW w:w="1060" w:type="dxa"/>
            <w:vAlign w:val="bottom"/>
            <w:gridSpan w:val="2"/>
          </w:tcPr>
          <w:p>
            <w:pPr>
              <w:jc w:val="center"/>
              <w:ind w:right="40"/>
              <w:spacing w:after="0" w:line="135" w:lineRule="exact"/>
              <w:rPr>
                <w:sz w:val="20"/>
                <w:szCs w:val="20"/>
                <w:color w:val="auto"/>
              </w:rPr>
            </w:pPr>
            <w:r>
              <w:rPr>
                <w:rFonts w:ascii="Arial" w:cs="Arial" w:eastAsia="Arial" w:hAnsi="Arial"/>
                <w:sz w:val="12"/>
                <w:szCs w:val="12"/>
                <w:b w:val="1"/>
                <w:bCs w:val="1"/>
                <w:color w:val="auto"/>
                <w:w w:val="97"/>
              </w:rPr>
              <w:t>Plan Awards:</w:t>
            </w:r>
          </w:p>
        </w:tc>
      </w:tr>
      <w:tr>
        <w:trPr>
          <w:trHeight w:val="135"/>
        </w:trPr>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7"/>
              </w:rPr>
              <w:t>Securities</w:t>
            </w: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7"/>
              </w:rPr>
              <w:t>Securities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w w:val="96"/>
              </w:rPr>
              <w:t>Number of</w:t>
            </w:r>
          </w:p>
        </w:tc>
        <w:tc>
          <w:tcPr>
            <w:tcW w:w="106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w w:val="98"/>
              </w:rPr>
              <w:t>Market or Payout</w:t>
            </w:r>
          </w:p>
        </w:tc>
      </w:tr>
      <w:tr>
        <w:trPr>
          <w:trHeight w:val="135"/>
        </w:trPr>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5"/>
              </w:rPr>
              <w:t>Underlying</w:t>
            </w: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40"/>
              <w:spacing w:after="0" w:line="135" w:lineRule="exact"/>
              <w:rPr>
                <w:sz w:val="20"/>
                <w:szCs w:val="20"/>
                <w:color w:val="auto"/>
              </w:rPr>
            </w:pPr>
            <w:r>
              <w:rPr>
                <w:rFonts w:ascii="Arial" w:cs="Arial" w:eastAsia="Arial" w:hAnsi="Arial"/>
                <w:sz w:val="12"/>
                <w:szCs w:val="12"/>
                <w:b w:val="1"/>
                <w:bCs w:val="1"/>
                <w:color w:val="auto"/>
                <w:w w:val="97"/>
              </w:rPr>
              <w:t>Unearned Shares,</w:t>
            </w:r>
          </w:p>
        </w:tc>
        <w:tc>
          <w:tcPr>
            <w:tcW w:w="1060" w:type="dxa"/>
            <w:vAlign w:val="bottom"/>
            <w:gridSpan w:val="2"/>
          </w:tcPr>
          <w:p>
            <w:pPr>
              <w:jc w:val="center"/>
              <w:ind w:right="40"/>
              <w:spacing w:after="0" w:line="135" w:lineRule="exact"/>
              <w:rPr>
                <w:sz w:val="20"/>
                <w:szCs w:val="20"/>
                <w:color w:val="auto"/>
              </w:rPr>
            </w:pPr>
            <w:r>
              <w:rPr>
                <w:rFonts w:ascii="Arial" w:cs="Arial" w:eastAsia="Arial" w:hAnsi="Arial"/>
                <w:sz w:val="12"/>
                <w:szCs w:val="12"/>
                <w:b w:val="1"/>
                <w:bCs w:val="1"/>
                <w:color w:val="auto"/>
                <w:w w:val="96"/>
              </w:rPr>
              <w:t>Value of Unearned</w:t>
            </w:r>
          </w:p>
        </w:tc>
      </w:tr>
      <w:tr>
        <w:trPr>
          <w:trHeight w:val="135"/>
        </w:trPr>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2"/>
              </w:rPr>
              <w:t>Vesting</w:t>
            </w: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5"/>
              </w:rPr>
              <w:t>Unexercised</w:t>
            </w: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8"/>
              </w:rPr>
              <w:t>Unexercised</w:t>
            </w: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8"/>
              </w:rPr>
              <w:t>Option</w:t>
            </w: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w w:val="96"/>
              </w:rPr>
              <w:t>Units or Other</w:t>
            </w:r>
          </w:p>
        </w:tc>
        <w:tc>
          <w:tcPr>
            <w:tcW w:w="106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w w:val="95"/>
              </w:rPr>
              <w:t>Shares, Units or</w:t>
            </w:r>
          </w:p>
        </w:tc>
      </w:tr>
      <w:tr>
        <w:trPr>
          <w:trHeight w:val="135"/>
        </w:trPr>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8"/>
              </w:rPr>
              <w:t>Commencement</w:t>
            </w: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4"/>
              </w:rPr>
              <w:t>Options (#)</w:t>
            </w: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8"/>
              </w:rPr>
              <w:t>Option (#)</w:t>
            </w:r>
          </w:p>
        </w:tc>
        <w:tc>
          <w:tcPr>
            <w:tcW w:w="7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7"/>
              </w:rPr>
              <w:t>Exercise</w:t>
            </w: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7"/>
              </w:rPr>
              <w:t>Option Expiration</w:t>
            </w:r>
          </w:p>
        </w:tc>
        <w:tc>
          <w:tcPr>
            <w:tcW w:w="1340" w:type="dxa"/>
            <w:vAlign w:val="bottom"/>
            <w:gridSpan w:val="2"/>
          </w:tcPr>
          <w:p>
            <w:pPr>
              <w:jc w:val="center"/>
              <w:ind w:right="340"/>
              <w:spacing w:after="0" w:line="135" w:lineRule="exact"/>
              <w:rPr>
                <w:sz w:val="20"/>
                <w:szCs w:val="20"/>
                <w:color w:val="auto"/>
              </w:rPr>
            </w:pPr>
            <w:r>
              <w:rPr>
                <w:rFonts w:ascii="Arial" w:cs="Arial" w:eastAsia="Arial" w:hAnsi="Arial"/>
                <w:sz w:val="12"/>
                <w:szCs w:val="12"/>
                <w:b w:val="1"/>
                <w:bCs w:val="1"/>
                <w:color w:val="auto"/>
                <w:w w:val="97"/>
              </w:rPr>
              <w:t>Rights That Have</w:t>
            </w:r>
          </w:p>
        </w:tc>
        <w:tc>
          <w:tcPr>
            <w:tcW w:w="106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w w:val="98"/>
              </w:rPr>
              <w:t>Other Rights That</w:t>
            </w:r>
          </w:p>
        </w:tc>
      </w:tr>
      <w:tr>
        <w:trPr>
          <w:trHeight w:val="145"/>
        </w:trPr>
        <w:tc>
          <w:tcPr>
            <w:tcW w:w="7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1"/>
                <w:szCs w:val="11"/>
                <w:b w:val="1"/>
                <w:bCs w:val="1"/>
                <w:color w:val="auto"/>
                <w:w w:val="98"/>
              </w:rPr>
              <w:t>Grant Date</w:t>
            </w:r>
            <w:r>
              <w:rPr>
                <w:rFonts w:ascii="Arial" w:cs="Arial" w:eastAsia="Arial" w:hAnsi="Arial"/>
                <w:sz w:val="16"/>
                <w:szCs w:val="16"/>
                <w:b w:val="1"/>
                <w:bCs w:val="1"/>
                <w:color w:val="auto"/>
                <w:w w:val="98"/>
                <w:vertAlign w:val="superscript"/>
              </w:rPr>
              <w:t>(1)</w:t>
            </w:r>
          </w:p>
        </w:tc>
        <w:tc>
          <w:tcPr>
            <w:tcW w:w="220" w:type="dxa"/>
            <w:vAlign w:val="bottom"/>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c>
          <w:tcPr>
            <w:tcW w:w="22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Exercisable</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Unexercisable</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 xml:space="preserve">Price </w:t>
            </w:r>
            <w:r>
              <w:rPr>
                <w:rFonts w:ascii="Arial" w:cs="Arial" w:eastAsia="Arial" w:hAnsi="Arial"/>
                <w:sz w:val="12"/>
                <w:szCs w:val="12"/>
                <w:b w:val="1"/>
                <w:bCs w:val="1"/>
                <w:u w:val="single" w:color="auto"/>
                <w:color w:val="auto"/>
                <w:w w:val="97"/>
              </w:rPr>
              <w:t>($</w:t>
            </w:r>
            <w:r>
              <w:rPr>
                <w:rFonts w:ascii="Arial" w:cs="Arial" w:eastAsia="Arial" w:hAnsi="Arial"/>
                <w:sz w:val="12"/>
                <w:szCs w:val="12"/>
                <w:b w:val="1"/>
                <w:bCs w:val="1"/>
                <w:color w:val="auto"/>
                <w:w w:val="97"/>
              </w:rPr>
              <w:t>)</w:t>
            </w:r>
          </w:p>
        </w:tc>
        <w:tc>
          <w:tcPr>
            <w:tcW w:w="220" w:type="dxa"/>
            <w:vAlign w:val="bottom"/>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Date</w:t>
            </w:r>
          </w:p>
        </w:tc>
        <w:tc>
          <w:tcPr>
            <w:tcW w:w="240" w:type="dxa"/>
            <w:vAlign w:val="bottom"/>
          </w:tcPr>
          <w:p>
            <w:pPr>
              <w:spacing w:after="0"/>
              <w:rPr>
                <w:sz w:val="12"/>
                <w:szCs w:val="1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Not Vested (#)</w:t>
            </w:r>
          </w:p>
        </w:tc>
        <w:tc>
          <w:tcPr>
            <w:tcW w:w="34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1"/>
                <w:szCs w:val="11"/>
                <w:b w:val="1"/>
                <w:bCs w:val="1"/>
                <w:color w:val="auto"/>
              </w:rPr>
              <w:t>Have Not Vested</w:t>
            </w:r>
            <w:r>
              <w:rPr>
                <w:rFonts w:ascii="Arial" w:cs="Arial" w:eastAsia="Arial" w:hAnsi="Arial"/>
                <w:sz w:val="16"/>
                <w:szCs w:val="16"/>
                <w:b w:val="1"/>
                <w:bCs w:val="1"/>
                <w:color w:val="auto"/>
                <w:vertAlign w:val="superscript"/>
              </w:rPr>
              <w:t>(2)</w:t>
            </w:r>
          </w:p>
        </w:tc>
        <w:tc>
          <w:tcPr>
            <w:tcW w:w="20" w:type="dxa"/>
            <w:vAlign w:val="bottom"/>
          </w:tcPr>
          <w:p>
            <w:pPr>
              <w:spacing w:after="0"/>
              <w:rPr>
                <w:sz w:val="12"/>
                <w:szCs w:val="12"/>
                <w:color w:val="auto"/>
              </w:rPr>
            </w:pPr>
          </w:p>
        </w:tc>
      </w:tr>
      <w:tr>
        <w:trPr>
          <w:trHeight w:val="278"/>
        </w:trPr>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r>
      <w:tr>
        <w:trPr>
          <w:trHeight w:val="148"/>
        </w:trPr>
        <w:tc>
          <w:tcPr>
            <w:tcW w:w="720" w:type="dxa"/>
            <w:vAlign w:val="bottom"/>
          </w:tcPr>
          <w:p>
            <w:pPr>
              <w:jc w:val="right"/>
              <w:spacing w:after="0"/>
              <w:rPr>
                <w:sz w:val="20"/>
                <w:szCs w:val="20"/>
                <w:color w:val="auto"/>
              </w:rPr>
            </w:pPr>
            <w:r>
              <w:rPr>
                <w:rFonts w:ascii="Arial" w:cs="Arial" w:eastAsia="Arial" w:hAnsi="Arial"/>
                <w:sz w:val="13"/>
                <w:szCs w:val="13"/>
                <w:color w:val="auto"/>
              </w:rPr>
              <w:t>7/6/2020</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4/20/2020</w:t>
            </w:r>
          </w:p>
        </w:tc>
        <w:tc>
          <w:tcPr>
            <w:tcW w:w="700" w:type="dxa"/>
            <w:vAlign w:val="bottom"/>
          </w:tcPr>
          <w:p>
            <w:pPr>
              <w:jc w:val="right"/>
              <w:spacing w:after="0"/>
              <w:rPr>
                <w:sz w:val="20"/>
                <w:szCs w:val="20"/>
                <w:color w:val="auto"/>
              </w:rPr>
            </w:pPr>
            <w:r>
              <w:rPr>
                <w:rFonts w:ascii="Arial" w:cs="Arial" w:eastAsia="Arial" w:hAnsi="Arial"/>
                <w:sz w:val="13"/>
                <w:szCs w:val="13"/>
                <w:color w:val="auto"/>
              </w:rPr>
              <w:t>447,030</w:t>
            </w:r>
          </w:p>
        </w:tc>
        <w:tc>
          <w:tcPr>
            <w:tcW w:w="240" w:type="dxa"/>
            <w:vAlign w:val="bottom"/>
          </w:tcPr>
          <w:p>
            <w:pPr>
              <w:spacing w:after="0"/>
              <w:rPr>
                <w:sz w:val="12"/>
                <w:szCs w:val="12"/>
                <w:color w:val="auto"/>
              </w:rPr>
            </w:pPr>
          </w:p>
        </w:tc>
        <w:tc>
          <w:tcPr>
            <w:tcW w:w="102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2.975</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07/05/2030</w:t>
            </w:r>
          </w:p>
        </w:tc>
        <w:tc>
          <w:tcPr>
            <w:tcW w:w="13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r>
      <w:tr>
        <w:trPr>
          <w:trHeight w:val="148"/>
        </w:trPr>
        <w:tc>
          <w:tcPr>
            <w:tcW w:w="720" w:type="dxa"/>
            <w:vAlign w:val="bottom"/>
          </w:tcPr>
          <w:p>
            <w:pPr>
              <w:jc w:val="right"/>
              <w:spacing w:after="0"/>
              <w:rPr>
                <w:sz w:val="20"/>
                <w:szCs w:val="20"/>
                <w:color w:val="auto"/>
              </w:rPr>
            </w:pPr>
            <w:r>
              <w:rPr>
                <w:rFonts w:ascii="Arial" w:cs="Arial" w:eastAsia="Arial" w:hAnsi="Arial"/>
                <w:sz w:val="13"/>
                <w:szCs w:val="13"/>
                <w:color w:val="auto"/>
              </w:rPr>
              <w:t>5/2/2023</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2/15/2023</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2"/>
                <w:szCs w:val="12"/>
                <w:color w:val="auto"/>
              </w:rPr>
              <w:t>66,113</w:t>
            </w:r>
            <w:r>
              <w:rPr>
                <w:rFonts w:ascii="Arial" w:cs="Arial" w:eastAsia="Arial" w:hAnsi="Arial"/>
                <w:sz w:val="17"/>
                <w:szCs w:val="17"/>
                <w:color w:val="auto"/>
                <w:vertAlign w:val="superscript"/>
              </w:rPr>
              <w:t>(3)</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2,355,590.92</w:t>
            </w:r>
          </w:p>
        </w:tc>
      </w:tr>
      <w:tr>
        <w:trPr>
          <w:trHeight w:val="159"/>
        </w:trPr>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11/02/2023</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2/15/2024</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20"/>
              <w:spacing w:after="0" w:line="159" w:lineRule="exact"/>
              <w:rPr>
                <w:sz w:val="20"/>
                <w:szCs w:val="20"/>
                <w:color w:val="auto"/>
              </w:rPr>
            </w:pPr>
            <w:r>
              <w:rPr>
                <w:rFonts w:ascii="Arial" w:cs="Arial" w:eastAsia="Arial" w:hAnsi="Arial"/>
                <w:sz w:val="12"/>
                <w:szCs w:val="12"/>
                <w:color w:val="auto"/>
              </w:rPr>
              <w:t>302,790</w:t>
            </w:r>
            <w:r>
              <w:rPr>
                <w:rFonts w:ascii="Arial" w:cs="Arial" w:eastAsia="Arial" w:hAnsi="Arial"/>
                <w:sz w:val="18"/>
                <w:szCs w:val="18"/>
                <w:color w:val="auto"/>
                <w:vertAlign w:val="superscript"/>
              </w:rPr>
              <w:t>(3)</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10,788,407.70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-1665605</wp:posOffset>
            </wp:positionH>
            <wp:positionV relativeFrom="paragraph">
              <wp:posOffset>-478155</wp:posOffset>
            </wp:positionV>
            <wp:extent cx="6995160" cy="1974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020" w:space="720"/>
            <w:col w:w="840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138"/>
        </w:trPr>
        <w:tc>
          <w:tcPr>
            <w:tcW w:w="25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Kunal Mehta</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6/20/2022</w:t>
            </w:r>
          </w:p>
        </w:tc>
        <w:tc>
          <w:tcPr>
            <w:tcW w:w="1520" w:type="dxa"/>
            <w:vAlign w:val="bottom"/>
            <w:shd w:val="clear" w:color="auto" w:fill="CCEEFF"/>
          </w:tcPr>
          <w:p>
            <w:pPr>
              <w:jc w:val="right"/>
              <w:ind w:right="333"/>
              <w:spacing w:after="0" w:line="138" w:lineRule="exact"/>
              <w:rPr>
                <w:sz w:val="20"/>
                <w:szCs w:val="20"/>
                <w:color w:val="auto"/>
              </w:rPr>
            </w:pPr>
            <w:r>
              <w:rPr>
                <w:rFonts w:ascii="Arial" w:cs="Arial" w:eastAsia="Arial" w:hAnsi="Arial"/>
                <w:sz w:val="13"/>
                <w:szCs w:val="13"/>
                <w:color w:val="auto"/>
              </w:rPr>
              <w:t>2/15/2022</w:t>
            </w:r>
          </w:p>
        </w:tc>
        <w:tc>
          <w:tcPr>
            <w:tcW w:w="980" w:type="dxa"/>
            <w:vAlign w:val="bottom"/>
            <w:shd w:val="clear" w:color="auto" w:fill="CCEEFF"/>
          </w:tcPr>
          <w:p>
            <w:pPr>
              <w:ind w:left="400"/>
              <w:spacing w:after="0" w:line="138"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300"/>
              <w:spacing w:after="0" w:line="138"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ind w:left="540"/>
              <w:spacing w:after="0" w:line="138"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182"/>
              <w:spacing w:after="0" w:line="138" w:lineRule="exact"/>
              <w:rPr>
                <w:sz w:val="20"/>
                <w:szCs w:val="20"/>
                <w:color w:val="auto"/>
              </w:rPr>
            </w:pPr>
            <w:r>
              <w:rPr>
                <w:rFonts w:ascii="Arial" w:cs="Arial" w:eastAsia="Arial" w:hAnsi="Arial"/>
                <w:sz w:val="11"/>
                <w:szCs w:val="11"/>
                <w:color w:val="auto"/>
              </w:rPr>
              <w:t>57,143</w:t>
            </w:r>
            <w:r>
              <w:rPr>
                <w:rFonts w:ascii="Arial" w:cs="Arial" w:eastAsia="Arial" w:hAnsi="Arial"/>
                <w:sz w:val="15"/>
                <w:szCs w:val="15"/>
                <w:color w:val="auto"/>
                <w:vertAlign w:val="superscript"/>
              </w:rPr>
              <w:t>(3)</w:t>
            </w:r>
          </w:p>
        </w:tc>
        <w:tc>
          <w:tcPr>
            <w:tcW w:w="10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2,036,000.00</w:t>
            </w:r>
          </w:p>
        </w:tc>
      </w:tr>
      <w:tr>
        <w:trPr>
          <w:trHeight w:val="149"/>
        </w:trPr>
        <w:tc>
          <w:tcPr>
            <w:tcW w:w="252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Senior Vice President, Finance</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8/5/2022</w:t>
            </w:r>
          </w:p>
        </w:tc>
        <w:tc>
          <w:tcPr>
            <w:tcW w:w="152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8/15/2021</w:t>
            </w:r>
          </w:p>
        </w:tc>
        <w:tc>
          <w:tcPr>
            <w:tcW w:w="9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182"/>
              <w:spacing w:after="0" w:line="149" w:lineRule="exact"/>
              <w:rPr>
                <w:sz w:val="20"/>
                <w:szCs w:val="20"/>
                <w:color w:val="auto"/>
              </w:rPr>
            </w:pPr>
            <w:r>
              <w:rPr>
                <w:rFonts w:ascii="Arial" w:cs="Arial" w:eastAsia="Arial" w:hAnsi="Arial"/>
                <w:sz w:val="12"/>
                <w:szCs w:val="12"/>
                <w:color w:val="auto"/>
              </w:rPr>
              <w:t>86,786</w:t>
            </w:r>
            <w:r>
              <w:rPr>
                <w:rFonts w:ascii="Arial" w:cs="Arial" w:eastAsia="Arial" w:hAnsi="Arial"/>
                <w:sz w:val="17"/>
                <w:szCs w:val="17"/>
                <w:color w:val="auto"/>
                <w:vertAlign w:val="superscript"/>
              </w:rPr>
              <w:t>(4)</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3,092,175.00</w:t>
            </w:r>
          </w:p>
        </w:tc>
      </w:tr>
      <w:tr>
        <w:trPr>
          <w:trHeight w:val="148"/>
        </w:trPr>
        <w:tc>
          <w:tcPr>
            <w:tcW w:w="25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8/29/2022</w:t>
            </w:r>
          </w:p>
        </w:tc>
        <w:tc>
          <w:tcPr>
            <w:tcW w:w="152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8/15/2022</w:t>
            </w:r>
          </w:p>
        </w:tc>
        <w:tc>
          <w:tcPr>
            <w:tcW w:w="9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182"/>
              <w:spacing w:after="0" w:line="149" w:lineRule="exact"/>
              <w:rPr>
                <w:sz w:val="20"/>
                <w:szCs w:val="20"/>
                <w:color w:val="auto"/>
              </w:rPr>
            </w:pPr>
            <w:r>
              <w:rPr>
                <w:rFonts w:ascii="Arial" w:cs="Arial" w:eastAsia="Arial" w:hAnsi="Arial"/>
                <w:sz w:val="12"/>
                <w:szCs w:val="12"/>
                <w:color w:val="auto"/>
              </w:rPr>
              <w:t>28,571</w:t>
            </w:r>
            <w:r>
              <w:rPr>
                <w:rFonts w:ascii="Arial" w:cs="Arial" w:eastAsia="Arial" w:hAnsi="Arial"/>
                <w:sz w:val="17"/>
                <w:szCs w:val="17"/>
                <w:color w:val="auto"/>
                <w:vertAlign w:val="superscript"/>
              </w:rPr>
              <w:t>(3)</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1,018,000.00</w:t>
            </w:r>
          </w:p>
        </w:tc>
      </w:tr>
      <w:tr>
        <w:trPr>
          <w:trHeight w:val="148"/>
        </w:trPr>
        <w:tc>
          <w:tcPr>
            <w:tcW w:w="25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5/2/2023</w:t>
            </w:r>
          </w:p>
        </w:tc>
        <w:tc>
          <w:tcPr>
            <w:tcW w:w="152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2/15/2023</w:t>
            </w:r>
          </w:p>
        </w:tc>
        <w:tc>
          <w:tcPr>
            <w:tcW w:w="9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182"/>
              <w:spacing w:after="0" w:line="149" w:lineRule="exact"/>
              <w:rPr>
                <w:sz w:val="20"/>
                <w:szCs w:val="20"/>
                <w:color w:val="auto"/>
              </w:rPr>
            </w:pPr>
            <w:r>
              <w:rPr>
                <w:rFonts w:ascii="Arial" w:cs="Arial" w:eastAsia="Arial" w:hAnsi="Arial"/>
                <w:sz w:val="12"/>
                <w:szCs w:val="12"/>
                <w:color w:val="auto"/>
              </w:rPr>
              <w:t>113,214</w:t>
            </w:r>
            <w:r>
              <w:rPr>
                <w:rFonts w:ascii="Arial" w:cs="Arial" w:eastAsia="Arial" w:hAnsi="Arial"/>
                <w:sz w:val="17"/>
                <w:szCs w:val="17"/>
                <w:color w:val="auto"/>
                <w:vertAlign w:val="superscript"/>
              </w:rPr>
              <w:t>(3)</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4,033,825.00</w:t>
            </w:r>
          </w:p>
        </w:tc>
      </w:tr>
      <w:tr>
        <w:trPr>
          <w:trHeight w:val="161"/>
        </w:trPr>
        <w:tc>
          <w:tcPr>
            <w:tcW w:w="2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11/2/2023</w:t>
            </w:r>
          </w:p>
        </w:tc>
        <w:tc>
          <w:tcPr>
            <w:tcW w:w="152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8/15/2023</w:t>
            </w:r>
          </w:p>
        </w:tc>
        <w:tc>
          <w:tcPr>
            <w:tcW w:w="9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182"/>
              <w:spacing w:after="0" w:line="161" w:lineRule="exact"/>
              <w:rPr>
                <w:sz w:val="20"/>
                <w:szCs w:val="20"/>
                <w:color w:val="auto"/>
              </w:rPr>
            </w:pPr>
            <w:r>
              <w:rPr>
                <w:rFonts w:ascii="Arial" w:cs="Arial" w:eastAsia="Arial" w:hAnsi="Arial"/>
                <w:sz w:val="12"/>
                <w:szCs w:val="12"/>
                <w:color w:val="auto"/>
              </w:rPr>
              <w:t>211,953</w:t>
            </w:r>
            <w:r>
              <w:rPr>
                <w:rFonts w:ascii="Arial" w:cs="Arial" w:eastAsia="Arial" w:hAnsi="Arial"/>
                <w:sz w:val="18"/>
                <w:szCs w:val="18"/>
                <w:color w:val="auto"/>
                <w:vertAlign w:val="superscript"/>
              </w:rPr>
              <w:t>(3)</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7,551,885.39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660" w:right="20" w:hanging="54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equity awards listed in this table were granted pursuant to our 2016 Plan, the terms of which are described below under “— Employee Benefit and Stock Plans—2016 Equity Incentive Plan.” The equity awards are subject to acceleration upon certain events as described in the section titled “—Narrative to the Summary Compensation Table—Potential Payments and Benefits upon Termination or Change of Control.”</w:t>
      </w:r>
    </w:p>
    <w:p>
      <w:pPr>
        <w:ind w:left="660" w:right="20" w:hanging="544"/>
        <w:spacing w:after="0" w:line="234"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Amounts reported represent the fair value of our common stock of $35.63 per share as of December 31, 2024 as determined by our compensation committee in good faith, pursuant to authority from our board of directors.</w:t>
      </w:r>
    </w:p>
    <w:p>
      <w:pPr>
        <w:spacing w:after="0" w:line="1" w:lineRule="exact"/>
        <w:rPr>
          <w:rFonts w:ascii="Arial" w:cs="Arial" w:eastAsia="Arial" w:hAnsi="Arial"/>
          <w:sz w:val="18"/>
          <w:szCs w:val="18"/>
          <w:color w:val="auto"/>
        </w:rPr>
      </w:pPr>
    </w:p>
    <w:p>
      <w:pPr>
        <w:ind w:left="660" w:right="240" w:hanging="544"/>
        <w:spacing w:after="0" w:line="234"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RSUs vest on the first date upon which both a service-based condition and liquidity event-based condition are satisfied. The service-based condition is satisfied as to 6.25% of the RSUs on the three-month anniversary of the vesting commencement date, and the remaining RSUs vest in 15 equal quarterly installments thereafter, subject to the named executive officer’s continued service to us through each applicable vesting date. The liquidity event-based condition will be satisfied in connection with the closing of this offering.</w:t>
      </w:r>
    </w:p>
    <w:p>
      <w:pPr>
        <w:spacing w:after="0" w:line="3" w:lineRule="exact"/>
        <w:rPr>
          <w:rFonts w:ascii="Arial" w:cs="Arial" w:eastAsia="Arial" w:hAnsi="Arial"/>
          <w:sz w:val="18"/>
          <w:szCs w:val="18"/>
          <w:color w:val="auto"/>
        </w:rPr>
      </w:pPr>
    </w:p>
    <w:p>
      <w:pPr>
        <w:ind w:left="660" w:right="140" w:hanging="54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RSUs vest on the first date upon which both a service-based condition and a liquidity event-based condition are satisfied. The service-based condition is satisfied as to 25% of the RSUs, measured on August 15, 2022, and the remaining RSUs vest in 12 equal quarterly installments thereafter, subject to the named executive officer’s continued service to us through each applicable vesting date. The liquidity event-based condition will be satisfied in connection with the closing of this offering.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04" w:lineRule="exact"/>
        <w:rPr>
          <w:sz w:val="20"/>
          <w:szCs w:val="20"/>
          <w:color w:val="auto"/>
        </w:rPr>
      </w:pPr>
    </w:p>
    <w:p>
      <w:pPr>
        <w:ind w:left="120" w:right="600" w:firstLine="551"/>
        <w:spacing w:after="0" w:line="271" w:lineRule="auto"/>
        <w:rPr>
          <w:sz w:val="20"/>
          <w:szCs w:val="20"/>
          <w:color w:val="auto"/>
        </w:rPr>
      </w:pPr>
      <w:r>
        <w:rPr>
          <w:rFonts w:ascii="Arial" w:cs="Arial" w:eastAsia="Arial" w:hAnsi="Arial"/>
          <w:sz w:val="18"/>
          <w:szCs w:val="18"/>
          <w:color w:val="auto"/>
        </w:rPr>
        <w:t>We are an emerging growth company, as defined in the JOBS Act. As an emerging growth company, we will be exempt from certain requirements related to executive compensation, including</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55" w:right="43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Compensation and Benefits; Perquisites</w:t>
      </w:r>
    </w:p>
    <w:p>
      <w:pPr>
        <w:spacing w:after="0" w:line="104" w:lineRule="exact"/>
        <w:rPr>
          <w:sz w:val="20"/>
          <w:szCs w:val="20"/>
          <w:color w:val="auto"/>
        </w:rPr>
      </w:pPr>
    </w:p>
    <w:p>
      <w:pPr>
        <w:ind w:left="120" w:right="140" w:firstLine="551"/>
        <w:spacing w:after="0" w:line="253" w:lineRule="auto"/>
        <w:rPr>
          <w:sz w:val="20"/>
          <w:szCs w:val="20"/>
          <w:color w:val="auto"/>
        </w:rPr>
      </w:pPr>
      <w:r>
        <w:rPr>
          <w:rFonts w:ascii="Arial" w:cs="Arial" w:eastAsia="Arial" w:hAnsi="Arial"/>
          <w:sz w:val="18"/>
          <w:szCs w:val="18"/>
          <w:color w:val="auto"/>
        </w:rPr>
        <w:t>All of our named executive officers are eligible to participate in our employee benefit plans, including our medical, dental, vision, life, disability, and accidental death and dismemberment insurance plans, in each case, on the same basis as all of our other employees. We do not provide perquisites or personal benefits to our named executive officers.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Pension Benefits</w:t>
      </w:r>
    </w:p>
    <w:p>
      <w:pPr>
        <w:spacing w:after="0" w:line="104" w:lineRule="exact"/>
        <w:rPr>
          <w:sz w:val="20"/>
          <w:szCs w:val="20"/>
          <w:color w:val="auto"/>
        </w:rPr>
      </w:pPr>
    </w:p>
    <w:p>
      <w:pPr>
        <w:ind w:left="120" w:right="680" w:firstLine="551"/>
        <w:spacing w:after="0" w:line="271" w:lineRule="auto"/>
        <w:rPr>
          <w:sz w:val="20"/>
          <w:szCs w:val="20"/>
          <w:color w:val="auto"/>
        </w:rPr>
      </w:pPr>
      <w:r>
        <w:rPr>
          <w:rFonts w:ascii="Arial" w:cs="Arial" w:eastAsia="Arial" w:hAnsi="Arial"/>
          <w:sz w:val="18"/>
          <w:szCs w:val="18"/>
          <w:color w:val="auto"/>
        </w:rPr>
        <w:t>Our named executive officers did not participate in, or otherwise receive any benefits under, any pension or retirement plan sponsored by us during the year ended December 31, 2024.</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Nonqualified Deferred Compensation</w:t>
      </w:r>
    </w:p>
    <w:p>
      <w:pPr>
        <w:spacing w:after="0" w:line="104" w:lineRule="exact"/>
        <w:rPr>
          <w:sz w:val="20"/>
          <w:szCs w:val="20"/>
          <w:color w:val="auto"/>
        </w:rPr>
      </w:pPr>
    </w:p>
    <w:p>
      <w:pPr>
        <w:ind w:left="120" w:right="560" w:firstLine="551"/>
        <w:spacing w:after="0" w:line="271" w:lineRule="auto"/>
        <w:rPr>
          <w:sz w:val="20"/>
          <w:szCs w:val="20"/>
          <w:color w:val="auto"/>
        </w:rPr>
      </w:pPr>
      <w:r>
        <w:rPr>
          <w:rFonts w:ascii="Arial" w:cs="Arial" w:eastAsia="Arial" w:hAnsi="Arial"/>
          <w:sz w:val="18"/>
          <w:szCs w:val="18"/>
          <w:color w:val="auto"/>
        </w:rPr>
        <w:t>Our named executive officers did not participate in, or earn any benefits under, any nonqualified deferred compensation plan sponsored by us during the year ended December 31, 2024.</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401(k) Plan</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maintain a 401(k) plan that provides eligible U.S. employees with an opportunity to save for retirement on a tax advantaged basis. Eligible employees are able to make pre-tax and after-tax contributions of eligible compensation up to certain Code limits, which are updated annually. We have the ability to make matching and discretionary contributions to the 401(k) plan. The 401(k) plan is intended to be qualified under Section 401(a) Internal Revenue Code of 1986, as amended, or the Code, with the related trust intended to be tax exempt under Section 501(a) of the Code. As a tax-qualified retirement plan, contributions to the 401(k) plan are deductible by us when made and pre-tax contributions and earnings on pre-tax and after-tax contributions are not generally taxable to the employees until withdrawn or distributed from the 401(k) plan.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Clawback Policy</w:t>
      </w:r>
    </w:p>
    <w:p>
      <w:pPr>
        <w:spacing w:after="0" w:line="104" w:lineRule="exact"/>
        <w:rPr>
          <w:sz w:val="20"/>
          <w:szCs w:val="20"/>
          <w:color w:val="auto"/>
        </w:rPr>
      </w:pPr>
    </w:p>
    <w:p>
      <w:pPr>
        <w:ind w:left="120" w:right="260" w:firstLine="551"/>
        <w:spacing w:after="0" w:line="253" w:lineRule="auto"/>
        <w:rPr>
          <w:sz w:val="20"/>
          <w:szCs w:val="20"/>
          <w:color w:val="auto"/>
        </w:rPr>
      </w:pPr>
      <w:r>
        <w:rPr>
          <w:rFonts w:ascii="Arial" w:cs="Arial" w:eastAsia="Arial" w:hAnsi="Arial"/>
          <w:sz w:val="18"/>
          <w:szCs w:val="18"/>
          <w:color w:val="auto"/>
        </w:rPr>
        <w:t>In connection with this offering, we intend to adopt a compensation recovery policy that is compliant with the SEC rules and applicable stock exchange listing rules, as required by the Dodd-Frank Wall Street Reform and Consumer Protection Act of 2010, to be effective upon the closing of this offering.</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and Stock Plans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2026 Equity Incentive Plan</w:t>
      </w:r>
    </w:p>
    <w:p>
      <w:pPr>
        <w:spacing w:after="0" w:line="102" w:lineRule="exact"/>
        <w:rPr>
          <w:sz w:val="20"/>
          <w:szCs w:val="20"/>
          <w:color w:val="auto"/>
        </w:rPr>
      </w:pPr>
    </w:p>
    <w:p>
      <w:pPr>
        <w:ind w:left="120" w:right="200" w:firstLine="551"/>
        <w:spacing w:after="0" w:line="244" w:lineRule="auto"/>
        <w:rPr>
          <w:sz w:val="20"/>
          <w:szCs w:val="20"/>
          <w:color w:val="auto"/>
        </w:rPr>
      </w:pPr>
      <w:r>
        <w:rPr>
          <w:rFonts w:ascii="Arial" w:cs="Arial" w:eastAsia="Arial" w:hAnsi="Arial"/>
          <w:sz w:val="18"/>
          <w:szCs w:val="18"/>
          <w:color w:val="auto"/>
        </w:rPr>
        <w:t>In September 2025, our board of directors adopted, and our stockholders approved, our 2026 Plan. The 2026 Plan will become effective upon the execution of the underwriting agreement for this offering. Our 2026 Plan came into existence upon its adoption by our board of directors, but no grants will be made under our 2026 Plan prior to its effectiveness. Our 2026 Plan is a successor to our 2016 Plan (referred to in the 2026 Plan as our Prior Plan). Once our 2026 Plan becomes effective, no further grants will be made under our 2016 Plan.</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455" w:right="4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80" w:firstLine="551"/>
        <w:spacing w:after="0" w:line="247"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Our 2026 Plan provides for the grant of incentive stock options, or ISOs to employees, including employees of</w:t>
      </w:r>
      <w:r>
        <w:rPr>
          <w:rFonts w:ascii="Arial" w:cs="Arial" w:eastAsia="Arial" w:hAnsi="Arial"/>
          <w:sz w:val="18"/>
          <w:szCs w:val="18"/>
          <w:i w:val="1"/>
          <w:iCs w:val="1"/>
          <w:color w:val="auto"/>
        </w:rPr>
        <w:t xml:space="preserve"> </w:t>
      </w:r>
      <w:r>
        <w:rPr>
          <w:rFonts w:ascii="Arial" w:cs="Arial" w:eastAsia="Arial" w:hAnsi="Arial"/>
          <w:sz w:val="18"/>
          <w:szCs w:val="18"/>
          <w:color w:val="auto"/>
        </w:rPr>
        <w:t>any parent or subsidiary, and for the grant of nonstatutory stock options, NSOs, stock appreciation rights, restricted stock awards, restricted stock unit awards, performance awards, and other forms of stock awards to employees, directors, and consultants, including employees and consultants of our affiliates.</w:t>
      </w:r>
    </w:p>
    <w:p>
      <w:pPr>
        <w:spacing w:after="0" w:line="174"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Initially, the maximum number of shares of our common stock that may be issued under our 2026 Plan after it</w:t>
      </w:r>
      <w:r>
        <w:rPr>
          <w:rFonts w:ascii="Arial" w:cs="Arial" w:eastAsia="Arial" w:hAnsi="Arial"/>
          <w:sz w:val="18"/>
          <w:szCs w:val="18"/>
          <w:i w:val="1"/>
          <w:iCs w:val="1"/>
          <w:color w:val="auto"/>
        </w:rPr>
        <w:t xml:space="preserve"> </w:t>
      </w:r>
      <w:r>
        <w:rPr>
          <w:rFonts w:ascii="Arial" w:cs="Arial" w:eastAsia="Arial" w:hAnsi="Arial"/>
          <w:sz w:val="18"/>
          <w:szCs w:val="18"/>
          <w:color w:val="auto"/>
        </w:rPr>
        <w:t>becomes effective will not exceed         shares, which is the sum of (i)         new         shares, plus (ii) up to         shares of our common stock subject to outstanding stock awards granted under our 2016 Plan that, on or after the 2026 Plan becomes effective, expire or otherwise terminate prior to exercise or settlement; are not issued because the stock award is settled in cash; are forfeited or repurchased because of the failure to vest; or are reacquired or withheld to satisfy a tax withholding obligation or the purchase or exercise price if any, as such shares becomes available from time to time. In addition, the number of shares of our common stock reserved for issuance under our 2026 Plan will automatically increase on        of each calendar year, starting on January 1, 2027 (assuming the 2026 Plan becomes effective in 2026) through        , 2036, in an amount equal to        % of the total number of shares of our capital stock outstanding on the last day of the calendar month before the date of each automatic increase, or a lesser number of shares determined by our board of directors. The maximum number of shares of our common stock that may be issued on the exercise of ISOs under our 2026 Plan is         .</w:t>
      </w:r>
    </w:p>
    <w:p>
      <w:pPr>
        <w:spacing w:after="0" w:line="186"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Shares subject to stock awards granted under our 2026 Plan that expire or terminate without being exercised in full, or that are paid out in cash rather than in shares, do not reduce the number of shares available for issuance under our 2026 Plan. Additionally, shares become available for future grant under our 2026 Plan if they were issued stock awards under our 2026 Plan and we repurchase them or they are forfeited. This includes shares used to pay the exercise price of a stock award or to satisfy the tax withholding obligations related to a stock award.</w:t>
      </w:r>
    </w:p>
    <w:p>
      <w:pPr>
        <w:spacing w:after="0" w:line="17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duly authorized committee of our board of directors, will administer our 2026 Plan.</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may delegate concurrent authority to administer our 2026 Plan to our compensation committee under the terms of our compensation committee’s charter. We sometimes refer to our board of directors, or the applicable committee with the power to administer our equity incentive plans, as the administrator. The administrator may also delegate to one or more persons or bodies the authority to (i) designate employees (other than officers) to receive specified awards, and (ii) determine the number of shares subject to such awards. Such persons or bodies may not grant a stock award to themselves and neither our board nor any committee may delegate authority to any person or body (who is not a member of our board or such body that is not comprised solely of members of our board) the authority to determine the fair market value of our common stock for purposes of the 2026 Plan.</w:t>
      </w:r>
    </w:p>
    <w:p>
      <w:pPr>
        <w:spacing w:after="0" w:line="180"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The administrator has the authority to determine the terms of awards, including recipients, the exercise, purchase or strike price of awards, if any, the number of shares subject to each award, the fair market value of a share of common stock, the vesting schedule applicable to the awards, together with any vesting acceleration, and the form of consideration, if any, payable upon exercise or settlement of the award and the terms of the award agreements for use under our 2026 Plan.</w:t>
      </w:r>
    </w:p>
    <w:p>
      <w:pPr>
        <w:spacing w:after="0" w:line="174"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In addition, subject to the terms of the 2026 Plan, the administrator also has the power to modify outstanding awards under our 2026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00"/>
          </w:cols>
          <w:pgMar w:left="320" w:top="455" w:right="4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ISOs and NSOs are granted under stock option agreements adopted by the administrator.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determines the exercise price for stock options, within the terms and conditions of the 2026 Plan, provided that the exercise price of a stock option generally cannot be less than 100% of the fair market value of our common stock on the date of grant. Options granted under the 2026 Plan vest at the rate specified in the stock option agreement as determined by the administrator.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 Limitations on ISOs</w:t>
      </w:r>
      <w:r>
        <w:rPr>
          <w:rFonts w:ascii="Arial" w:cs="Arial" w:eastAsia="Arial" w:hAnsi="Arial"/>
          <w:sz w:val="18"/>
          <w:szCs w:val="18"/>
          <w:color w:val="auto"/>
        </w:rPr>
        <w:t>. The aggregate fair market value, determined at the time of grant, of our common stock with respect to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ISOs that are exercisable for the first time by an optionholder during any calendar year under all of our stock plans may not exceed</w:t>
      </w:r>
    </w:p>
    <w:p>
      <w:pPr>
        <w:ind w:left="120"/>
        <w:spacing w:after="0" w:line="234" w:lineRule="auto"/>
        <w:rPr>
          <w:sz w:val="20"/>
          <w:szCs w:val="20"/>
          <w:color w:val="auto"/>
        </w:rPr>
      </w:pPr>
      <w:r>
        <w:rPr>
          <w:rFonts w:ascii="Arial" w:cs="Arial" w:eastAsia="Arial" w:hAnsi="Arial"/>
          <w:sz w:val="18"/>
          <w:szCs w:val="18"/>
          <w:color w:val="auto"/>
        </w:rPr>
        <w:t>$100,000. Options or portions thereof that exceed such limit will generally be treated as NSOs. No ISO may be granted to any person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who, at the time of the grant, owns or is deemed to own stock possessing more than 10% of our total combined voting power or that of any</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our affiliates unless (i) the option exercise price is at least 110% of the fair market value of the stock subject to the option on the date of</w:t>
      </w:r>
    </w:p>
    <w:p>
      <w:pPr>
        <w:ind w:left="120"/>
        <w:spacing w:after="0"/>
        <w:rPr>
          <w:sz w:val="20"/>
          <w:szCs w:val="20"/>
          <w:color w:val="auto"/>
        </w:rPr>
      </w:pPr>
      <w:r>
        <w:rPr>
          <w:rFonts w:ascii="Arial" w:cs="Arial" w:eastAsia="Arial" w:hAnsi="Arial"/>
          <w:sz w:val="18"/>
          <w:szCs w:val="18"/>
          <w:color w:val="auto"/>
        </w:rPr>
        <w:t>grant; and (ii) the option is not exercisable after the expiration of five years from the date of grant.</w:t>
      </w:r>
    </w:p>
    <w:p>
      <w:pPr>
        <w:spacing w:after="0" w:line="19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i w:val="1"/>
          <w:iCs w:val="1"/>
          <w:color w:val="auto"/>
        </w:rPr>
        <w:t>Restricted Stock Unit Awards</w:t>
      </w:r>
      <w:r>
        <w:rPr>
          <w:rFonts w:ascii="Arial" w:cs="Arial" w:eastAsia="Arial" w:hAnsi="Arial"/>
          <w:sz w:val="18"/>
          <w:szCs w:val="18"/>
          <w:color w:val="auto"/>
        </w:rPr>
        <w:t>. RSUs are granted under restricted stock unit award agreements adopted by the administrator. RSUs</w:t>
      </w:r>
      <w:r>
        <w:rPr>
          <w:rFonts w:ascii="Arial" w:cs="Arial" w:eastAsia="Arial" w:hAnsi="Arial"/>
          <w:sz w:val="18"/>
          <w:szCs w:val="18"/>
          <w:i w:val="1"/>
          <w:iCs w:val="1"/>
          <w:color w:val="auto"/>
        </w:rPr>
        <w:t xml:space="preserve"> </w:t>
      </w:r>
      <w:r>
        <w:rPr>
          <w:rFonts w:ascii="Arial" w:cs="Arial" w:eastAsia="Arial" w:hAnsi="Arial"/>
          <w:sz w:val="18"/>
          <w:szCs w:val="18"/>
          <w:color w:val="auto"/>
        </w:rPr>
        <w:t>may be granted in consideration for any form of legal consideration that may be acceptable to our board of directors and permissible under applicable law. An RSU may be settled by cash, delivery of stock, a combination of cash and stock as deemed appropriate by the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w:t>
      </w:r>
    </w:p>
    <w:p>
      <w:pPr>
        <w:spacing w:after="0" w:line="179"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Restricted stock awards are granted under restricted stock award agreements adopted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A restricted stock award may be awarded in consideration for cash, check, bank draft or money order, past services to us, or any other form of legal consideration that may be acceptable to our board of directors and permissible under applicable law. The administrator determines the terms and conditions of restricted stock awards, including vesting and forfeiture terms.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w:t>
      </w:r>
    </w:p>
    <w:p>
      <w:pPr>
        <w:spacing w:after="0" w:line="179"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Stock appreciation rights are granted under stock appreciation grant agreements adopted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The administrator determines the purchase price or strike price for a stock appreciation right, which generally cannot be less than 100% of the fair market value of our common stock on the date of grant. A stock appreciation right granted under the 2026 Plan vests at the rate specified in the stock appreciation right agreement as determined by the administrator.</w:t>
      </w:r>
    </w:p>
    <w:p>
      <w:pPr>
        <w:spacing w:after="0" w:line="17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The 2026 Plan permits the grant of performance-based stock and cash awards. The administrator may</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awards so that the shares of our stock, cash, or other property will be issued or paid only following the achievement of certain pre-established performance goals during a designated performance period. The performance criteria that will be used to establish such performance goals may be based on any one of, or combination of, the following as determined by the administrator: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share price; margin (including gross margin); income (before or after taxes); operating income; operating income after taxes; pre-tax profit; operating cash flow; sales or revenue targets; increases in revenue or product revenue; expenses and cost reduction goals; improvement 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our products; supply chain achievements; co-development, co-marketing, profit sharing, joint venture, or other similar arrangements; individual performance goals; corporate development and planning goals; and other measures of performance selected by the administrator.</w:t>
      </w:r>
    </w:p>
    <w:p>
      <w:pPr>
        <w:spacing w:after="0" w:line="18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we will appropriately make adjustments in the method of calculating the attainment of performance goals as follows: (a) to exclude restructuring and/or other nonrecurring charges; (b) to exclude exchange rate effects; (c) to exclude the effects of changes to generally accepted accounting principles; (d) to exclude the effects of any statutory adjustments to corporate tax rates; (e) to exclude the effects of items that are “unusual” in nature or occur “infrequently” as determined under generally accepted accounting principles; (f) to exclude the dilutive effects of acquisitions or joint ventures; (g) to assume that any business divested by us achieved performance objectives at targeted levels during the balance of a performance period following such divestiture; (h)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 to exclude the effects of stock based compensation and the award of bonuses under our bonus plans; (j) to exclude costs incurred in connection with potential acquisitions or divestitures that are required to be expensed under generally accepted accounting principles; and (k) to exclude the goodwill and intangible asset impairment charges that are required to be recorded under generally accepted accounting principles. In addition, we retain the discretion to reduce or eliminate the compensation or economic benefit due upon attainment of the goals. The performance goals may differ from participant to participant and from award to award.</w:t>
      </w:r>
    </w:p>
    <w:p>
      <w:pPr>
        <w:spacing w:after="0" w:line="184" w:lineRule="exact"/>
        <w:rPr>
          <w:sz w:val="20"/>
          <w:szCs w:val="20"/>
          <w:color w:val="auto"/>
        </w:rPr>
      </w:pPr>
    </w:p>
    <w:p>
      <w:pPr>
        <w:ind w:left="120" w:right="220" w:firstLine="551"/>
        <w:spacing w:after="0" w:line="271" w:lineRule="auto"/>
        <w:rPr>
          <w:sz w:val="20"/>
          <w:szCs w:val="20"/>
          <w:color w:val="auto"/>
        </w:rPr>
      </w:pPr>
      <w:r>
        <w:rPr>
          <w:rFonts w:ascii="Arial" w:cs="Arial" w:eastAsia="Arial" w:hAnsi="Arial"/>
          <w:sz w:val="18"/>
          <w:szCs w:val="18"/>
          <w:i w:val="1"/>
          <w:iCs w:val="1"/>
          <w:color w:val="auto"/>
        </w:rPr>
        <w:t>Other Stock Awards</w:t>
      </w:r>
      <w:r>
        <w:rPr>
          <w:rFonts w:ascii="Arial" w:cs="Arial" w:eastAsia="Arial" w:hAnsi="Arial"/>
          <w:sz w:val="18"/>
          <w:szCs w:val="18"/>
          <w:color w:val="auto"/>
        </w:rPr>
        <w:t>. The administrator may grant other awards based in whole or in part by reference to our common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will set the number of shares under the stock award and all other terms and conditions of such awards.</w:t>
      </w:r>
    </w:p>
    <w:p>
      <w:pPr>
        <w:spacing w:after="0" w:line="154" w:lineRule="exact"/>
        <w:rPr>
          <w:sz w:val="20"/>
          <w:szCs w:val="20"/>
          <w:color w:val="auto"/>
        </w:rPr>
      </w:pPr>
    </w:p>
    <w:p>
      <w:pPr>
        <w:ind w:left="120" w:right="140" w:firstLine="551"/>
        <w:spacing w:after="0" w:line="244" w:lineRule="auto"/>
        <w:rPr>
          <w:sz w:val="20"/>
          <w:szCs w:val="20"/>
          <w:color w:val="auto"/>
        </w:rPr>
      </w:pPr>
      <w:r>
        <w:rPr>
          <w:rFonts w:ascii="Arial" w:cs="Arial" w:eastAsia="Arial" w:hAnsi="Arial"/>
          <w:sz w:val="18"/>
          <w:szCs w:val="18"/>
          <w:i w:val="1"/>
          <w:iCs w:val="1"/>
          <w:color w:val="auto"/>
        </w:rPr>
        <w:t>Non-Employee Director Compensation Limit</w:t>
      </w:r>
      <w:r>
        <w:rPr>
          <w:rFonts w:ascii="Arial" w:cs="Arial" w:eastAsia="Arial" w:hAnsi="Arial"/>
          <w:sz w:val="18"/>
          <w:szCs w:val="18"/>
          <w:color w:val="auto"/>
        </w:rPr>
        <w:t>. The aggregate value of all compensation granted or paid to any non-employee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with respect to any calendar year that begins after December 31, 2026, including stock awards granted and cash fees paid by us to such non-employee director, will not exceed $750,000 in total value, or in the event such non-employee director is first appointed or elected to the board during such calendar year, $1,000,000 in total value (in each case, calculating the value of any such stock awards based on the grant date fair value of such stock awards for financial reporting purposes).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60" w:firstLine="551"/>
        <w:spacing w:after="0" w:line="255" w:lineRule="auto"/>
        <w:rPr>
          <w:sz w:val="20"/>
          <w:szCs w:val="20"/>
          <w:color w:val="auto"/>
        </w:rPr>
      </w:pPr>
      <w:r>
        <w:rPr>
          <w:rFonts w:ascii="Arial" w:cs="Arial" w:eastAsia="Arial" w:hAnsi="Arial"/>
          <w:sz w:val="17"/>
          <w:szCs w:val="17"/>
          <w:i w:val="1"/>
          <w:iCs w:val="1"/>
          <w:color w:val="auto"/>
        </w:rPr>
        <w:t>Changes to Capital Structure</w:t>
      </w:r>
      <w:r>
        <w:rPr>
          <w:rFonts w:ascii="Arial" w:cs="Arial" w:eastAsia="Arial" w:hAnsi="Arial"/>
          <w:sz w:val="17"/>
          <w:szCs w:val="17"/>
          <w:color w:val="auto"/>
        </w:rPr>
        <w:t>. In the event there is a specified type of change in our capital structure, such as a stock split, reverse</w:t>
      </w:r>
      <w:r>
        <w:rPr>
          <w:rFonts w:ascii="Arial" w:cs="Arial" w:eastAsia="Arial" w:hAnsi="Arial"/>
          <w:sz w:val="17"/>
          <w:szCs w:val="17"/>
          <w:i w:val="1"/>
          <w:iCs w:val="1"/>
          <w:color w:val="auto"/>
        </w:rPr>
        <w:t xml:space="preserve"> </w:t>
      </w:r>
      <w:r>
        <w:rPr>
          <w:rFonts w:ascii="Arial" w:cs="Arial" w:eastAsia="Arial" w:hAnsi="Arial"/>
          <w:sz w:val="17"/>
          <w:szCs w:val="17"/>
          <w:color w:val="auto"/>
        </w:rPr>
        <w:t>stock split, or recapitalization, appropriate adjustments will be made to (i) the class and maximum number of shares reserved for issuance under the 2026 Plan, (ii) the class and maximum number of shares by which the share reserve may increase automatically each year,</w:t>
      </w:r>
    </w:p>
    <w:p>
      <w:pPr>
        <w:spacing w:after="0" w:line="2" w:lineRule="exact"/>
        <w:rPr>
          <w:sz w:val="20"/>
          <w:szCs w:val="20"/>
          <w:color w:val="auto"/>
        </w:rPr>
      </w:pPr>
    </w:p>
    <w:p>
      <w:pPr>
        <w:ind w:left="120" w:right="280" w:hanging="4"/>
        <w:spacing w:after="0" w:line="250" w:lineRule="auto"/>
        <w:tabs>
          <w:tab w:leader="none" w:pos="41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class and maximum number of shares that may be issued on the exercise of ISOs, and (iv) the class and number of shares and exercise price, strike price, or purchase price, if applicable, of all outstanding stock awards.</w:t>
      </w:r>
    </w:p>
    <w:p>
      <w:pPr>
        <w:spacing w:after="0" w:line="172" w:lineRule="exact"/>
        <w:rPr>
          <w:sz w:val="20"/>
          <w:szCs w:val="20"/>
          <w:color w:val="auto"/>
        </w:rPr>
      </w:pPr>
    </w:p>
    <w:p>
      <w:pPr>
        <w:jc w:val="both"/>
        <w:ind w:left="120" w:right="80" w:firstLine="551"/>
        <w:spacing w:after="0" w:line="253"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The following applies to stock awards under the 2026 Plan in the event of a corporate transaction, unless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in a participant’s stock award agreement or other written agreement with us or one of our affiliates or unless otherwise expressly provided by the administrator at the time of grant.</w:t>
      </w:r>
    </w:p>
    <w:p>
      <w:pPr>
        <w:spacing w:after="0" w:line="16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the event of a corporate transaction, any stock awards outstanding under the 2026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administrator, the award will accelerate at 100% of target. If the surviving or acquiring corporation (or its parent company) does not assume, continue or substitute for such stock awards, then with respect to any such stock awards that are held by persons other than current participants, such awards will terminate if not exercised (if applicable) prior to the effective time of the transaction, except that any reacquisition or repurchase rights held by us with respect to such stock awards will not terminate and may continue to be exercised notwithstanding the transaction. The administrator is not obligated to treat all stock awards or portions of stock awards in the same manner and is not obligated to take the same actions with respect to all participants.</w:t>
      </w:r>
    </w:p>
    <w:p>
      <w:pPr>
        <w:spacing w:after="0" w:line="186" w:lineRule="exact"/>
        <w:rPr>
          <w:sz w:val="20"/>
          <w:szCs w:val="20"/>
          <w:color w:val="auto"/>
        </w:rPr>
      </w:pPr>
    </w:p>
    <w:p>
      <w:pPr>
        <w:jc w:val="both"/>
        <w:ind w:left="120" w:right="180" w:firstLine="551"/>
        <w:spacing w:after="0" w:line="247" w:lineRule="auto"/>
        <w:rPr>
          <w:sz w:val="20"/>
          <w:szCs w:val="20"/>
          <w:color w:val="auto"/>
        </w:rPr>
      </w:pPr>
      <w:r>
        <w:rPr>
          <w:rFonts w:ascii="Arial" w:cs="Arial" w:eastAsia="Arial" w:hAnsi="Arial"/>
          <w:sz w:val="18"/>
          <w:szCs w:val="18"/>
          <w:color w:val="auto"/>
        </w:rPr>
        <w:t>In the event a stock award will terminate if not exercised prior to the effective time of a transaction, the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exercise price payable by such holder in connection with such exercise.</w:t>
      </w:r>
    </w:p>
    <w:p>
      <w:pPr>
        <w:spacing w:after="0" w:line="174"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Under our 2026 Plan, a corporate transaction is defined to include the consummation, in a single transaction or in a series of related transactions, of any one or more of the following events: (i) a sale or disposition of all or substantially all of our assets; (ii) a sale or disposition of more than 50% of our outstanding securities; (iii) a merger, consolidation or similar transaction where we do not survive the transaction; and (iv) a merger or consolidation where we do survive the transaction but the shares of our common stock outstanding before such transaction are converted or exchanged into other property by virtue of the transaction, unless otherwise provided in an award agreement or other written agreement between us and the award holder.</w:t>
      </w:r>
    </w:p>
    <w:p>
      <w:pPr>
        <w:spacing w:after="0" w:line="179" w:lineRule="exact"/>
        <w:rPr>
          <w:sz w:val="20"/>
          <w:szCs w:val="20"/>
          <w:color w:val="auto"/>
        </w:rPr>
      </w:pPr>
    </w:p>
    <w:p>
      <w:pPr>
        <w:ind w:left="120" w:right="260" w:firstLine="551"/>
        <w:spacing w:after="0" w:line="301" w:lineRule="auto"/>
        <w:rPr>
          <w:sz w:val="20"/>
          <w:szCs w:val="20"/>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In the event of a change in control, as defined under our 2026 Plan, awards granted under our 2026 Plan will</w:t>
      </w:r>
      <w:r>
        <w:rPr>
          <w:rFonts w:ascii="Arial" w:cs="Arial" w:eastAsia="Arial" w:hAnsi="Arial"/>
          <w:sz w:val="17"/>
          <w:szCs w:val="17"/>
          <w:i w:val="1"/>
          <w:iCs w:val="1"/>
          <w:color w:val="auto"/>
        </w:rPr>
        <w:t xml:space="preserve"> </w:t>
      </w:r>
      <w:r>
        <w:rPr>
          <w:rFonts w:ascii="Arial" w:cs="Arial" w:eastAsia="Arial" w:hAnsi="Arial"/>
          <w:sz w:val="17"/>
          <w:szCs w:val="17"/>
          <w:color w:val="auto"/>
        </w:rPr>
        <w:t>not receive automatic acceleration of vesting and exercisability, although this treatment may be provided for in an award agreement.</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40" w:firstLine="551"/>
        <w:spacing w:after="0" w:line="242" w:lineRule="auto"/>
        <w:rPr>
          <w:sz w:val="20"/>
          <w:szCs w:val="20"/>
          <w:color w:val="auto"/>
        </w:rPr>
      </w:pPr>
      <w:r>
        <w:rPr>
          <w:rFonts w:ascii="Arial" w:cs="Arial" w:eastAsia="Arial" w:hAnsi="Arial"/>
          <w:sz w:val="18"/>
          <w:szCs w:val="18"/>
          <w:color w:val="auto"/>
        </w:rPr>
        <w:t>Under the 2026 Plan, a change in control is defined to include: (i) the acquisition by any person or company of more than 50% of the combined voting power of our then outstanding stock; (ii) a consummated merger, consolidation or similar transaction in which our stockholders immediately before the transaction do not own, directly or indirectly, more than 50% of the combined voting power of the surviving entity (or the parent of the surviving entity); (iii) a consummated sale, lease, exclusive license or other disposition of all or substantially all of our assets other than to an entity more than 50% of the combined voting power of which is owned by our stockholders; and (iv) an unapproved change in the majority of the board of directors.</w:t>
      </w:r>
    </w:p>
    <w:p>
      <w:pPr>
        <w:spacing w:after="0" w:line="71" w:lineRule="exact"/>
        <w:rPr>
          <w:sz w:val="20"/>
          <w:szCs w:val="20"/>
          <w:color w:val="auto"/>
        </w:rPr>
      </w:pPr>
    </w:p>
    <w:p>
      <w:pPr>
        <w:ind w:left="120" w:right="740" w:firstLine="551"/>
        <w:spacing w:after="0" w:line="271"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stock awards under our 2026 Plan other than by will, the laws of descent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or as otherwise provided under our 2026 Plan.</w:t>
      </w:r>
    </w:p>
    <w:p>
      <w:pPr>
        <w:spacing w:after="0" w:line="154"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i w:val="1"/>
          <w:iCs w:val="1"/>
          <w:color w:val="auto"/>
        </w:rPr>
        <w:t>2026 Plan Amendment or Termination</w:t>
      </w:r>
      <w:r>
        <w:rPr>
          <w:rFonts w:ascii="Arial" w:cs="Arial" w:eastAsia="Arial" w:hAnsi="Arial"/>
          <w:sz w:val="18"/>
          <w:szCs w:val="18"/>
          <w:color w:val="auto"/>
        </w:rPr>
        <w:t>. Our board of directors has the authority to amend, suspend, or terminate our 2026 Plan,</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that such 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adopted our 2026 Plan. No stock awards may be granted under our 2026 Plan while it is suspended or after it is terminated.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2026 Employee Stock Purchase Plan</w:t>
      </w:r>
    </w:p>
    <w:p>
      <w:pPr>
        <w:spacing w:after="0" w:line="10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Our board of directors adopted, and our stockholders approved, our 2026 ESPP in September 2025. The 2026 ESPP will become effective immediately prior to the execution of the underwriting agreement for this offering. The purpose of the 2026 ESPP is to secure and retain the services of new employees, to retain the services of existing employees, and to provide incentives for such individuals to exert maximum efforts toward our success and that of our affiliates. Our 2026 ESPP will include two components. One component will be designed to allow eligible U.S. employees to purchase our shares of Class A common stock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U.S. while complying with applicable foreign laws.</w:t>
      </w:r>
    </w:p>
    <w:p>
      <w:pPr>
        <w:spacing w:after="0" w:line="180" w:lineRule="exact"/>
        <w:rPr>
          <w:sz w:val="20"/>
          <w:szCs w:val="20"/>
          <w:color w:val="auto"/>
        </w:rPr>
      </w:pPr>
    </w:p>
    <w:p>
      <w:pPr>
        <w:ind w:left="120" w:right="40" w:firstLine="551"/>
        <w:spacing w:after="0" w:line="257"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Following the closing of this offering, the 2026 ESPP authorizes the issuance of shares of our Class A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under purchase rights granted to our employees or to employees of any of our designated affiliates. The number of shares of our Class A common stock reserved for issuance will automatically increase on January 1 of each calendar year for a period of up to ten years beginning on January 1, 2027 and ending on (and including) January 1, 2036, by the lesser of (i) 1% of the total number of shares of our capital stock outstanding on the last day of the calendar month before the date of the automatic increase, and (ii)   shares; provided that before the date of any such increase, our board of directors may determine that such increase will be less than the amount set forth in clauses (i) and (ii). As of the date hereof, no shares of our Class A common stock have been purchased under the 2026 ESPP.</w:t>
      </w:r>
    </w:p>
    <w:p>
      <w:pPr>
        <w:spacing w:after="0" w:line="168" w:lineRule="exact"/>
        <w:rPr>
          <w:sz w:val="20"/>
          <w:szCs w:val="20"/>
          <w:color w:val="auto"/>
        </w:rPr>
      </w:pPr>
    </w:p>
    <w:p>
      <w:pPr>
        <w:ind w:left="120" w:firstLine="551"/>
        <w:spacing w:after="0"/>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duly authorized committee thereof, will administer our 2026 ESPP. Our board may</w:t>
      </w:r>
      <w:r>
        <w:rPr>
          <w:rFonts w:ascii="Arial" w:cs="Arial" w:eastAsia="Arial" w:hAnsi="Arial"/>
          <w:sz w:val="18"/>
          <w:szCs w:val="18"/>
          <w:i w:val="1"/>
          <w:iCs w:val="1"/>
          <w:color w:val="auto"/>
        </w:rPr>
        <w:t xml:space="preserve"> </w:t>
      </w:r>
      <w:r>
        <w:rPr>
          <w:rFonts w:ascii="Arial" w:cs="Arial" w:eastAsia="Arial" w:hAnsi="Arial"/>
          <w:sz w:val="18"/>
          <w:szCs w:val="18"/>
          <w:color w:val="auto"/>
        </w:rPr>
        <w:t>delegate concurrent authority to administer the 2026 ESPP to our compensation committee under the terms of the compensation committee’s charter. The 2026 ESPP is implemented through a series of offerings under which eligible employees are granted purchase rights to purchase shares of our common stock on specified dates during such offerings. Under the 2026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2026 ESPP may be terminated under certain circumstances.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5" w:right="4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80" w:firstLine="551"/>
        <w:spacing w:after="0" w:line="259" w:lineRule="auto"/>
        <w:rPr>
          <w:sz w:val="20"/>
          <w:szCs w:val="20"/>
          <w:color w:val="auto"/>
        </w:rPr>
      </w:pPr>
      <w:r>
        <w:rPr>
          <w:rFonts w:ascii="Arial" w:cs="Arial" w:eastAsia="Arial" w:hAnsi="Arial"/>
          <w:sz w:val="17"/>
          <w:szCs w:val="17"/>
          <w:i w:val="1"/>
          <w:iCs w:val="1"/>
          <w:color w:val="auto"/>
        </w:rPr>
        <w:t>Payroll Deductions</w:t>
      </w:r>
      <w:r>
        <w:rPr>
          <w:rFonts w:ascii="Arial" w:cs="Arial" w:eastAsia="Arial" w:hAnsi="Arial"/>
          <w:sz w:val="17"/>
          <w:szCs w:val="17"/>
          <w:color w:val="auto"/>
        </w:rPr>
        <w:t>. Generally, all regular employees, including executive officers, employed by us or by any of our designated</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affiliates, will be eligible to participate in the 2026 ESPP and to contribute, normally through payroll deductions, up to a maximum percentage of their earnings (as defined in the 2026 ESPP) or up to a set dollar amount for the purchase of our common stock under the 2026 ESPP. Unless otherwise determined by our board of directors, common stock will be purchased for the accounts of employees participating in the 2026 ESPP at a price per share that is at least the lesser of (i) 85% of the fair market value of a share of our common stock on the first date of an offering; or (ii) 85% of the fair market value of a share of our common stock on the date of purchase.</w:t>
      </w:r>
    </w:p>
    <w:p>
      <w:pPr>
        <w:spacing w:after="0" w:line="165"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i w:val="1"/>
          <w:iCs w:val="1"/>
          <w:color w:val="auto"/>
        </w:rPr>
        <w:t>Limitations</w:t>
      </w:r>
      <w:r>
        <w:rPr>
          <w:rFonts w:ascii="Arial" w:cs="Arial" w:eastAsia="Arial" w:hAnsi="Arial"/>
          <w:sz w:val="18"/>
          <w:szCs w:val="18"/>
          <w:color w:val="auto"/>
        </w:rPr>
        <w:t>. Employees may have to satisfy one or more of the following service requirements before participating in the 2026</w:t>
      </w:r>
      <w:r>
        <w:rPr>
          <w:rFonts w:ascii="Arial" w:cs="Arial" w:eastAsia="Arial" w:hAnsi="Arial"/>
          <w:sz w:val="18"/>
          <w:szCs w:val="18"/>
          <w:i w:val="1"/>
          <w:iCs w:val="1"/>
          <w:color w:val="auto"/>
        </w:rPr>
        <w:t xml:space="preserve"> </w:t>
      </w:r>
      <w:r>
        <w:rPr>
          <w:rFonts w:ascii="Arial" w:cs="Arial" w:eastAsia="Arial" w:hAnsi="Arial"/>
          <w:sz w:val="18"/>
          <w:szCs w:val="18"/>
          <w:color w:val="auto"/>
        </w:rPr>
        <w:t>ESPP, as determined by our board of directors, including: (i) customary employment with us or one of our affiliates for more than 20 hours per week and more than five months per calendar year; or (ii) continuous employment with us or one of our affiliates for a minimum period of time (not to exceed two years). No employee may purchase shares under the 2026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2026 ESPP if immediately after such rights are granted, such employee has voting power over 5% or more of our outstanding capital stock measured by vote or value under Section 424(d) of the Code.</w:t>
      </w:r>
    </w:p>
    <w:p>
      <w:pPr>
        <w:spacing w:after="0" w:line="180"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that there occurs a change in our capital structure through such actions as a stock split,</w:t>
      </w:r>
      <w:r>
        <w:rPr>
          <w:rFonts w:ascii="Arial" w:cs="Arial" w:eastAsia="Arial" w:hAnsi="Arial"/>
          <w:sz w:val="18"/>
          <w:szCs w:val="18"/>
          <w:i w:val="1"/>
          <w:iCs w:val="1"/>
          <w:color w:val="auto"/>
        </w:rPr>
        <w:t xml:space="preserve"> </w:t>
      </w:r>
      <w:r>
        <w:rPr>
          <w:rFonts w:ascii="Arial" w:cs="Arial" w:eastAsia="Arial" w:hAnsi="Arial"/>
          <w:sz w:val="18"/>
          <w:szCs w:val="18"/>
          <w:color w:val="auto"/>
        </w:rPr>
        <w:t>merger, 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number of shares reserved under the 2026 ESPP; (ii) the maximum number of shares by which the share reserve may increase automatically each year; (iii) the number of shares and purchase price of all outstanding purchase rights; and (iv) the number of shares that are subject to purchase limits under ongoing offerings.</w:t>
      </w:r>
    </w:p>
    <w:p>
      <w:pPr>
        <w:spacing w:after="0" w:line="17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certain significant corporate transactions, including the consummation, in a single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or in a series of related transactions, of any one or more of the following events: (i) a sale of all or substantially all of our assets; (ii) a sale or disposition of more than 50% of our outstanding securities; (iii) a merger or consolidation where we do not survive the transaction; and (iv)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2026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before such corporate transaction, and such purchase rights will terminate immediately after such purchase.</w:t>
      </w:r>
    </w:p>
    <w:p>
      <w:pPr>
        <w:spacing w:after="0" w:line="183"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i w:val="1"/>
          <w:iCs w:val="1"/>
          <w:color w:val="auto"/>
        </w:rPr>
        <w:t>2026 ESPP Amendment or Termination</w:t>
      </w:r>
      <w:r>
        <w:rPr>
          <w:rFonts w:ascii="Arial" w:cs="Arial" w:eastAsia="Arial" w:hAnsi="Arial"/>
          <w:sz w:val="18"/>
          <w:szCs w:val="18"/>
          <w:color w:val="auto"/>
        </w:rPr>
        <w:t>. Our board of directors has the authority to amend or terminate our 2026 ESPP,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except in certain circumstances such amendment or termination may not materially impair any outstanding purchase rights without the holder’s consent. We will obtain stockholder approval of any amendment to our 2026 ESPP as required by applicable law or listing requirements.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102" w:lineRule="exact"/>
        <w:rPr>
          <w:sz w:val="20"/>
          <w:szCs w:val="20"/>
          <w:color w:val="auto"/>
        </w:rPr>
      </w:pPr>
    </w:p>
    <w:p>
      <w:pPr>
        <w:ind w:left="120" w:right="200" w:firstLine="551"/>
        <w:spacing w:after="0" w:line="271" w:lineRule="auto"/>
        <w:rPr>
          <w:sz w:val="20"/>
          <w:szCs w:val="20"/>
          <w:color w:val="auto"/>
        </w:rPr>
      </w:pPr>
      <w:r>
        <w:rPr>
          <w:rFonts w:ascii="Arial" w:cs="Arial" w:eastAsia="Arial" w:hAnsi="Arial"/>
          <w:sz w:val="18"/>
          <w:szCs w:val="18"/>
          <w:color w:val="auto"/>
        </w:rPr>
        <w:t>Our board of directors and stockholders adopted the 2016 Plan in July 2016. It was most recently amended in October 2023. The 2016 Plan provides for the grant of ISOs to employees, including</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employees of any parent or subsidiary, and for the grant of NSOs, stock appreciation rights, restricted stock awards, restricted stock unit awards, and other forms of stock awards to employees, directors and consultants, including employees and consultants of our affiliates. Once the 2026 Plan becomes effective, no further grants will be made under the 2016 Plan. Any outstanding stock awards granted under the 2016 Plan will remain subject to the terms of the 2016 Plan and applicable award agreements.</w:t>
      </w:r>
    </w:p>
    <w:p>
      <w:pPr>
        <w:spacing w:after="0" w:line="174"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As of September 30, 2025, stock options to purchase 1,196,398 shares of our common stock remained outstanding under the 2016 Plan and 1,235,991 shares of our common stock remained available for future issuance under the 2016 Plan. In the event that an outstanding stock option or other stock award for any reason expires or is canceled, the shares allocable to such stock award will be added to the number of shares then available for issuance under the 2026 Plan. Further, we expect that any shares remaining available for issuance under the 2016 Plan when the 2026 Plan becomes effective will become available for issuance under the 2026 Plan.</w:t>
      </w:r>
    </w:p>
    <w:p>
      <w:pPr>
        <w:spacing w:after="0" w:line="176"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duly authorized committee of our board of directors to which the board delegates</w:t>
      </w:r>
      <w:r>
        <w:rPr>
          <w:rFonts w:ascii="Arial" w:cs="Arial" w:eastAsia="Arial" w:hAnsi="Arial"/>
          <w:sz w:val="18"/>
          <w:szCs w:val="18"/>
          <w:i w:val="1"/>
          <w:iCs w:val="1"/>
          <w:color w:val="auto"/>
        </w:rPr>
        <w:t xml:space="preserve"> </w:t>
      </w:r>
      <w:r>
        <w:rPr>
          <w:rFonts w:ascii="Arial" w:cs="Arial" w:eastAsia="Arial" w:hAnsi="Arial"/>
          <w:sz w:val="18"/>
          <w:szCs w:val="18"/>
          <w:color w:val="auto"/>
        </w:rPr>
        <w:t>its administrative authority, administers the 2016 Plan and is referred to as the “plan administrator” herein. Under the 2016 Plan, the plan administrator has the authority to, among other things, determine who will be granted stock awards, to determine the terms and conditions of each stock award (including the number of shares subject to the stock award, when the stock award will vest and, as applicable, become exercisable), to accelerate the time(s) at which a stock award may vest or be exercised, and to construe and interpret the terms of the 2016 Plan and stock awards granted thereunder.</w:t>
      </w:r>
    </w:p>
    <w:p>
      <w:pPr>
        <w:spacing w:after="0" w:line="179" w:lineRule="exact"/>
        <w:rPr>
          <w:sz w:val="20"/>
          <w:szCs w:val="20"/>
          <w:color w:val="auto"/>
        </w:rPr>
      </w:pPr>
    </w:p>
    <w:p>
      <w:pPr>
        <w:ind w:left="120" w:right="200" w:firstLine="551"/>
        <w:spacing w:after="0" w:line="247" w:lineRule="auto"/>
        <w:rPr>
          <w:sz w:val="20"/>
          <w:szCs w:val="20"/>
          <w:color w:val="auto"/>
        </w:rPr>
      </w:pPr>
      <w:r>
        <w:rPr>
          <w:rFonts w:ascii="Arial" w:cs="Arial" w:eastAsia="Arial" w:hAnsi="Arial"/>
          <w:sz w:val="18"/>
          <w:szCs w:val="18"/>
          <w:color w:val="auto"/>
        </w:rPr>
        <w:t>Under the 2016 Plan, the plan administrator also generally has the authority to effect, with the consent of any adversely affected participant, (i) the reduction of the exercise, purchase, or strike price of any outstanding stock award; (ii) the cancellation of any outstanding stock award and the grant in substitution therefor of a new stock award, cash, or other consideration; or (iii) any other action that is treated as a repricing under generally accepted accounting principles.</w:t>
      </w:r>
    </w:p>
    <w:p>
      <w:pPr>
        <w:spacing w:after="0" w:line="17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ISOs and NSOs are granted under stock option agreements adopted by the plan administrator.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determines the exercise price for stock options, within the terms and conditions of the 2016 Plan, provided that the exercise price of a stock option generally cannot be less than 100% of the fair market value of our common stock on the date of grant (or 110% of the fair market value for certain significant stockholders). Options granted under the 2016 Plan vest at the rate specified in the stock option agreement as determined by the plan administrator.</w:t>
      </w:r>
    </w:p>
    <w:p>
      <w:pPr>
        <w:spacing w:after="0" w:line="17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plan administrator determines the term of stock options granted under the 2016 Plan, up to a maximum of ten years (or five years, for certain significant stockholders).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or the sale of stock acquired upon exercise of the option would violate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60" w:firstLine="551"/>
        <w:spacing w:after="0" w:line="244" w:lineRule="auto"/>
        <w:rPr>
          <w:sz w:val="20"/>
          <w:szCs w:val="20"/>
          <w:color w:val="auto"/>
        </w:rPr>
      </w:pPr>
      <w:r>
        <w:rPr>
          <w:rFonts w:ascii="Arial" w:cs="Arial" w:eastAsia="Arial" w:hAnsi="Arial"/>
          <w:sz w:val="18"/>
          <w:szCs w:val="18"/>
          <w:color w:val="auto"/>
        </w:rPr>
        <w:t>Acceptable consideration for the purchase of our Class A common stock issued upon the exercise of a stock option will be determined by the plan administrator and may include (i) cash, check, bank draft, or money order payable to us, (ii) a broker-assisted cashless exercise, (iii) by delivery to us (either by actual delivery or attestation) of shares of Class A common stock, (iv) a net exercise of the option if it is an NSO, (v) a deferred payment arrangement, or (vi) other legal consideration approved by the plan administrator and specified in the applicable stock option agreement.</w:t>
      </w:r>
    </w:p>
    <w:p>
      <w:pPr>
        <w:spacing w:after="0" w:line="176" w:lineRule="exact"/>
        <w:rPr>
          <w:sz w:val="20"/>
          <w:szCs w:val="20"/>
          <w:color w:val="auto"/>
        </w:rPr>
      </w:pPr>
    </w:p>
    <w:p>
      <w:pPr>
        <w:ind w:left="120" w:right="240" w:firstLine="551"/>
        <w:spacing w:after="0" w:line="247"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or the laws of descent and distribution. Subject to approval of the plan administrator (i) an option may be transferred pursuant to a domestic relations order, official marital settlement agreement, or other divorce or separation instrument and (ii) an optionholder may designate a beneficiary who may exercise the option following the optionholder’s death.</w:t>
      </w:r>
    </w:p>
    <w:p>
      <w:pPr>
        <w:spacing w:after="0" w:line="174"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The plan administrator may grant options that can be exercised before the shares subject to the option have vested. If a participant exercises unvested shares subject to an option, the participant will receive unvested (i.e. restricted) shares subject to a right of repurchase in favor of us that will lapse over the original vesting schedule for the option while the participant remains in continuous service.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w:t>
      </w:r>
    </w:p>
    <w:p>
      <w:pPr>
        <w:spacing w:after="0" w:line="179"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RSU awards are granted under restricted stock unit award agreements adopted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RSU awards may be granted in consideration for any form of legal consideration that may be acceptable to our board of directors and permissible under applicable law. An RSU award may be settled by cash, delivery of shares of our common stock, a combination of cash and shares of our common stock as determined by the plan administrator, and as set forth in the RSU agreement. Additionally, dividend equivalents may be credited in respect of shares covered by a RSU. Except as otherwise provided in the applicable award agreement, or other written agreement between us and the participant, restricted stock unit awards that have not vested will be forfeited once the participant’s continuous service ends for any reason.</w:t>
      </w:r>
    </w:p>
    <w:p>
      <w:pPr>
        <w:spacing w:after="0" w:line="185" w:lineRule="exact"/>
        <w:rPr>
          <w:sz w:val="20"/>
          <w:szCs w:val="20"/>
          <w:color w:val="auto"/>
        </w:rPr>
      </w:pPr>
    </w:p>
    <w:p>
      <w:pPr>
        <w:ind w:left="120" w:right="160" w:firstLine="551"/>
        <w:spacing w:after="0" w:line="253"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of certain changes in our capital structure, such as a stock split, reverse stock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and proportionate adjustments will be made to the class(es) and number of shares and exercise price, strike price, or purchase price, if applicable, of all outstanding stock awards.</w:t>
      </w:r>
    </w:p>
    <w:p>
      <w:pPr>
        <w:spacing w:after="0" w:line="169" w:lineRule="exact"/>
        <w:rPr>
          <w:sz w:val="20"/>
          <w:szCs w:val="20"/>
          <w:color w:val="auto"/>
        </w:rPr>
      </w:pPr>
    </w:p>
    <w:p>
      <w:pPr>
        <w:ind w:left="120" w:right="280" w:firstLine="551"/>
        <w:spacing w:after="0" w:line="247"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The 2016 Plan provides that in the event of a “corporate transaction,” unless otherwise provided in an</w:t>
      </w:r>
      <w:r>
        <w:rPr>
          <w:rFonts w:ascii="Arial" w:cs="Arial" w:eastAsia="Arial" w:hAnsi="Arial"/>
          <w:sz w:val="18"/>
          <w:szCs w:val="18"/>
          <w:i w:val="1"/>
          <w:iCs w:val="1"/>
          <w:color w:val="auto"/>
        </w:rPr>
        <w:t xml:space="preserve"> </w:t>
      </w:r>
      <w:r>
        <w:rPr>
          <w:rFonts w:ascii="Arial" w:cs="Arial" w:eastAsia="Arial" w:hAnsi="Arial"/>
          <w:sz w:val="18"/>
          <w:szCs w:val="18"/>
          <w:color w:val="auto"/>
        </w:rPr>
        <w:t>award agreement or other written agreement between us and the award holder or unless otherwise expressly provided by our board of directors at the time of grant of a stock award, our board of directors may take one or more of the following actions with respect to such stock awards:</w:t>
      </w:r>
    </w:p>
    <w:p>
      <w:pPr>
        <w:spacing w:after="0" w:line="79" w:lineRule="exact"/>
        <w:rPr>
          <w:sz w:val="20"/>
          <w:szCs w:val="20"/>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stock award by a surviving or acquiring corporation;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us to the surviving or acquiring corporation;</w:t>
      </w:r>
    </w:p>
    <w:p>
      <w:pPr>
        <w:spacing w:after="0" w:line="117" w:lineRule="exact"/>
        <w:rPr>
          <w:rFonts w:ascii="Arial" w:cs="Arial" w:eastAsia="Arial" w:hAnsi="Arial"/>
          <w:sz w:val="18"/>
          <w:szCs w:val="18"/>
          <w:color w:val="auto"/>
        </w:rPr>
      </w:pPr>
    </w:p>
    <w:p>
      <w:pPr>
        <w:ind w:left="880" w:right="200" w:hanging="224"/>
        <w:spacing w:after="0" w:line="271"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accelerate the vesting, in whole or in part, of the stock award and provide for its termination if not exercised (if applicable) at or before the effective time of the corporate transaction;</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rights held by us;</w:t>
      </w:r>
    </w:p>
    <w:p>
      <w:pPr>
        <w:spacing w:after="0" w:line="117" w:lineRule="exact"/>
        <w:rPr>
          <w:rFonts w:ascii="Arial" w:cs="Arial" w:eastAsia="Arial" w:hAnsi="Arial"/>
          <w:sz w:val="18"/>
          <w:szCs w:val="18"/>
          <w:color w:val="auto"/>
        </w:rPr>
      </w:pPr>
    </w:p>
    <w:p>
      <w:pPr>
        <w:ind w:left="880" w:hanging="224"/>
        <w:spacing w:after="0" w:line="271"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cancel or arrange for the cancellation of the stock award, to the extent not vested or not exercised before the effective time of the corporate transaction, in exchange for such cash</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consideration (including no consideration) as our board of directors, in its sole discretion, may consider appropriate; and</w:t>
      </w:r>
    </w:p>
    <w:p>
      <w:pPr>
        <w:spacing w:after="0" w:line="117" w:lineRule="exact"/>
        <w:rPr>
          <w:sz w:val="20"/>
          <w:szCs w:val="20"/>
          <w:color w:val="auto"/>
        </w:rPr>
      </w:pPr>
    </w:p>
    <w:p>
      <w:pPr>
        <w:ind w:left="880" w:hanging="224"/>
        <w:spacing w:after="0" w:line="253"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make a payment equal to the excess, if any, of (i) the value of the property the participant would have received on exercise of the stock award immediately before the effective time of the corporate transaction, over (ii) any exercise price payable by the participant in connection with the exercise.</w:t>
      </w:r>
    </w:p>
    <w:p>
      <w:pPr>
        <w:spacing w:after="0" w:line="169"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color w:val="auto"/>
        </w:rPr>
        <w:t>The plan administrator is not obligated to treat all stock awards or portions of stock awards in the same manner and is not obligated to treat all participants in the same manner.</w:t>
      </w:r>
    </w:p>
    <w:p>
      <w:pPr>
        <w:spacing w:after="0" w:line="154"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Under the 2016 Plan, a “corporate transaction” is generally defined as the consummation, in a single transaction or in a series of related transactions, of any one or more of the following events: (i) a sale or other disposition of all or substantially all of our assets, (ii) the sale or other disposition of more than 50% of our outstanding securities, (iii) a merger or consolidation or similar transaction where we do not survive the transaction, or (iv) a merger, consolidation or similar transaction where we do survive the transaction but the shares of our common stock outstanding immediately before such transaction are converted or exchanged into other property by virtue of the transaction.</w:t>
      </w:r>
    </w:p>
    <w:p>
      <w:pPr>
        <w:spacing w:after="0" w:line="179"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i w:val="1"/>
          <w:iCs w:val="1"/>
          <w:color w:val="auto"/>
        </w:rPr>
        <w:t xml:space="preserve">2016 Plan Amendment or Termination. </w:t>
      </w:r>
      <w:r>
        <w:rPr>
          <w:rFonts w:ascii="Arial" w:cs="Arial" w:eastAsia="Arial" w:hAnsi="Arial"/>
          <w:sz w:val="18"/>
          <w:szCs w:val="18"/>
          <w:color w:val="auto"/>
        </w:rPr>
        <w:t>Our board of directors has the authority to amend, suspend, or terminate the 2016 Plan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provided that such action does not impair the existing rights of any participant without such participant’s written consent. Certain material amendments also require the approval of our stockholders. Unless terminated sooner, the 2016 Plan will automatically terminate on July 4, 2026. No stock awards may be granted under the 2016 Plan while it is suspended or after it is terminated. Once the 2026 Plan is effective, no further grants will be made under the 2016 Plan.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104" w:lineRule="exact"/>
        <w:rPr>
          <w:sz w:val="20"/>
          <w:szCs w:val="20"/>
          <w:color w:val="auto"/>
        </w:rPr>
      </w:pPr>
    </w:p>
    <w:p>
      <w:pPr>
        <w:jc w:val="both"/>
        <w:ind w:left="120" w:right="260" w:firstLine="551"/>
        <w:spacing w:after="0" w:line="247" w:lineRule="auto"/>
        <w:rPr>
          <w:sz w:val="20"/>
          <w:szCs w:val="20"/>
          <w:color w:val="auto"/>
        </w:rPr>
      </w:pPr>
      <w:r>
        <w:rPr>
          <w:rFonts w:ascii="Arial" w:cs="Arial" w:eastAsia="Arial" w:hAnsi="Arial"/>
          <w:sz w:val="18"/>
          <w:szCs w:val="18"/>
          <w:color w:val="auto"/>
        </w:rPr>
        <w:t>Immediately prior to the closing of this offering, our amended and restated certificate of incorporation will contain provisions that limit the liability of our current and former directors for monetary damages to the fullest extent permitted by Delaware law. Delaware law allows a corporation to provide that its directors will not be personally liable for monetary damages for any breach of fiduciary duties as directors, except liability for:</w:t>
      </w:r>
    </w:p>
    <w:p>
      <w:pPr>
        <w:spacing w:after="0" w:line="79" w:lineRule="exact"/>
        <w:rPr>
          <w:sz w:val="20"/>
          <w:szCs w:val="20"/>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12" w:lineRule="exact"/>
        <w:rPr>
          <w:sz w:val="20"/>
          <w:szCs w:val="20"/>
          <w:color w:val="auto"/>
        </w:rPr>
      </w:pPr>
    </w:p>
    <w:p>
      <w:pPr>
        <w:ind w:left="120" w:right="480" w:firstLine="551"/>
        <w:spacing w:after="0" w:line="271"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54"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Our amended and restated certificate of incorporation that will be in effect immediately prior to the closing of this offering will authorize us to indemnify our directors, officers, employees, and other agents to the fullest extent permitted by Delaware law. Our amended and restated bylaws that will be in effect immediately prior to the closing of this offering will provide that we are required to indemnify our directors and officers to the fullest extent permitted by Delaware law and may indemnify our other employees and agents. Our amended and restated bylaws that will be in effect immediately prior to the closing of this offering will also provide that, on satisfaction of certain conditions, we will advance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expenses incurred by a director or officer in advance of the final disposition of any action or proceeding, and permit us to secure insurance on behalf of any director, officer, employee, or other agent for any liability arising out of his or her actions in that capacity regardless of whether we would otherwise be permitted to indemnify him or her under the provisions of Delaware law. We have entered into, or will enter into in connection with this offering,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our amended and restated certificate of incorporation and these amended and restated bylaw provisions and indemnification agreements are necessary to attract and retain qualified persons as directors and officers. We also maintain customary directors’ and officers’ liability insurance.</w:t>
      </w:r>
    </w:p>
    <w:p>
      <w:pPr>
        <w:spacing w:after="0" w:line="180"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76"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12"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prospectus, below we describe transactions since January 1, 2022 and each currently proposed transaction in which:</w:t>
      </w:r>
    </w:p>
    <w:p>
      <w:pPr>
        <w:spacing w:after="0" w:line="59" w:lineRule="exact"/>
        <w:rPr>
          <w:sz w:val="20"/>
          <w:szCs w:val="20"/>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ind w:left="880" w:right="40" w:hanging="224"/>
        <w:spacing w:after="0" w:line="253"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69" w:lineRule="exact"/>
        <w:rPr>
          <w:sz w:val="20"/>
          <w:szCs w:val="20"/>
          <w:color w:val="auto"/>
        </w:rPr>
      </w:pPr>
    </w:p>
    <w:p>
      <w:pPr>
        <w:jc w:val="both"/>
        <w:ind w:left="120" w:right="720" w:firstLine="551"/>
        <w:spacing w:after="0" w:line="253" w:lineRule="auto"/>
        <w:rPr>
          <w:sz w:val="20"/>
          <w:szCs w:val="20"/>
          <w:color w:val="auto"/>
        </w:rPr>
      </w:pPr>
      <w:r>
        <w:rPr>
          <w:rFonts w:ascii="Arial" w:cs="Arial" w:eastAsia="Arial" w:hAnsi="Arial"/>
          <w:sz w:val="18"/>
          <w:szCs w:val="18"/>
          <w:color w:val="auto"/>
        </w:rPr>
        <w:t>We believe the terms obtained or consideration that we paid or received, as applicable, in connection with the transactions described below were comparable to terms available or the amounts that would be paid or received, as applicable in arm’s length transactions.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Tender Offer</w:t>
      </w:r>
    </w:p>
    <w:p>
      <w:pPr>
        <w:spacing w:after="0" w:line="104"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8"/>
          <w:szCs w:val="18"/>
          <w:color w:val="auto"/>
        </w:rPr>
        <w:t>We facilitated a tender offer in March 2025, whereby certain of our employees sold shares of our common stock to a new investor, or the 2025 Tender Offer. Three of our executive officers, Erin Lantz, Kunal Mehta, and Vipul Sharma, each sold shares of our common stock in the 2025 Tender Offer for a purchase price of $3,316,440.96, $1,504,287.36, and $4,425,966.72, respectively.</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are party to an amended and restated investors’ rights agreement, or the IRA, which provides, among other things, that certain our redeemable convertible preferred stock, including entities affiliated with Accel Growth Fund IV L.P., GV 2019, L.P., and Sequoia Capital U.S. Venture Fund XV, L.P., each of which holds more than 5% of our outstanding capital stock, have the right to demand that we file a registration statement or request that their shares of our capital stock be included on a registration statement that we are otherwise filing. The IRA also provides certain of these stockholders with information rights, which will terminate upon the closing of this offering, and a right of first refusal with regard to certain issuances of our capital stock, which will not apply to, and will terminate upon, the closing of this offering. See the section titled “Description of Capital Stock—Registration Rights” for additional information regarding these registration rights.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 of First Refusal</w:t>
      </w:r>
    </w:p>
    <w:p>
      <w:pPr>
        <w:spacing w:after="0" w:line="104"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Pursuant to our equity compensation plans and certain agreements with our stockholders, including an amended and restated right of first refusal and co-sale agreement with certain holders of our capital stock, including entities affiliated with Accel Growth Fund IV L.P., GV 2019, L.P., and Sequoia Capital U.S. Venture Fund XV, L.P., each of which holds more than 5% of our outstanding capital stock, Peter Colis, our Chief Executive Officer and member of our board of directors, and Lingke Wang, our President and member of our board of directors, we or our assignees have a right to purchase shares of our capital stock which certain stockholders propose to sell to other parties. This right under the right of first refusal and co-sale agreement will terminate upon the consummation of this offering.</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Agreement</w:t>
      </w:r>
    </w:p>
    <w:p>
      <w:pPr>
        <w:spacing w:after="0" w:line="104" w:lineRule="exact"/>
        <w:rPr>
          <w:sz w:val="20"/>
          <w:szCs w:val="20"/>
          <w:color w:val="auto"/>
        </w:rPr>
      </w:pPr>
    </w:p>
    <w:p>
      <w:pPr>
        <w:ind w:left="120" w:right="440" w:firstLine="551"/>
        <w:spacing w:after="0" w:line="271" w:lineRule="auto"/>
        <w:rPr>
          <w:sz w:val="20"/>
          <w:szCs w:val="20"/>
          <w:color w:val="auto"/>
        </w:rPr>
      </w:pPr>
      <w:r>
        <w:rPr>
          <w:rFonts w:ascii="Arial" w:cs="Arial" w:eastAsia="Arial" w:hAnsi="Arial"/>
          <w:sz w:val="18"/>
          <w:szCs w:val="18"/>
          <w:color w:val="auto"/>
        </w:rPr>
        <w:t>We are party to an amended and restated voting agreement under which certain holders of our capital stock, including entities affiliated with Accel Growth Fund IV L.P., GV 2019, L.P., and Sequoia</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5" w:right="47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20"/>
        <w:spacing w:after="0" w:line="255" w:lineRule="auto"/>
        <w:rPr>
          <w:sz w:val="20"/>
          <w:szCs w:val="20"/>
          <w:color w:val="auto"/>
        </w:rPr>
      </w:pPr>
      <w:r>
        <w:rPr>
          <w:rFonts w:ascii="Arial" w:cs="Arial" w:eastAsia="Arial" w:hAnsi="Arial"/>
          <w:sz w:val="17"/>
          <w:szCs w:val="17"/>
          <w:color w:val="auto"/>
        </w:rPr>
        <w:t>Capital U.S. Venture Fund XV, L.P., each of which holds more than 5% of our outstanding capital stock, Peter Colis, our Chief Executive Officer and member of our board of directors, and Lingke Wang, our President and member of our board of directors, have agreed as to the manner in which they will vote their shares of our capital stock on certain matters, including with respect to the election of directors.</w:t>
      </w:r>
    </w:p>
    <w:p>
      <w:pPr>
        <w:spacing w:after="0" w:line="2" w:lineRule="exact"/>
        <w:rPr>
          <w:sz w:val="20"/>
          <w:szCs w:val="20"/>
          <w:color w:val="auto"/>
        </w:rPr>
      </w:pPr>
    </w:p>
    <w:p>
      <w:pPr>
        <w:jc w:val="both"/>
        <w:ind w:left="120" w:right="200"/>
        <w:spacing w:after="0" w:line="250" w:lineRule="auto"/>
        <w:rPr>
          <w:sz w:val="20"/>
          <w:szCs w:val="20"/>
          <w:color w:val="auto"/>
        </w:rPr>
      </w:pPr>
      <w:r>
        <w:rPr>
          <w:rFonts w:ascii="Arial" w:cs="Arial" w:eastAsia="Arial" w:hAnsi="Arial"/>
          <w:sz w:val="18"/>
          <w:szCs w:val="18"/>
          <w:color w:val="auto"/>
        </w:rPr>
        <w:t>The voting agreement will terminate upon the closing of this offering, and none of our stockholders will have any special rights regarding the election or designation of members of our board of directors.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104"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We intend to enter into confirmatory offer letters with each of our named executive officers, which provide for an annual base salary, bonus opportunity, and standard employee benefits generally available to our employees. For a description of these agreements, see the section titled “Executive Compensation—Narrative to the Summary Compensation Table—Agreements with Our Named Executive Officers.”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0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amended and restated certificate of incorporation that will be in effect immediately prior to the closing of this offering will contain provisions limiting the liability of directors, and our amended and restated bylaws that will be in effect on the closing of this offering will provide that we will indemnify each of our directors and officers to the fullest extent permitted under Delaware law. Our amended and restated certificate of incorporation and amended and restated bylaws that will be in effect on the closing of this offering will also provide our board of directors with discretion to indemnify our employees and other agents when determined appropriate by the board. In addition, we will enter into an indemnification agreement with each of our directors and executive officers, which requires us to indemnify them in certain circumstances. For more information regarding these agreements, see the section titled “Executive Compensation—Limitations of Liability and Indemnification Matters.”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04" w:lineRule="exact"/>
        <w:rPr>
          <w:sz w:val="20"/>
          <w:szCs w:val="20"/>
          <w:color w:val="auto"/>
        </w:rPr>
      </w:pPr>
    </w:p>
    <w:p>
      <w:pPr>
        <w:ind w:left="120" w:right="700" w:firstLine="551"/>
        <w:spacing w:after="0" w:line="271" w:lineRule="auto"/>
        <w:rPr>
          <w:sz w:val="20"/>
          <w:szCs w:val="20"/>
          <w:color w:val="auto"/>
        </w:rPr>
      </w:pPr>
      <w:r>
        <w:rPr>
          <w:rFonts w:ascii="Arial" w:cs="Arial" w:eastAsia="Arial" w:hAnsi="Arial"/>
          <w:sz w:val="18"/>
          <w:szCs w:val="18"/>
          <w:color w:val="auto"/>
        </w:rPr>
        <w:t>Our board of directors intends to adopt a related person transactions policy setting forth the policies and procedures for the identification, review, and approval or ratification of related person transactions.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PRINCIPAL AND SELLING STOCKHOLDERS</w:t>
      </w:r>
    </w:p>
    <w:p>
      <w:pPr>
        <w:spacing w:after="0" w:line="212" w:lineRule="exact"/>
        <w:rPr>
          <w:sz w:val="20"/>
          <w:szCs w:val="20"/>
          <w:color w:val="auto"/>
        </w:rPr>
      </w:pPr>
    </w:p>
    <w:p>
      <w:pPr>
        <w:ind w:left="120" w:right="240" w:firstLine="551"/>
        <w:spacing w:after="0" w:line="271" w:lineRule="auto"/>
        <w:rPr>
          <w:sz w:val="20"/>
          <w:szCs w:val="20"/>
          <w:color w:val="auto"/>
        </w:rPr>
      </w:pPr>
      <w:r>
        <w:rPr>
          <w:rFonts w:ascii="Arial" w:cs="Arial" w:eastAsia="Arial" w:hAnsi="Arial"/>
          <w:sz w:val="18"/>
          <w:szCs w:val="18"/>
          <w:color w:val="auto"/>
        </w:rPr>
        <w:t>The following table sets forth information with respect to the beneficial ownership of our capital stock as of September 30, 2025, and as adjusted to reflect the sale of Class A common stock offered by us and the selling stockholders in this offering for:</w:t>
      </w:r>
    </w:p>
    <w:p>
      <w:pPr>
        <w:spacing w:after="0" w:line="59" w:lineRule="exact"/>
        <w:rPr>
          <w:sz w:val="20"/>
          <w:szCs w:val="20"/>
          <w:color w:val="auto"/>
        </w:rPr>
      </w:pPr>
    </w:p>
    <w:p>
      <w:pPr>
        <w:ind w:left="8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17" w:lineRule="exact"/>
        <w:rPr>
          <w:rFonts w:ascii="Arial" w:cs="Arial" w:eastAsia="Arial" w:hAnsi="Arial"/>
          <w:sz w:val="18"/>
          <w:szCs w:val="18"/>
          <w:color w:val="auto"/>
        </w:rPr>
      </w:pPr>
    </w:p>
    <w:p>
      <w:pPr>
        <w:ind w:left="880" w:right="160" w:hanging="224"/>
        <w:spacing w:after="0" w:line="271"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Class A common stock and/or Class B common stock; and</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selling stockholder.</w:t>
      </w:r>
    </w:p>
    <w:p>
      <w:pPr>
        <w:spacing w:after="0" w:line="212" w:lineRule="exact"/>
        <w:rPr>
          <w:sz w:val="20"/>
          <w:szCs w:val="20"/>
          <w:color w:val="auto"/>
        </w:rPr>
      </w:pPr>
    </w:p>
    <w:p>
      <w:pPr>
        <w:ind w:left="120" w:right="300" w:firstLine="551"/>
        <w:spacing w:after="0" w:line="247" w:lineRule="auto"/>
        <w:rPr>
          <w:sz w:val="20"/>
          <w:szCs w:val="20"/>
          <w:color w:val="auto"/>
        </w:rPr>
      </w:pPr>
      <w:r>
        <w:rPr>
          <w:rFonts w:ascii="Arial" w:cs="Arial" w:eastAsia="Arial" w:hAnsi="Arial"/>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7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Applicable percentage ownership before the offering is based on        shares of Class A common stock and         shares of Class B common stock outstanding as of September 30, 2025, assuming (i) the reclassification of our outstanding common stock as Class A common stock, (ii) the Preferred Conversion, (iii) the Class B Stock Exchange, (iv) the RSU Net Settlement and (v) the Warrant Exercise. Applicable percentage ownership after the offering is based on        shares of Class A common stock and        shares of Class B common stock outstanding immediately after the closing of this offering.</w:t>
      </w:r>
    </w:p>
    <w:p>
      <w:pPr>
        <w:spacing w:after="0" w:line="17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computing the number of shares beneficially owned by a person and the percentage ownership of such person, we deemed to be outstanding all shares subject to options held by the person that are currently exercisable, or exercisable within 60 days of September 30, 2025 or issuable pursuant to RSUs that are subject to vesting and settlement conditions expected to occur within 60 days of September 30, 2025, including the liquidity event-based condition, which will be satisfied upon the effectiveness of the registration statement of which this prospectus forms a part, and after giving effect to the RSU Net Settlement, after withholding         shares to satisfy estimated tax withholding and remittance obligations of $        million (based on the assumed initial offering price set forth on the cover page of this prospectus, and an assumed     % tax withholding rate). However, except as described above, we did not deem such shares outstanding for the purpose of computing the percentage ownership of any other person. In addition, the actual share withholding or repurchase and cancellation amounts, as applicable, and related tax withholding rates will fluctuate based on, among other things, the actual initial public offering price per share in this offering. As a result, the number of shares beneficially owned by any holder included in the table below, as well as the shares of common stock to be sold by certain of our selling stockholders who are offering shares underlying stock options and/or RSUs, may fluctuate based on the actual initial public offering price per share in this offering.</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40"/>
          </w:cols>
          <w:pgMar w:left="320" w:top="455" w:right="5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color w:val="auto"/>
        </w:rPr>
        <w:t>Unless otherwise indicated, the address of each beneficial owner listed below is c/o Ethos Technologies Inc., 90 New Montgomery Street, Suite 1500, San Francisco, CA 94105.</w:t>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Name of</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454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ind w:left="300" w:right="800" w:hanging="179"/>
        <w:spacing w:after="0" w:line="248" w:lineRule="auto"/>
        <w:rPr>
          <w:sz w:val="20"/>
          <w:szCs w:val="20"/>
          <w:color w:val="auto"/>
        </w:rPr>
      </w:pPr>
      <w:r>
        <w:rPr>
          <w:rFonts w:ascii="Arial" w:cs="Arial" w:eastAsia="Arial" w:hAnsi="Arial"/>
          <w:sz w:val="17"/>
          <w:szCs w:val="17"/>
          <w:b w:val="1"/>
          <w:bCs w:val="1"/>
          <w:color w:val="auto"/>
        </w:rPr>
        <w:t>5% or greater stockholders:</w:t>
      </w:r>
    </w:p>
    <w:p>
      <w:pPr>
        <w:spacing w:after="0" w:line="1" w:lineRule="exact"/>
        <w:rPr>
          <w:sz w:val="20"/>
          <w:szCs w:val="20"/>
          <w:color w:val="auto"/>
        </w:rPr>
      </w:pPr>
    </w:p>
    <w:p>
      <w:pPr>
        <w:jc w:val="right"/>
        <w:ind w:left="120" w:right="480"/>
        <w:spacing w:after="0" w:line="201" w:lineRule="auto"/>
        <w:rPr>
          <w:sz w:val="20"/>
          <w:szCs w:val="20"/>
          <w:color w:val="auto"/>
        </w:rPr>
      </w:pPr>
      <w:r>
        <w:rPr>
          <w:rFonts w:ascii="Arial" w:cs="Arial" w:eastAsia="Arial" w:hAnsi="Arial"/>
          <w:sz w:val="17"/>
          <w:szCs w:val="17"/>
          <w:color w:val="auto"/>
        </w:rPr>
        <w:t>Entities affiliated with Sequoia Capital</w:t>
      </w:r>
      <w:r>
        <w:rPr>
          <w:rFonts w:ascii="Arial" w:cs="Arial" w:eastAsia="Arial" w:hAnsi="Arial"/>
          <w:sz w:val="25"/>
          <w:szCs w:val="25"/>
          <w:color w:val="auto"/>
          <w:vertAlign w:val="superscript"/>
        </w:rPr>
        <w:t>(1)</w:t>
      </w:r>
    </w:p>
    <w:p>
      <w:pPr>
        <w:spacing w:after="0" w:line="1" w:lineRule="exact"/>
        <w:rPr>
          <w:sz w:val="20"/>
          <w:szCs w:val="20"/>
          <w:color w:val="auto"/>
        </w:rPr>
      </w:pPr>
    </w:p>
    <w:p>
      <w:pPr>
        <w:ind w:left="300" w:right="480" w:hanging="179"/>
        <w:spacing w:after="0" w:line="192" w:lineRule="auto"/>
        <w:rPr>
          <w:sz w:val="20"/>
          <w:szCs w:val="20"/>
          <w:color w:val="auto"/>
        </w:rPr>
      </w:pPr>
      <w:r>
        <w:rPr>
          <w:rFonts w:ascii="Arial" w:cs="Arial" w:eastAsia="Arial" w:hAnsi="Arial"/>
          <w:sz w:val="18"/>
          <w:szCs w:val="18"/>
          <w:color w:val="auto"/>
        </w:rPr>
        <w:t>Entities affiliated with Accel</w:t>
      </w:r>
      <w:r>
        <w:rPr>
          <w:rFonts w:ascii="Arial" w:cs="Arial" w:eastAsia="Arial" w:hAnsi="Arial"/>
          <w:sz w:val="26"/>
          <w:szCs w:val="26"/>
          <w:color w:val="auto"/>
          <w:vertAlign w:val="superscript"/>
        </w:rPr>
        <w:t>(2)</w:t>
      </w:r>
    </w:p>
    <w:p>
      <w:pPr>
        <w:ind w:left="120"/>
        <w:spacing w:after="0" w:line="183" w:lineRule="auto"/>
        <w:rPr>
          <w:sz w:val="20"/>
          <w:szCs w:val="20"/>
          <w:color w:val="auto"/>
        </w:rPr>
      </w:pPr>
      <w:r>
        <w:rPr>
          <w:rFonts w:ascii="Arial" w:cs="Arial" w:eastAsia="Arial" w:hAnsi="Arial"/>
          <w:sz w:val="16"/>
          <w:szCs w:val="16"/>
          <w:color w:val="auto"/>
        </w:rPr>
        <w:t>Peter Colis</w:t>
      </w:r>
      <w:r>
        <w:rPr>
          <w:rFonts w:ascii="Arial" w:cs="Arial" w:eastAsia="Arial" w:hAnsi="Arial"/>
          <w:sz w:val="23"/>
          <w:szCs w:val="23"/>
          <w:color w:val="auto"/>
          <w:vertAlign w:val="superscript"/>
        </w:rPr>
        <w:t>(3)</w:t>
      </w:r>
    </w:p>
    <w:p>
      <w:pPr>
        <w:ind w:left="120"/>
        <w:spacing w:after="0" w:line="184" w:lineRule="auto"/>
        <w:rPr>
          <w:sz w:val="20"/>
          <w:szCs w:val="20"/>
          <w:color w:val="auto"/>
        </w:rPr>
      </w:pPr>
      <w:r>
        <w:rPr>
          <w:rFonts w:ascii="Arial" w:cs="Arial" w:eastAsia="Arial" w:hAnsi="Arial"/>
          <w:sz w:val="16"/>
          <w:szCs w:val="16"/>
          <w:color w:val="auto"/>
        </w:rPr>
        <w:t>Entities affiliated with GV</w:t>
      </w:r>
      <w:r>
        <w:rPr>
          <w:rFonts w:ascii="Arial" w:cs="Arial" w:eastAsia="Arial" w:hAnsi="Arial"/>
          <w:sz w:val="23"/>
          <w:szCs w:val="23"/>
          <w:color w:val="auto"/>
          <w:vertAlign w:val="superscript"/>
        </w:rPr>
        <w:t>(4)</w:t>
      </w:r>
    </w:p>
    <w:p>
      <w:pPr>
        <w:ind w:left="120"/>
        <w:spacing w:after="0" w:line="184" w:lineRule="auto"/>
        <w:rPr>
          <w:sz w:val="20"/>
          <w:szCs w:val="20"/>
          <w:color w:val="auto"/>
        </w:rPr>
      </w:pPr>
      <w:r>
        <w:rPr>
          <w:rFonts w:ascii="Arial" w:cs="Arial" w:eastAsia="Arial" w:hAnsi="Arial"/>
          <w:sz w:val="16"/>
          <w:szCs w:val="16"/>
          <w:color w:val="auto"/>
        </w:rPr>
        <w:t>Lingke Wang</w:t>
      </w:r>
      <w:r>
        <w:rPr>
          <w:rFonts w:ascii="Arial" w:cs="Arial" w:eastAsia="Arial" w:hAnsi="Arial"/>
          <w:sz w:val="23"/>
          <w:szCs w:val="23"/>
          <w:color w:val="auto"/>
          <w:vertAlign w:val="superscript"/>
        </w:rPr>
        <w:t>(5)</w:t>
      </w:r>
    </w:p>
    <w:p>
      <w:pPr>
        <w:spacing w:after="0" w:line="1" w:lineRule="exact"/>
        <w:rPr>
          <w:sz w:val="20"/>
          <w:szCs w:val="20"/>
          <w:color w:val="auto"/>
        </w:rPr>
      </w:pPr>
    </w:p>
    <w:p>
      <w:pPr>
        <w:ind w:left="300" w:hanging="179"/>
        <w:spacing w:after="0" w:line="234" w:lineRule="auto"/>
        <w:rPr>
          <w:sz w:val="20"/>
          <w:szCs w:val="20"/>
          <w:color w:val="auto"/>
        </w:rPr>
      </w:pPr>
      <w:r>
        <w:rPr>
          <w:rFonts w:ascii="Arial" w:cs="Arial" w:eastAsia="Arial" w:hAnsi="Arial"/>
          <w:sz w:val="18"/>
          <w:szCs w:val="18"/>
          <w:b w:val="1"/>
          <w:bCs w:val="1"/>
          <w:color w:val="auto"/>
        </w:rPr>
        <w:t>Named executive officers and directors:</w:t>
      </w:r>
    </w:p>
    <w:p>
      <w:pPr>
        <w:ind w:left="120"/>
        <w:spacing w:after="0" w:line="185" w:lineRule="auto"/>
        <w:rPr>
          <w:sz w:val="20"/>
          <w:szCs w:val="20"/>
          <w:color w:val="auto"/>
        </w:rPr>
      </w:pPr>
      <w:r>
        <w:rPr>
          <w:rFonts w:ascii="Arial" w:cs="Arial" w:eastAsia="Arial" w:hAnsi="Arial"/>
          <w:sz w:val="16"/>
          <w:szCs w:val="16"/>
          <w:color w:val="auto"/>
        </w:rPr>
        <w:t>Peter Colis</w:t>
      </w:r>
      <w:r>
        <w:rPr>
          <w:rFonts w:ascii="Arial" w:cs="Arial" w:eastAsia="Arial" w:hAnsi="Arial"/>
          <w:sz w:val="23"/>
          <w:szCs w:val="23"/>
          <w:color w:val="auto"/>
          <w:vertAlign w:val="superscript"/>
        </w:rPr>
        <w:t>(3)</w:t>
      </w:r>
    </w:p>
    <w:p>
      <w:pPr>
        <w:ind w:left="120"/>
        <w:spacing w:after="0" w:line="183" w:lineRule="auto"/>
        <w:rPr>
          <w:sz w:val="20"/>
          <w:szCs w:val="20"/>
          <w:color w:val="auto"/>
        </w:rPr>
      </w:pPr>
      <w:r>
        <w:rPr>
          <w:rFonts w:ascii="Arial" w:cs="Arial" w:eastAsia="Arial" w:hAnsi="Arial"/>
          <w:sz w:val="16"/>
          <w:szCs w:val="16"/>
          <w:color w:val="auto"/>
        </w:rPr>
        <w:t>Erin Lantz</w:t>
      </w:r>
      <w:r>
        <w:rPr>
          <w:rFonts w:ascii="Arial" w:cs="Arial" w:eastAsia="Arial" w:hAnsi="Arial"/>
          <w:sz w:val="23"/>
          <w:szCs w:val="23"/>
          <w:color w:val="auto"/>
          <w:vertAlign w:val="superscript"/>
        </w:rPr>
        <w:t>(6)</w:t>
      </w:r>
    </w:p>
    <w:p>
      <w:pPr>
        <w:ind w:left="120"/>
        <w:spacing w:after="0" w:line="184" w:lineRule="auto"/>
        <w:rPr>
          <w:sz w:val="20"/>
          <w:szCs w:val="20"/>
          <w:color w:val="auto"/>
        </w:rPr>
      </w:pPr>
      <w:r>
        <w:rPr>
          <w:rFonts w:ascii="Arial" w:cs="Arial" w:eastAsia="Arial" w:hAnsi="Arial"/>
          <w:sz w:val="16"/>
          <w:szCs w:val="16"/>
          <w:color w:val="auto"/>
        </w:rPr>
        <w:t>Kunal Mehta</w:t>
      </w:r>
      <w:r>
        <w:rPr>
          <w:rFonts w:ascii="Arial" w:cs="Arial" w:eastAsia="Arial" w:hAnsi="Arial"/>
          <w:sz w:val="23"/>
          <w:szCs w:val="23"/>
          <w:color w:val="auto"/>
          <w:vertAlign w:val="superscript"/>
        </w:rPr>
        <w:t>(7)</w:t>
      </w:r>
    </w:p>
    <w:p>
      <w:pPr>
        <w:ind w:left="120"/>
        <w:spacing w:after="0" w:line="184" w:lineRule="auto"/>
        <w:rPr>
          <w:sz w:val="20"/>
          <w:szCs w:val="20"/>
          <w:color w:val="auto"/>
        </w:rPr>
      </w:pPr>
      <w:r>
        <w:rPr>
          <w:rFonts w:ascii="Arial" w:cs="Arial" w:eastAsia="Arial" w:hAnsi="Arial"/>
          <w:sz w:val="16"/>
          <w:szCs w:val="16"/>
          <w:color w:val="auto"/>
        </w:rPr>
        <w:t>Lingke Wang</w:t>
      </w:r>
      <w:r>
        <w:rPr>
          <w:rFonts w:ascii="Arial" w:cs="Arial" w:eastAsia="Arial" w:hAnsi="Arial"/>
          <w:sz w:val="23"/>
          <w:szCs w:val="23"/>
          <w:color w:val="auto"/>
          <w:vertAlign w:val="superscript"/>
        </w:rPr>
        <w:t>(5)</w:t>
      </w:r>
    </w:p>
    <w:p>
      <w:pPr>
        <w:ind w:left="120"/>
        <w:spacing w:after="0" w:line="184" w:lineRule="auto"/>
        <w:rPr>
          <w:sz w:val="20"/>
          <w:szCs w:val="20"/>
          <w:color w:val="auto"/>
        </w:rPr>
      </w:pPr>
      <w:r>
        <w:rPr>
          <w:rFonts w:ascii="Arial" w:cs="Arial" w:eastAsia="Arial" w:hAnsi="Arial"/>
          <w:sz w:val="16"/>
          <w:szCs w:val="16"/>
          <w:color w:val="auto"/>
        </w:rPr>
        <w:t>Roelof Botha</w:t>
      </w:r>
      <w:r>
        <w:rPr>
          <w:rFonts w:ascii="Arial" w:cs="Arial" w:eastAsia="Arial" w:hAnsi="Arial"/>
          <w:sz w:val="23"/>
          <w:szCs w:val="23"/>
          <w:color w:val="auto"/>
          <w:vertAlign w:val="superscript"/>
        </w:rPr>
        <w:t>(8)</w:t>
      </w:r>
    </w:p>
    <w:p>
      <w:pPr>
        <w:ind w:left="120"/>
        <w:spacing w:after="0" w:line="183" w:lineRule="auto"/>
        <w:rPr>
          <w:sz w:val="20"/>
          <w:szCs w:val="20"/>
          <w:color w:val="auto"/>
        </w:rPr>
      </w:pPr>
      <w:r>
        <w:rPr>
          <w:rFonts w:ascii="Arial" w:cs="Arial" w:eastAsia="Arial" w:hAnsi="Arial"/>
          <w:sz w:val="16"/>
          <w:szCs w:val="16"/>
          <w:color w:val="auto"/>
        </w:rPr>
        <w:t>Priscilla Hung</w:t>
      </w:r>
      <w:r>
        <w:rPr>
          <w:rFonts w:ascii="Arial" w:cs="Arial" w:eastAsia="Arial" w:hAnsi="Arial"/>
          <w:sz w:val="23"/>
          <w:szCs w:val="23"/>
          <w:color w:val="auto"/>
          <w:vertAlign w:val="superscript"/>
        </w:rPr>
        <w:t>(9)</w:t>
      </w:r>
    </w:p>
    <w:p>
      <w:pPr>
        <w:ind w:left="120"/>
        <w:spacing w:after="0" w:line="184" w:lineRule="auto"/>
        <w:rPr>
          <w:sz w:val="20"/>
          <w:szCs w:val="20"/>
          <w:color w:val="auto"/>
        </w:rPr>
      </w:pPr>
      <w:r>
        <w:rPr>
          <w:rFonts w:ascii="Arial" w:cs="Arial" w:eastAsia="Arial" w:hAnsi="Arial"/>
          <w:sz w:val="16"/>
          <w:szCs w:val="16"/>
          <w:color w:val="auto"/>
        </w:rPr>
        <w:t>John Kunze</w:t>
      </w:r>
      <w:r>
        <w:rPr>
          <w:rFonts w:ascii="Arial" w:cs="Arial" w:eastAsia="Arial" w:hAnsi="Arial"/>
          <w:sz w:val="23"/>
          <w:szCs w:val="23"/>
          <w:color w:val="auto"/>
          <w:vertAlign w:val="superscript"/>
        </w:rPr>
        <w:t>(10)</w:t>
      </w:r>
    </w:p>
    <w:p>
      <w:pPr>
        <w:ind w:left="120"/>
        <w:spacing w:after="0" w:line="184" w:lineRule="auto"/>
        <w:rPr>
          <w:sz w:val="20"/>
          <w:szCs w:val="20"/>
          <w:color w:val="auto"/>
        </w:rPr>
      </w:pPr>
      <w:r>
        <w:rPr>
          <w:rFonts w:ascii="Arial" w:cs="Arial" w:eastAsia="Arial" w:hAnsi="Arial"/>
          <w:sz w:val="16"/>
          <w:szCs w:val="16"/>
          <w:color w:val="auto"/>
        </w:rPr>
        <w:t>Nathan J. Niparko</w:t>
      </w:r>
      <w:r>
        <w:rPr>
          <w:rFonts w:ascii="Arial" w:cs="Arial" w:eastAsia="Arial" w:hAnsi="Arial"/>
          <w:sz w:val="23"/>
          <w:szCs w:val="23"/>
          <w:color w:val="auto"/>
          <w:vertAlign w:val="superscript"/>
        </w:rPr>
        <w:t>(11)</w:t>
      </w:r>
    </w:p>
    <w:p>
      <w:pPr>
        <w:ind w:left="120"/>
        <w:spacing w:after="0" w:line="184" w:lineRule="auto"/>
        <w:rPr>
          <w:sz w:val="20"/>
          <w:szCs w:val="20"/>
          <w:color w:val="auto"/>
        </w:rPr>
      </w:pPr>
      <w:r>
        <w:rPr>
          <w:rFonts w:ascii="Arial" w:cs="Arial" w:eastAsia="Arial" w:hAnsi="Arial"/>
          <w:sz w:val="16"/>
          <w:szCs w:val="16"/>
          <w:color w:val="auto"/>
        </w:rPr>
        <w:t>Khozema Shipchandler</w:t>
      </w:r>
      <w:r>
        <w:rPr>
          <w:rFonts w:ascii="Arial" w:cs="Arial" w:eastAsia="Arial" w:hAnsi="Arial"/>
          <w:sz w:val="23"/>
          <w:szCs w:val="23"/>
          <w:color w:val="auto"/>
          <w:vertAlign w:val="superscript"/>
        </w:rPr>
        <w:t>(12)</w:t>
      </w:r>
    </w:p>
    <w:p>
      <w:pPr>
        <w:ind w:left="120"/>
        <w:spacing w:after="0" w:line="234" w:lineRule="auto"/>
        <w:rPr>
          <w:sz w:val="20"/>
          <w:szCs w:val="20"/>
          <w:color w:val="auto"/>
        </w:rPr>
      </w:pPr>
      <w:r>
        <w:rPr>
          <w:rFonts w:ascii="Arial" w:cs="Arial" w:eastAsia="Arial" w:hAnsi="Arial"/>
          <w:sz w:val="18"/>
          <w:szCs w:val="18"/>
          <w:color w:val="auto"/>
        </w:rPr>
        <w:t>William J. Wheeler</w:t>
      </w:r>
    </w:p>
    <w:p>
      <w:pPr>
        <w:spacing w:after="0" w:line="1" w:lineRule="exact"/>
        <w:rPr>
          <w:sz w:val="20"/>
          <w:szCs w:val="20"/>
          <w:color w:val="auto"/>
        </w:rPr>
      </w:pPr>
    </w:p>
    <w:p>
      <w:pPr>
        <w:jc w:val="both"/>
        <w:ind w:left="300" w:hanging="179"/>
        <w:spacing w:after="0" w:line="258" w:lineRule="auto"/>
        <w:rPr>
          <w:sz w:val="20"/>
          <w:szCs w:val="20"/>
          <w:color w:val="auto"/>
        </w:rPr>
      </w:pPr>
      <w:r>
        <w:rPr>
          <w:rFonts w:ascii="Arial" w:cs="Arial" w:eastAsia="Arial" w:hAnsi="Arial"/>
          <w:sz w:val="18"/>
          <w:szCs w:val="18"/>
          <w:color w:val="auto"/>
        </w:rPr>
        <w:t>All current executive officer and directors as a group (12 persons)</w:t>
      </w:r>
      <w:r>
        <w:rPr>
          <w:rFonts w:ascii="Arial" w:cs="Arial" w:eastAsia="Arial" w:hAnsi="Arial"/>
          <w:sz w:val="26"/>
          <w:szCs w:val="26"/>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7715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380" w:type="dxa"/>
            <w:vAlign w:val="bottom"/>
            <w:gridSpan w:val="9"/>
          </w:tcPr>
          <w:p>
            <w:pPr>
              <w:ind w:left="340"/>
              <w:spacing w:after="0"/>
              <w:rPr>
                <w:sz w:val="20"/>
                <w:szCs w:val="20"/>
                <w:color w:val="auto"/>
              </w:rPr>
            </w:pPr>
            <w:r>
              <w:rPr>
                <w:rFonts w:ascii="Arial" w:cs="Arial" w:eastAsia="Arial" w:hAnsi="Arial"/>
                <w:sz w:val="14"/>
                <w:szCs w:val="14"/>
                <w:b w:val="1"/>
                <w:bCs w:val="1"/>
                <w:color w:val="auto"/>
              </w:rPr>
              <w:t>Shares Beneficially Owned Prior to this</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40" w:type="dxa"/>
            <w:vAlign w:val="bottom"/>
            <w:gridSpan w:val="6"/>
          </w:tcPr>
          <w:p>
            <w:pPr>
              <w:jc w:val="center"/>
              <w:ind w:left="28"/>
              <w:spacing w:after="0"/>
              <w:rPr>
                <w:sz w:val="20"/>
                <w:szCs w:val="20"/>
                <w:color w:val="auto"/>
              </w:rPr>
            </w:pPr>
            <w:r>
              <w:rPr>
                <w:rFonts w:ascii="Arial" w:cs="Arial" w:eastAsia="Arial" w:hAnsi="Arial"/>
                <w:sz w:val="14"/>
                <w:szCs w:val="14"/>
                <w:b w:val="1"/>
                <w:bCs w:val="1"/>
                <w:color w:val="auto"/>
              </w:rPr>
              <w:t>Shares Beneficially Owned</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1"/>
        </w:trPr>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Offering</w:t>
            </w: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center"/>
              <w:ind w:left="28"/>
              <w:spacing w:after="0"/>
              <w:rPr>
                <w:sz w:val="20"/>
                <w:szCs w:val="20"/>
                <w:color w:val="auto"/>
              </w:rPr>
            </w:pPr>
            <w:r>
              <w:rPr>
                <w:rFonts w:ascii="Arial" w:cs="Arial" w:eastAsia="Arial" w:hAnsi="Arial"/>
                <w:sz w:val="14"/>
                <w:szCs w:val="14"/>
                <w:b w:val="1"/>
                <w:bCs w:val="1"/>
                <w:color w:val="auto"/>
              </w:rPr>
              <w:t>Following this Offering</w:t>
            </w: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r>
      <w:tr>
        <w:trPr>
          <w:trHeight w:val="146"/>
        </w:trPr>
        <w:tc>
          <w:tcPr>
            <w:tcW w:w="980" w:type="dxa"/>
            <w:vAlign w:val="bottom"/>
            <w:gridSpan w:val="2"/>
          </w:tcPr>
          <w:p>
            <w:pPr>
              <w:ind w:left="340"/>
              <w:spacing w:after="0" w:line="147" w:lineRule="exact"/>
              <w:rPr>
                <w:sz w:val="20"/>
                <w:szCs w:val="20"/>
                <w:color w:val="auto"/>
              </w:rPr>
            </w:pPr>
            <w:r>
              <w:rPr>
                <w:rFonts w:ascii="Arial" w:cs="Arial" w:eastAsia="Arial" w:hAnsi="Arial"/>
                <w:sz w:val="14"/>
                <w:szCs w:val="14"/>
                <w:b w:val="1"/>
                <w:bCs w:val="1"/>
                <w:color w:val="auto"/>
              </w:rPr>
              <w:t>Class A</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ind w:left="320"/>
              <w:spacing w:after="0" w:line="147" w:lineRule="exact"/>
              <w:rPr>
                <w:sz w:val="20"/>
                <w:szCs w:val="20"/>
                <w:color w:val="auto"/>
              </w:rPr>
            </w:pPr>
            <w:r>
              <w:rPr>
                <w:rFonts w:ascii="Arial" w:cs="Arial" w:eastAsia="Arial" w:hAnsi="Arial"/>
                <w:sz w:val="14"/>
                <w:szCs w:val="14"/>
                <w:b w:val="1"/>
                <w:bCs w:val="1"/>
                <w:color w:val="auto"/>
              </w:rPr>
              <w:t>Class B</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4"/>
          </w:tcPr>
          <w:p>
            <w:pPr>
              <w:ind w:left="340"/>
              <w:spacing w:after="0" w:line="147" w:lineRule="exact"/>
              <w:rPr>
                <w:sz w:val="20"/>
                <w:szCs w:val="20"/>
                <w:color w:val="auto"/>
              </w:rPr>
            </w:pPr>
            <w:r>
              <w:rPr>
                <w:rFonts w:ascii="Arial" w:cs="Arial" w:eastAsia="Arial" w:hAnsi="Arial"/>
                <w:sz w:val="14"/>
                <w:szCs w:val="14"/>
                <w:b w:val="1"/>
                <w:bCs w:val="1"/>
                <w:color w:val="auto"/>
              </w:rPr>
              <w:t>Class A</w:t>
            </w:r>
          </w:p>
        </w:tc>
        <w:tc>
          <w:tcPr>
            <w:tcW w:w="980" w:type="dxa"/>
            <w:vAlign w:val="bottom"/>
            <w:gridSpan w:val="2"/>
          </w:tcPr>
          <w:p>
            <w:pPr>
              <w:ind w:left="320"/>
              <w:spacing w:after="0" w:line="147" w:lineRule="exact"/>
              <w:rPr>
                <w:sz w:val="20"/>
                <w:szCs w:val="20"/>
                <w:color w:val="auto"/>
              </w:rPr>
            </w:pPr>
            <w:r>
              <w:rPr>
                <w:rFonts w:ascii="Arial" w:cs="Arial" w:eastAsia="Arial" w:hAnsi="Arial"/>
                <w:sz w:val="14"/>
                <w:szCs w:val="14"/>
                <w:b w:val="1"/>
                <w:bCs w:val="1"/>
                <w:color w:val="auto"/>
              </w:rPr>
              <w:t>Class B</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r>
      <w:tr>
        <w:trPr>
          <w:trHeight w:val="171"/>
        </w:trPr>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 of Class A</w:t>
            </w:r>
          </w:p>
        </w:tc>
        <w:tc>
          <w:tcPr>
            <w:tcW w:w="1460" w:type="dxa"/>
            <w:vAlign w:val="bottom"/>
            <w:gridSpan w:val="4"/>
          </w:tcPr>
          <w:p>
            <w:pPr>
              <w:ind w:left="80"/>
              <w:spacing w:after="0"/>
              <w:rPr>
                <w:sz w:val="20"/>
                <w:szCs w:val="20"/>
                <w:color w:val="auto"/>
              </w:rPr>
            </w:pPr>
            <w:r>
              <w:rPr>
                <w:rFonts w:ascii="Arial" w:cs="Arial" w:eastAsia="Arial" w:hAnsi="Arial"/>
                <w:sz w:val="14"/>
                <w:szCs w:val="14"/>
                <w:b w:val="1"/>
                <w:bCs w:val="1"/>
                <w:color w:val="auto"/>
              </w:rPr>
              <w:t>common stock</w:t>
            </w: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r>
      <w:tr>
        <w:trPr>
          <w:trHeight w:val="146"/>
        </w:trPr>
        <w:tc>
          <w:tcPr>
            <w:tcW w:w="7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Voting</w:t>
            </w:r>
          </w:p>
        </w:tc>
        <w:tc>
          <w:tcPr>
            <w:tcW w:w="260" w:type="dxa"/>
            <w:vAlign w:val="bottom"/>
          </w:tcPr>
          <w:p>
            <w:pPr>
              <w:spacing w:after="0"/>
              <w:rPr>
                <w:sz w:val="12"/>
                <w:szCs w:val="12"/>
                <w:color w:val="auto"/>
              </w:rPr>
            </w:pPr>
          </w:p>
        </w:tc>
        <w:tc>
          <w:tcPr>
            <w:tcW w:w="15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Common Stock</w:t>
            </w:r>
          </w:p>
        </w:tc>
        <w:tc>
          <w:tcPr>
            <w:tcW w:w="7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Voting</w:t>
            </w:r>
          </w:p>
        </w:tc>
      </w:tr>
      <w:tr>
        <w:trPr>
          <w:trHeight w:val="171"/>
        </w:trPr>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Power†</w:t>
            </w:r>
          </w:p>
        </w:tc>
        <w:tc>
          <w:tcPr>
            <w:tcW w:w="26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Being Offered</w:t>
            </w:r>
          </w:p>
        </w:tc>
        <w:tc>
          <w:tcPr>
            <w:tcW w:w="260" w:type="dxa"/>
            <w:vAlign w:val="bottom"/>
          </w:tcPr>
          <w:p>
            <w:pPr>
              <w:spacing w:after="0"/>
              <w:rPr>
                <w:sz w:val="14"/>
                <w:szCs w:val="14"/>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Power†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-7620</wp:posOffset>
            </wp:positionV>
            <wp:extent cx="6995160" cy="2571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506095</wp:posOffset>
            </wp:positionV>
            <wp:extent cx="6995160" cy="2571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891540</wp:posOffset>
            </wp:positionV>
            <wp:extent cx="6995160" cy="1289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1148715</wp:posOffset>
            </wp:positionV>
            <wp:extent cx="6995160" cy="2571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1534795</wp:posOffset>
            </wp:positionV>
            <wp:extent cx="6995160" cy="1289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1791335</wp:posOffset>
            </wp:positionV>
            <wp:extent cx="6995160" cy="1289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2048510</wp:posOffset>
            </wp:positionV>
            <wp:extent cx="6995160" cy="1289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2305685</wp:posOffset>
            </wp:positionV>
            <wp:extent cx="6995160" cy="1289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2562860</wp:posOffset>
            </wp:positionV>
            <wp:extent cx="6995160" cy="128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5016" w:lineRule="exact"/>
        <w:rPr>
          <w:sz w:val="20"/>
          <w:szCs w:val="20"/>
          <w:color w:val="auto"/>
        </w:rPr>
      </w:pPr>
    </w:p>
    <w:p>
      <w:pPr>
        <w:sectPr>
          <w:pgSz w:w="11900" w:h="16838" w:orient="portrait"/>
          <w:cols w:equalWidth="0" w:num="2">
            <w:col w:w="2280" w:space="140"/>
            <w:col w:w="8660"/>
          </w:cols>
          <w:pgMar w:left="320" w:top="455" w:right="499" w:bottom="1440" w:gutter="0" w:footer="0" w:header="0"/>
          <w:type w:val="continuous"/>
        </w:sectPr>
      </w:pPr>
    </w:p>
    <w:p>
      <w:pPr>
        <w:ind w:left="660" w:hanging="544"/>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14" w:lineRule="exact"/>
        <w:rPr>
          <w:sz w:val="20"/>
          <w:szCs w:val="20"/>
          <w:color w:val="auto"/>
        </w:rPr>
      </w:pPr>
    </w:p>
    <w:p>
      <w:pPr>
        <w:jc w:val="both"/>
        <w:ind w:left="660" w:hanging="544"/>
        <w:spacing w:after="0" w:line="264"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Represents the voting power with respect to all shares of our Class A common stock and Class B common stock, voting as a single class. Each share of Class A common stock will be entitled to one vote per share, and each share of Class B common stock will be entitled to votes per share. The Class A common stock and Class B common stock will vote together on all matters (including</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80"/>
          </w:cols>
          <w:pgMar w:left="320" w:top="455" w:right="499" w:bottom="1440"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660" w:right="600"/>
        <w:spacing w:after="0" w:line="245" w:lineRule="auto"/>
        <w:rPr>
          <w:sz w:val="20"/>
          <w:szCs w:val="20"/>
          <w:color w:val="auto"/>
        </w:rPr>
      </w:pPr>
      <w:r>
        <w:rPr>
          <w:rFonts w:ascii="Arial" w:cs="Arial" w:eastAsia="Arial" w:hAnsi="Arial"/>
          <w:sz w:val="18"/>
          <w:szCs w:val="18"/>
          <w:color w:val="auto"/>
        </w:rPr>
        <w:t>the election of directors) submitted to a vote of stockholders, except under limited circumstances described in “Description of Capital Stock—Class A Common Stock and Class B Common Stock—Voting Rights.”</w:t>
      </w:r>
    </w:p>
    <w:p>
      <w:pPr>
        <w:ind w:left="660" w:right="260" w:hanging="544"/>
        <w:spacing w:after="0" w:line="234"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Consists of (i)        shares held of record by Sequoia Capital U.S. Venture Partners Fund XV, L.P.; (ii)        shares held of record by Sequoia Capital U.S. Growth Fund VIII, L.P., or GFVIII; (iii)        shares held of record by Sequoia Capital U.S. Venture XV Principals Fund, L.P.; (iv)        shares held of record by Sequoia Capital U.S. Venture Partners Fund XV (Q), L.P.;</w:t>
      </w:r>
    </w:p>
    <w:p>
      <w:pPr>
        <w:spacing w:after="0" w:line="2" w:lineRule="exact"/>
        <w:rPr>
          <w:sz w:val="20"/>
          <w:szCs w:val="20"/>
          <w:color w:val="auto"/>
        </w:rPr>
      </w:pPr>
    </w:p>
    <w:p>
      <w:pPr>
        <w:ind w:left="660" w:right="100"/>
        <w:spacing w:after="0" w:line="234" w:lineRule="auto"/>
        <w:rPr>
          <w:sz w:val="20"/>
          <w:szCs w:val="20"/>
          <w:color w:val="auto"/>
        </w:rPr>
      </w:pPr>
      <w:r>
        <w:rPr>
          <w:rFonts w:ascii="Arial" w:cs="Arial" w:eastAsia="Arial" w:hAnsi="Arial"/>
          <w:sz w:val="18"/>
          <w:szCs w:val="18"/>
          <w:color w:val="auto"/>
        </w:rPr>
        <w:t>(v)        shares held of record by Sequoia Capital U.S. Venture Fund XV, L.P.; (vi)        shares held of record by Spelunker Channel Holdings, LLC, or Spelunker; and (vii)        shares held of record by Nalrena, L.L.C, or Nalrena. SC US (TTGP), Ltd. is</w:t>
      </w:r>
    </w:p>
    <w:p>
      <w:pPr>
        <w:spacing w:after="0" w:line="1" w:lineRule="exact"/>
        <w:rPr>
          <w:sz w:val="20"/>
          <w:szCs w:val="20"/>
          <w:color w:val="auto"/>
        </w:rPr>
      </w:pPr>
    </w:p>
    <w:p>
      <w:pPr>
        <w:ind w:left="660" w:right="140"/>
        <w:spacing w:after="0" w:line="234" w:lineRule="auto"/>
        <w:rPr>
          <w:sz w:val="20"/>
          <w:szCs w:val="20"/>
          <w:color w:val="auto"/>
        </w:rPr>
      </w:pPr>
      <w:r>
        <w:rPr>
          <w:rFonts w:ascii="Arial" w:cs="Arial" w:eastAsia="Arial" w:hAnsi="Arial"/>
          <w:sz w:val="18"/>
          <w:szCs w:val="18"/>
          <w:color w:val="auto"/>
        </w:rPr>
        <w:t>(i) the general partner of Sequoia Capital U.S. Venture XV Management, L.P., which is the general partner of Sequoia Capital U.S. Venture Fund XV, L.P., Sequoia Capital U.S. Venture Fund Partners Fund XV, L.P., Sequoia Capital U.S. Venture XV Principals Fund, L.P. and Sequoia Capital U.S. Venture Partners Fund XV (Q), L.P., or collectively, XV Funds, and (ii) the general partner of SC U.S. Growth VIII Management, L.P., which is the general partner of GFVIII. SC US SSF 2013 (TTGP), L.L.C. is the general partner of SC U.S. Scout Seed Fund 2013 Management, L.P., which is the general partner of Sequoia Capital U.S. Scout Seed Fund 2013, L.P., which is the managing member of Sequoia Capital U.S. Scout Fund IV, L.L.C., which is the sole member of Spelunker and Nalrena. Mr. Botha, one of our directors, is a managing member of SC US (TTGP), Ltd. and SC US SSF 2013 (TTGP), L.L.C., and as a result may be deemed to share beneficial ownership of the shares held by the XV Funds, GFVIII, Spelunker and Nalrena. Mr. Botha expressly disclaims beneficial ownership of the shares held by such Sequoia Capital entities. The address for each of the Sequoia Capital entities identified in this footnote is 2800 Sand Hill Rd., Suite 101, Menlo Park, CA 94025.</w:t>
      </w:r>
    </w:p>
    <w:p>
      <w:pPr>
        <w:spacing w:after="0" w:line="7" w:lineRule="exact"/>
        <w:rPr>
          <w:sz w:val="20"/>
          <w:szCs w:val="20"/>
          <w:color w:val="auto"/>
        </w:rPr>
      </w:pPr>
    </w:p>
    <w:p>
      <w:pPr>
        <w:ind w:left="660" w:right="140" w:hanging="544"/>
        <w:spacing w:after="0" w:line="234"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Consists of (i)        shares held of record by Accel Growth Fund IV L.P. (“AGF4”); (ii)        shares held of record by Accel Growth Fund Investors 2016 L.L.C. (“AGFI16”); and (iii)        shares held of record by Accel Growth Fund IV Strategic Partners L.P. (“AGF4SP”). Accel Growth Fund IV Associates L.L.C. (“AGF4A”) is the general partner of AGF4 and AGF4SP and has sole voting and investment power with respect to the shares held of record by AGF4 and AGF4SP. Andrew G. Braccia, Sameer K. Gandhi, Ping Li, Ryan J. Sweeney and Richard P. Wong are the managing members of AGF4A and share such powers. Messrs. Braccia, Gandhi, Li, Sweeney and Wong also are the managing members of AGFI16 and share voting and investment power with respect to the shares held of record by AGFI16. The managing members disclaim Section 16 beneficial ownership over the securities reported herein except to the extent of their pecuniary interest therein. The address for each of these entities is 500 University Ave., Palo Alto, CA 94301.</w:t>
      </w:r>
    </w:p>
    <w:p>
      <w:pPr>
        <w:spacing w:after="0" w:line="2" w:lineRule="exact"/>
        <w:rPr>
          <w:sz w:val="20"/>
          <w:szCs w:val="20"/>
          <w:color w:val="auto"/>
        </w:rPr>
      </w:pPr>
    </w:p>
    <w:p>
      <w:pPr>
        <w:ind w:left="120"/>
        <w:spacing w:after="0"/>
        <w:tabs>
          <w:tab w:leader="none" w:pos="640" w:val="left"/>
          <w:tab w:leader="none" w:pos="23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 xml:space="preserve">Consists of           </w:t>
      </w:r>
      <w:r>
        <w:rPr>
          <w:sz w:val="20"/>
          <w:szCs w:val="20"/>
          <w:color w:val="auto"/>
        </w:rPr>
        <w:tab/>
      </w:r>
      <w:r>
        <w:rPr>
          <w:rFonts w:ascii="Arial" w:cs="Arial" w:eastAsia="Arial" w:hAnsi="Arial"/>
          <w:sz w:val="17"/>
          <w:szCs w:val="17"/>
          <w:color w:val="auto"/>
        </w:rPr>
        <w:t>shares held of record by Mr. Colis.</w:t>
      </w:r>
    </w:p>
    <w:p>
      <w:pPr>
        <w:ind w:left="660" w:hanging="544"/>
        <w:spacing w:after="0" w:line="234"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Consists of (i)            shares held of record by GV 2017, L.P.; (ii)            shares held of record by GV 2019, L.P.; and (iii)          </w:t>
      </w:r>
    </w:p>
    <w:p>
      <w:pPr>
        <w:ind w:left="660"/>
        <w:spacing w:after="0" w:line="236" w:lineRule="auto"/>
        <w:rPr>
          <w:rFonts w:ascii="Arial" w:cs="Arial" w:eastAsia="Arial" w:hAnsi="Arial"/>
          <w:sz w:val="18"/>
          <w:szCs w:val="18"/>
          <w:color w:val="auto"/>
        </w:rPr>
      </w:pPr>
      <w:r>
        <w:rPr>
          <w:rFonts w:ascii="Arial" w:cs="Arial" w:eastAsia="Arial" w:hAnsi="Arial"/>
          <w:sz w:val="18"/>
          <w:szCs w:val="18"/>
          <w:color w:val="auto"/>
        </w:rPr>
        <w:t>shares held of record by GV 2021, L.P. Regarding GV 2017, L.P.: GV 2017 GP, L.P. (the general partner of GV 2017, L.P.), GV 2017 GP, L.L.C. (the general partner of GV 2017 GP, L.P.), Alphabet Holdings LLC (the sole member of GV 2017 GP, L.L.C.), XXVI Holdings Inc. (the sole member of Alphabet Holdings LLC), and Alphabet Inc. (the controlling stockholder of XXVI Holdings Inc.) may each be deemed to share power to vote or dispose of the shares held directly by GV 2017, L.P. Regarding GV 2019, L.P.: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each be deemed to share power to vote or dispose of the shares held directly by GV 2019, L.P. Regarding GV 2021, L.P.: GV 2021 GP, L.P. (the general partner of GV 2021, L.P.), GV 2021 GP, L.L.C. (the general partner of GV 2021 GP, L.P.), Alphabet Holdings LLC (the sole member of GV 2021 GP, L.L.C.), XXVI Holdings Inc. (the sole member of Alphabet Holdings LLC), and Alphabet Inc. (the controlling stockholder of XXVI Holdings Inc.) may each be deemed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40"/>
          </w:cols>
          <w:pgMar w:left="320" w:top="455" w:right="4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660" w:right="620"/>
        <w:spacing w:after="0" w:line="245" w:lineRule="auto"/>
        <w:rPr>
          <w:sz w:val="20"/>
          <w:szCs w:val="20"/>
          <w:color w:val="auto"/>
        </w:rPr>
      </w:pPr>
      <w:r>
        <w:rPr>
          <w:rFonts w:ascii="Arial" w:cs="Arial" w:eastAsia="Arial" w:hAnsi="Arial"/>
          <w:sz w:val="18"/>
          <w:szCs w:val="18"/>
          <w:color w:val="auto"/>
        </w:rPr>
        <w:t>to share power to vote or dispose of the shares held directly by GV 2021, L.P. The address for each of these entities is 1600 Amphitheatre Parkway, Mountain View, CA 94043.</w:t>
      </w:r>
    </w:p>
    <w:p>
      <w:pPr>
        <w:ind w:left="660" w:hanging="544"/>
        <w:spacing w:after="0" w:line="235"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of             shares held of record by Mr. Wang.</w:t>
      </w:r>
    </w:p>
    <w:p>
      <w:pPr>
        <w:ind w:left="660" w:right="20" w:hanging="544"/>
        <w:spacing w:after="0" w:line="234"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of (i)        shares held of record by Ms. Lantz; (ii)        shares subject to stock options that are exercisable within 60 days of September 30, 2025; and (iii)        shares issuable pursuant to RSUs for which the service-based vesting condition will be satisfied within 60 days of September 30, 2025 and the liquidity event-based vesting condition will be satisfied upon the effectiveness of the registration statement of which this prospectus forms a part.</w:t>
      </w:r>
    </w:p>
    <w:p>
      <w:pPr>
        <w:spacing w:after="0" w:line="2"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of (i)        shares held of record by Mr. Mehta; (ii)        shares subject to stock options that are exercisable within 60 days of September 30, 2025; and (iii)        shares issuable pursuant to RSUs for which the service-based vesting condition will be satisfied within 60 days of September 30, 2025 and the liquidity event-based vesting condition will be satisfied upon the effectiveness of the registration statement of which this prospectus forms a part.</w:t>
      </w:r>
    </w:p>
    <w:p>
      <w:pPr>
        <w:spacing w:after="0" w:line="2" w:lineRule="exact"/>
        <w:rPr>
          <w:rFonts w:ascii="Arial" w:cs="Arial" w:eastAsia="Arial" w:hAnsi="Arial"/>
          <w:sz w:val="18"/>
          <w:szCs w:val="18"/>
          <w:color w:val="auto"/>
        </w:rPr>
      </w:pPr>
    </w:p>
    <w:p>
      <w:pPr>
        <w:ind w:left="660" w:right="560" w:hanging="544"/>
        <w:spacing w:after="0" w:line="234"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of the shares listed in footnote 1 above held of record by entities affiliated with Sequoia Capital. Mr. Botha disclaims beneficial ownership of the shares held by the Sequoia Capital entities.</w:t>
      </w:r>
    </w:p>
    <w:p>
      <w:pPr>
        <w:spacing w:after="0" w:line="1"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Consists of (i)            shares subject to stock options that are exercisable within 60 days of September 30, 2025; and (ii)          </w:t>
      </w:r>
    </w:p>
    <w:p>
      <w:pPr>
        <w:jc w:val="both"/>
        <w:ind w:left="660" w:right="240"/>
        <w:spacing w:after="0" w:line="234" w:lineRule="auto"/>
        <w:rPr>
          <w:rFonts w:ascii="Arial" w:cs="Arial" w:eastAsia="Arial" w:hAnsi="Arial"/>
          <w:sz w:val="18"/>
          <w:szCs w:val="18"/>
          <w:color w:val="auto"/>
        </w:rPr>
      </w:pPr>
      <w:r>
        <w:rPr>
          <w:rFonts w:ascii="Arial" w:cs="Arial" w:eastAsia="Arial" w:hAnsi="Arial"/>
          <w:sz w:val="18"/>
          <w:szCs w:val="18"/>
          <w:color w:val="auto"/>
        </w:rPr>
        <w:t>shares issuable pursuant to RSUs for which the service-based vesting condition will be satisfied within 60 days of September 30, 2025 and the liquidity event-based vesting condition will be satisfied upon the effectiveness of the registration statement of which this prospectus forms a part.</w:t>
      </w:r>
    </w:p>
    <w:p>
      <w:pPr>
        <w:spacing w:after="0" w:line="2"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Consists of (i)            shares subject to stock options that are exercisable within 60 days of September 30, 2025; and (ii)          </w:t>
      </w:r>
    </w:p>
    <w:p>
      <w:pPr>
        <w:jc w:val="both"/>
        <w:ind w:left="660" w:right="240"/>
        <w:spacing w:after="0" w:line="234" w:lineRule="auto"/>
        <w:rPr>
          <w:rFonts w:ascii="Arial" w:cs="Arial" w:eastAsia="Arial" w:hAnsi="Arial"/>
          <w:sz w:val="18"/>
          <w:szCs w:val="18"/>
          <w:color w:val="auto"/>
        </w:rPr>
      </w:pPr>
      <w:r>
        <w:rPr>
          <w:rFonts w:ascii="Arial" w:cs="Arial" w:eastAsia="Arial" w:hAnsi="Arial"/>
          <w:sz w:val="18"/>
          <w:szCs w:val="18"/>
          <w:color w:val="auto"/>
        </w:rPr>
        <w:t>shares issuable pursuant to RSUs for which the service-based vesting condition will be satisfied within 60 days of September 30, 2025 and the liquidity event-based vesting condition will be satisfied upon the effectiveness of the registration statement of which this prospectus forms a part.</w:t>
      </w:r>
    </w:p>
    <w:p>
      <w:pPr>
        <w:spacing w:after="0" w:line="2"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of the shares listed in footnote 2 above held of record by entities affiliated with Accel.</w:t>
      </w:r>
    </w:p>
    <w:p>
      <w:pPr>
        <w:ind w:left="660" w:hanging="544"/>
        <w:spacing w:after="0" w:line="234"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Consists of (i)            shares subject to stock options that are exercisable within 60 days of September 30, 2025; and (ii)          </w:t>
      </w:r>
    </w:p>
    <w:p>
      <w:pPr>
        <w:jc w:val="both"/>
        <w:ind w:left="660" w:right="240"/>
        <w:spacing w:after="0" w:line="234" w:lineRule="auto"/>
        <w:rPr>
          <w:rFonts w:ascii="Arial" w:cs="Arial" w:eastAsia="Arial" w:hAnsi="Arial"/>
          <w:sz w:val="18"/>
          <w:szCs w:val="18"/>
          <w:color w:val="auto"/>
        </w:rPr>
      </w:pPr>
      <w:r>
        <w:rPr>
          <w:rFonts w:ascii="Arial" w:cs="Arial" w:eastAsia="Arial" w:hAnsi="Arial"/>
          <w:sz w:val="18"/>
          <w:szCs w:val="18"/>
          <w:color w:val="auto"/>
        </w:rPr>
        <w:t>shares issuable pursuant to RSUs for which the service-based vesting condition will be satisfied within 60 days of September 30, 2025 and the liquidity event-based vesting condition will be satisfied upon the effectiveness of the registration statement of which this prospectus forms a part.</w:t>
      </w:r>
    </w:p>
    <w:p>
      <w:pPr>
        <w:spacing w:after="0" w:line="2" w:lineRule="exact"/>
        <w:rPr>
          <w:rFonts w:ascii="Arial" w:cs="Arial" w:eastAsia="Arial" w:hAnsi="Arial"/>
          <w:sz w:val="18"/>
          <w:szCs w:val="18"/>
          <w:color w:val="auto"/>
        </w:rPr>
      </w:pPr>
    </w:p>
    <w:p>
      <w:pPr>
        <w:ind w:left="660" w:right="60" w:hanging="544"/>
        <w:spacing w:after="0" w:line="250"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more information on our current directors and executive officers, see the sections titled “Management—Executive Officers” and “Management—Non-Employee Directors.”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04" w:lineRule="exact"/>
        <w:rPr>
          <w:sz w:val="20"/>
          <w:szCs w:val="20"/>
          <w:color w:val="auto"/>
        </w:rPr>
      </w:pPr>
    </w:p>
    <w:p>
      <w:pPr>
        <w:ind w:left="120" w:right="160" w:firstLine="551"/>
        <w:spacing w:after="0" w:line="242" w:lineRule="auto"/>
        <w:rPr>
          <w:sz w:val="20"/>
          <w:szCs w:val="20"/>
          <w:color w:val="auto"/>
        </w:rPr>
      </w:pPr>
      <w:r>
        <w:rPr>
          <w:rFonts w:ascii="Arial" w:cs="Arial" w:eastAsia="Arial" w:hAnsi="Arial"/>
          <w:sz w:val="18"/>
          <w:szCs w:val="18"/>
          <w:color w:val="auto"/>
        </w:rPr>
        <w:t>The following is a summary of the rights of our capital stock and some of the provisions of our amended and restated certificate of incorporation and amended and restated bylaws, which will each become effective immediately prior to the closing of this offering, our amended and restated investor rights agreement and relevant provisions of Delaware General Corporation Law. The descriptions herein are qualified in their entirety by our amended and restated certificate of incorporation, amended and restated bylaws, and investor rights agreement, copies of which have been filed as exhibits to the registration statement of which this prospectus is a part, as well as the relevant provisions of Delaware General Corporation Law.</w:t>
      </w:r>
    </w:p>
    <w:p>
      <w:pPr>
        <w:spacing w:after="0" w:line="179" w:lineRule="exact"/>
        <w:rPr>
          <w:sz w:val="20"/>
          <w:szCs w:val="20"/>
          <w:color w:val="auto"/>
        </w:rPr>
      </w:pPr>
    </w:p>
    <w:p>
      <w:pPr>
        <w:ind w:left="120" w:right="340" w:firstLine="551"/>
        <w:spacing w:after="0" w:line="271" w:lineRule="auto"/>
        <w:rPr>
          <w:sz w:val="20"/>
          <w:szCs w:val="20"/>
          <w:color w:val="auto"/>
        </w:rPr>
      </w:pPr>
      <w:r>
        <w:rPr>
          <w:rFonts w:ascii="Arial" w:cs="Arial" w:eastAsia="Arial" w:hAnsi="Arial"/>
          <w:sz w:val="18"/>
          <w:szCs w:val="18"/>
          <w:color w:val="auto"/>
        </w:rPr>
        <w:t>Immediately prior to the closing of this offering, our authorized capital stock will consist of        shares, all with a par value of $0.0001 per share, of which:</w:t>
      </w:r>
    </w:p>
    <w:p>
      <w:pPr>
        <w:spacing w:after="0" w:line="59"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            shares are designated as Class A common stock;</w:t>
      </w:r>
    </w:p>
    <w:p>
      <w:pPr>
        <w:spacing w:after="0" w:line="117"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            shares are designated as Class B common stock; and</w:t>
      </w:r>
    </w:p>
    <w:p>
      <w:pPr>
        <w:spacing w:after="0" w:line="117"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            shares are designated as preferred stock.</w:t>
      </w:r>
    </w:p>
    <w:p>
      <w:pPr>
        <w:spacing w:after="0" w:line="212"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As of September 30, 2025, we had         shares of Class A common stock,         shares of Class B common stock and no shares of redeemable convertible preferred stock outstanding, after giving effect to (i) the reclassification of our outstanding common stock as Class A common stock, (ii) the Preferred Conversion, (iii) the Class B Stock Exchange, (iv) the RSU Net Settlement, and (v) the Warrant Exercise.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104"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color w:val="auto"/>
        </w:rPr>
        <w:t>All issued and outstanding shares of our Class A common stock and Class B common stock are duly authorized, validly issued, fully paid, and non-assessable. All authorized but unissued shares of our Class A common stock and Class B common stock will be available for issuance by our board of directors without any further stockholder action, except as required by the listing standards of Nasdaq. The rights of our Class A common stock and Class B common stock are identical, except with respect to voting, conversion, and transfer rights.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02"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The Class A common stock is entitled to one vote per share on any matter that is submitted to a vote of our stockholders. Holders of our Class B common stock are entitled to 20 votes per share on any matter submitted to our stockholders. Holders of shares of Class A common stock and Class B common stock will vote together as a single class on all matters (including the election of directors) submitted to a vote of stockholders, unless otherwise required by Delaware law.</w:t>
      </w:r>
    </w:p>
    <w:p>
      <w:pPr>
        <w:spacing w:after="0" w:line="17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Under Delaware law, holders of our Class A common stock or Class B common stock would be entitled to vote as a separate class if a proposed amendment to our amended and restated certificate of incorporation would increase or decrease the aggregate number of authorized shares of such class, increase or decrease the par value of the shares of such class, or alter or change the powers, preferences, or special rights of the shares of such class so as to affect them adversely. As a result, in these limited instances, the holders of a majority of the Class A common stock could defeat any amendment to our amended and restated certificate of incorporation. For example, if a proposed amendment of our amended and restated certificate of incorporation provided for the Class A common stock to rank junior to the Class B common stock with respect to (1) any dividend or distribution, (2) the</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color w:val="auto"/>
        </w:rPr>
        <w:t>distribution of proceeds to be acquired, or (3) any other right, Delaware law would require the vote of the Class A common stock. In this instance, the holders of a majority of Class A common stock could defeat that amendment to our amended and restated certificate of incorporation.</w:t>
      </w:r>
    </w:p>
    <w:p>
      <w:pPr>
        <w:spacing w:after="0" w:line="169"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Our amended and restated certificate of incorporation that will be in effect immediately prior to the closing of this offering does not provide for cumulative voting for the election of directors.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Economic Rights</w:t>
      </w:r>
    </w:p>
    <w:p>
      <w:pPr>
        <w:spacing w:after="0" w:line="102" w:lineRule="exact"/>
        <w:rPr>
          <w:sz w:val="20"/>
          <w:szCs w:val="20"/>
          <w:color w:val="auto"/>
        </w:rPr>
      </w:pPr>
    </w:p>
    <w:p>
      <w:pPr>
        <w:ind w:left="120" w:right="280" w:firstLine="551"/>
        <w:spacing w:after="0" w:line="247" w:lineRule="auto"/>
        <w:rPr>
          <w:sz w:val="20"/>
          <w:szCs w:val="20"/>
          <w:color w:val="auto"/>
        </w:rPr>
      </w:pPr>
      <w:r>
        <w:rPr>
          <w:rFonts w:ascii="Arial" w:cs="Arial" w:eastAsia="Arial" w:hAnsi="Arial"/>
          <w:sz w:val="18"/>
          <w:szCs w:val="18"/>
          <w:color w:val="auto"/>
        </w:rPr>
        <w:t>Except as otherwise will be expressly provided in our amended and restated certificate of incorporation that will be in effect immediately prior to the closing of this offering or required by applicable law, all shares of Class A common stock and Class B common stock will have the same rights and privileges and rank equally, share ratably, and be identical in all respects for all matters, including those described below.</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102" w:lineRule="exact"/>
        <w:rPr>
          <w:sz w:val="20"/>
          <w:szCs w:val="20"/>
          <w:color w:val="auto"/>
        </w:rPr>
      </w:pPr>
    </w:p>
    <w:p>
      <w:pPr>
        <w:ind w:left="120" w:right="140" w:firstLine="551"/>
        <w:spacing w:after="0" w:line="24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Class A common stock and Class B common stock will be entitled to share equally, identically, and ratably, on a per share basis, with respect to any dividend or distribution of cash or property paid or distributed by the company, unless different treatment of the shares of the affected series is approved by the affirmative vote of the holders of a majority of the outstanding shares of such affected series, voting separately as a series. See the section titled “Dividend Policy” for additional information.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0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On our liquidation, dissolution, or winding-up, the holders of Class A common stock and Class B common stock will be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series, voting separately as a series; provided that the holders of Class A common stock and Class B common stock may receive different or disproportionate consideration in connection with our liquidation, if the only difference in the per share consideration to the holders of Class A common stock and Class B common stock is that any securities distributed to the holders of Class B common stock have 20 times the voting power of any securities distributed to the holders of Class A common stock.</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of Control Transactions</w:t>
      </w:r>
    </w:p>
    <w:p>
      <w:pPr>
        <w:spacing w:after="0" w:line="102"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7"/>
          <w:szCs w:val="17"/>
          <w:color w:val="auto"/>
        </w:rPr>
        <w:t>The holders of Class A common stock and Class B common stock will be treated equally and identically with respect to shares of Class A common stock or Class B common stock owned by them, unless different treatment of the shares of each series is approved by the affirmative vote of the holders of a majority of the outstanding shares of the series treated differently, voting separately as a series, on</w:t>
      </w:r>
    </w:p>
    <w:p>
      <w:pPr>
        <w:spacing w:after="0" w:line="2" w:lineRule="exact"/>
        <w:rPr>
          <w:sz w:val="20"/>
          <w:szCs w:val="20"/>
          <w:color w:val="auto"/>
        </w:rPr>
      </w:pPr>
    </w:p>
    <w:p>
      <w:pPr>
        <w:ind w:left="120" w:right="40" w:hanging="4"/>
        <w:spacing w:after="0" w:line="237" w:lineRule="auto"/>
        <w:tabs>
          <w:tab w:leader="none" w:pos="39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closing of the sale, transfer, or other disposition of all or substantially all of our assets, (b) the consummation of a consolidation, merger, or reorganization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 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80"/>
          </w:cols>
          <w:pgMar w:left="320" w:top="455" w:right="4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sale, consolidation, merger, or reorganization under any employment, consulting, severance, or other compensatory arrangement will be disregarded for the purposes of determining whether holders of common stock are treated equally and identically.</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Subdivisions and Combinations</w:t>
      </w:r>
    </w:p>
    <w:p>
      <w:pPr>
        <w:spacing w:after="0" w:line="102"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color w:val="auto"/>
        </w:rPr>
        <w:t>If we subdivide or combine in any manner outstanding shares of Class A common stock or Class B common stock, the outstanding shares of the other class will be subdivided or combined in the same proportion and manner.</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02" w:lineRule="exact"/>
        <w:rPr>
          <w:sz w:val="20"/>
          <w:szCs w:val="20"/>
          <w:color w:val="auto"/>
        </w:rPr>
      </w:pPr>
    </w:p>
    <w:p>
      <w:pPr>
        <w:ind w:left="120" w:right="260" w:firstLine="551"/>
        <w:spacing w:after="0" w:line="253" w:lineRule="auto"/>
        <w:rPr>
          <w:sz w:val="20"/>
          <w:szCs w:val="20"/>
          <w:color w:val="auto"/>
        </w:rPr>
      </w:pPr>
      <w:r>
        <w:rPr>
          <w:rFonts w:ascii="Arial" w:cs="Arial" w:eastAsia="Arial" w:hAnsi="Arial"/>
          <w:sz w:val="18"/>
          <w:szCs w:val="18"/>
          <w:color w:val="auto"/>
        </w:rPr>
        <w:t>Our Class A common stock and Class B common stock are not entitled to preemptive rights, and are not subject to conversion, redemption, or sinking fund provisions, except for the conversion provisions with respect to the Class B common stock described below and to the extent that such a right may from time to time be set forth in a written agreement between us and a stockholder.</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 of Class B Common Stock</w:t>
      </w:r>
    </w:p>
    <w:p>
      <w:pPr>
        <w:spacing w:after="0" w:line="102"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which occurs after the completion of this offering, except for certain permitted transfers set forth in our amended and restated certificate of incorporation, including transfers to certain trusts for estate planning purposes and entities under common control with or controlled by such holder of our Class B common stock. Once converted into Class A common stock, the Class B common stock will not be reissued.</w:t>
      </w:r>
    </w:p>
    <w:p>
      <w:pPr>
        <w:spacing w:after="0" w:line="179" w:lineRule="exact"/>
        <w:rPr>
          <w:sz w:val="20"/>
          <w:szCs w:val="20"/>
          <w:color w:val="auto"/>
        </w:rPr>
      </w:pPr>
    </w:p>
    <w:p>
      <w:pPr>
        <w:ind w:left="120" w:right="320" w:firstLine="551"/>
        <w:spacing w:after="0" w:line="271" w:lineRule="auto"/>
        <w:rPr>
          <w:sz w:val="20"/>
          <w:szCs w:val="20"/>
          <w:color w:val="auto"/>
        </w:rPr>
      </w:pPr>
      <w:r>
        <w:rPr>
          <w:rFonts w:ascii="Arial" w:cs="Arial" w:eastAsia="Arial" w:hAnsi="Arial"/>
          <w:sz w:val="18"/>
          <w:szCs w:val="18"/>
          <w:color w:val="auto"/>
        </w:rPr>
        <w:t>All of the outstanding shares of Class B common stock will convert automatically into shares of Class A common stock upon the earliest to occur following this offering:</w:t>
      </w:r>
    </w:p>
    <w:p>
      <w:pPr>
        <w:spacing w:after="0" w:line="46" w:lineRule="exact"/>
        <w:rPr>
          <w:sz w:val="20"/>
          <w:szCs w:val="20"/>
          <w:color w:val="auto"/>
        </w:rPr>
      </w:pPr>
    </w:p>
    <w:p>
      <w:pPr>
        <w:ind w:left="120" w:firstLine="547"/>
        <w:spacing w:after="0"/>
        <w:tabs>
          <w:tab w:leader="none" w:pos="881"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date fixed by our board of directors that is no less than 61 days and no more than 180 days following the first time after 11:59 p.m. Eastern Time on the closing date of this offering that the number of shares of our Class B common stock, and any shares of Class B common stock underlying equity securities, held by our co-founders, certain immediate family members and their permitted entities and permitted transferees, in the aggregate, is less than 20% of the number of shares of Class B common stock held by our co-founders, certain immediate family members and their permitted entities at 11:59 p.m. Eastern Time on the closing date of this offering (provided that if no such date is fixed by our board of directors, it shall be the 180th date following the first time after 11:59 p.m. Eastern Time on the closing date of this offering);</w:t>
      </w:r>
    </w:p>
    <w:p>
      <w:pPr>
        <w:spacing w:after="0" w:line="76" w:lineRule="exact"/>
        <w:rPr>
          <w:rFonts w:ascii="Arial" w:cs="Arial" w:eastAsia="Arial" w:hAnsi="Arial"/>
          <w:sz w:val="18"/>
          <w:szCs w:val="18"/>
          <w:color w:val="auto"/>
        </w:rPr>
      </w:pPr>
    </w:p>
    <w:p>
      <w:pPr>
        <w:ind w:left="920" w:hanging="253"/>
        <w:spacing w:after="0"/>
        <w:tabs>
          <w:tab w:leader="none" w:pos="9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last trading day of the fiscal year following the tenth anniversary of the closing of this offering;</w:t>
      </w:r>
    </w:p>
    <w:p>
      <w:pPr>
        <w:spacing w:after="0" w:line="103" w:lineRule="exact"/>
        <w:rPr>
          <w:rFonts w:ascii="Arial" w:cs="Arial" w:eastAsia="Arial" w:hAnsi="Arial"/>
          <w:sz w:val="18"/>
          <w:szCs w:val="18"/>
          <w:color w:val="auto"/>
        </w:rPr>
      </w:pPr>
    </w:p>
    <w:p>
      <w:pPr>
        <w:ind w:left="960" w:hanging="293"/>
        <w:spacing w:after="0"/>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date fixed by our board of directors that is no less than 61 days and no more than 180 days following the first time after</w:t>
      </w:r>
    </w:p>
    <w:p>
      <w:pPr>
        <w:spacing w:after="0" w:line="14" w:lineRule="exact"/>
        <w:rPr>
          <w:sz w:val="20"/>
          <w:szCs w:val="20"/>
          <w:color w:val="auto"/>
        </w:rPr>
      </w:pPr>
    </w:p>
    <w:p>
      <w:pPr>
        <w:ind w:left="120" w:right="80"/>
        <w:spacing w:after="0" w:line="250" w:lineRule="auto"/>
        <w:rPr>
          <w:sz w:val="20"/>
          <w:szCs w:val="20"/>
          <w:color w:val="auto"/>
        </w:rPr>
      </w:pPr>
      <w:r>
        <w:rPr>
          <w:rFonts w:ascii="Arial" w:cs="Arial" w:eastAsia="Arial" w:hAnsi="Arial"/>
          <w:sz w:val="18"/>
          <w:szCs w:val="18"/>
          <w:color w:val="auto"/>
        </w:rPr>
        <w:t>11:59 p.m. Eastern Time on the closing date of this offering that the second of our co-founders experiences a Triggering Event (other than death or disability); or</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(iv) the date that is 12 months after the second of our co-founders experiences a Triggering Event that is death or disability.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“Triggering Event” is the first to occur of any of the following with respect to each of our co-founders:</w:t>
      </w:r>
    </w:p>
    <w:p>
      <w:pPr>
        <w:spacing w:after="0" w:line="117" w:lineRule="exact"/>
        <w:rPr>
          <w:sz w:val="20"/>
          <w:szCs w:val="20"/>
          <w:color w:val="auto"/>
        </w:rPr>
      </w:pPr>
    </w:p>
    <w:p>
      <w:pPr>
        <w:ind w:left="880" w:right="560" w:hanging="224"/>
        <w:spacing w:after="0" w:line="271" w:lineRule="auto"/>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(1) such co-founder is no longer providing services to us as an officer or employee, and (2) such co-founder is no longer a member of our board of directors as a result of a voluntary</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880" w:right="440"/>
        <w:spacing w:after="0" w:line="271" w:lineRule="auto"/>
        <w:rPr>
          <w:sz w:val="20"/>
          <w:szCs w:val="20"/>
          <w:color w:val="auto"/>
        </w:rPr>
      </w:pPr>
      <w:r>
        <w:rPr>
          <w:rFonts w:ascii="Arial" w:cs="Arial" w:eastAsia="Arial" w:hAnsi="Arial"/>
          <w:sz w:val="18"/>
          <w:szCs w:val="18"/>
          <w:color w:val="auto"/>
        </w:rPr>
        <w:t>resignation by such co-founder or as a result of a request of or agreement with such co-founder not to be renominated as a director at a meeting of stockholders;</w:t>
      </w:r>
    </w:p>
    <w:p>
      <w:pPr>
        <w:spacing w:after="0" w:line="59" w:lineRule="exact"/>
        <w:rPr>
          <w:sz w:val="20"/>
          <w:szCs w:val="20"/>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such co-founder’s employment with us is terminated for cause;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death or disability of such co-founder.</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Voting Proxy</w:t>
      </w:r>
    </w:p>
    <w:p>
      <w:pPr>
        <w:spacing w:after="0" w:line="102"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At the time of this offering, Mr. Colis and Mr. Wang will each enter into a voting proxy in favor of the other such that, upon the occurrence of a Triggering Event with respect to either Mr. Colis or Mr. Wang, a voting proxy will automatically be granted to the co-founder who has not experienced such Triggering Event over all of the shares of Class B common stock held by the co -founder who has experienced the Triggering Event (together with certain of his immediate family members, his related permitted entities and permitted transferees). Pursuant to such proxy, the co-founder who has not experienced the Triggering Event will have exclusive voting control over those shares.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02" w:lineRule="exact"/>
        <w:rPr>
          <w:sz w:val="20"/>
          <w:szCs w:val="20"/>
          <w:color w:val="auto"/>
        </w:rPr>
      </w:pPr>
    </w:p>
    <w:p>
      <w:pPr>
        <w:ind w:left="120" w:right="280" w:firstLine="551"/>
        <w:spacing w:after="0" w:line="271" w:lineRule="auto"/>
        <w:rPr>
          <w:sz w:val="20"/>
          <w:szCs w:val="20"/>
          <w:color w:val="auto"/>
        </w:rPr>
      </w:pPr>
      <w:r>
        <w:rPr>
          <w:rFonts w:ascii="Arial" w:cs="Arial" w:eastAsia="Arial" w:hAnsi="Arial"/>
          <w:sz w:val="18"/>
          <w:szCs w:val="18"/>
          <w:color w:val="auto"/>
        </w:rPr>
        <w:t>In connection with this offering, our legal counsel will opine that the shares of our Class A common stock to be issued under this offering will be fully paid and non-assessable.</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Anti-Takeover Effects of Delaware Law and Our Certificate of Incorporation and Bylaws</w:t>
      </w:r>
    </w:p>
    <w:p>
      <w:pPr>
        <w:spacing w:after="0" w:line="102"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provisions that could make the following transactions more difficult: an acquisition of us by means of a tender offer,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76"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102"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Our amended and restated bylaws provide that a special meeting of stockholders may be called by our board of directors and our secretary upon the request of a majority of our board of directors then in office.</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02"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02"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color w:val="auto"/>
        </w:rPr>
        <w:t>Our board of directors is divided into three classes. The directors in each class serve for a three-year term, one class being elected each year by our stockholders by a plurality of the votes cast. For</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00"/>
          </w:cols>
          <w:pgMar w:left="320" w:top="455" w:right="4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more information on the classified board, see the section titled “Management—Composition of Our Board of Directors.”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02" w:lineRule="exact"/>
        <w:rPr>
          <w:sz w:val="20"/>
          <w:szCs w:val="20"/>
          <w:color w:val="auto"/>
        </w:rPr>
      </w:pPr>
    </w:p>
    <w:p>
      <w:pPr>
        <w:ind w:left="120" w:right="120" w:firstLine="551"/>
        <w:spacing w:after="0" w:line="253" w:lineRule="auto"/>
        <w:rPr>
          <w:sz w:val="20"/>
          <w:szCs w:val="20"/>
          <w:color w:val="auto"/>
        </w:rPr>
      </w:pPr>
      <w:r>
        <w:rPr>
          <w:rFonts w:ascii="Arial" w:cs="Arial" w:eastAsia="Arial" w:hAnsi="Arial"/>
          <w:sz w:val="18"/>
          <w:szCs w:val="18"/>
          <w:color w:val="auto"/>
        </w:rPr>
        <w:t>Our amended and restated certificate of incorporation provides that no member of our board of directors may be removed from office by our stockholders except for cause and, in addition to any other vote required by law, upon the approval of at least 66 2/3% of the total voting power of all of our outstanding capital stock then entitled to vote in the election of directors.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102" w:lineRule="exact"/>
        <w:rPr>
          <w:sz w:val="20"/>
          <w:szCs w:val="20"/>
          <w:color w:val="auto"/>
        </w:rPr>
      </w:pPr>
    </w:p>
    <w:p>
      <w:pPr>
        <w:ind w:left="120" w:right="160" w:firstLine="551"/>
        <w:spacing w:after="0" w:line="247" w:lineRule="auto"/>
        <w:rPr>
          <w:sz w:val="20"/>
          <w:szCs w:val="20"/>
          <w:color w:val="auto"/>
        </w:rPr>
      </w:pPr>
      <w:r>
        <w:rPr>
          <w:rFonts w:ascii="Arial" w:cs="Arial" w:eastAsia="Arial" w:hAnsi="Arial"/>
          <w:sz w:val="18"/>
          <w:szCs w:val="18"/>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(if any) may be entitled to elect.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02"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Our amended and restated certificate of incorporation to be effective immediately prior to the closing of this offering provides that the Court of Chancery of the State of Delaware and any appellate court therefrom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the following types of actions or proceedings under Delaware statutory or common law: (1) any derivative action or proceeding brought on our behalf; (2) any action or proceeding asserting a breach of fiduciary duty; (3) any action or proceeding asserting a claim against us under the Delaware General Corporation Law; (4) any action or proceeding regarding our amended and restated certificate of incorporation or our amended and restated bylaws; (5) any action or proceeding as to which the Delaware General Corporation Law confers jurisdiction to the Court of Chancery of the State of Delaware; or (6) any action or proceeding asserting a claim against us or any current or former director, officer or other employee that is governed by the internal affairs doctrine.</w:t>
      </w:r>
    </w:p>
    <w:p>
      <w:pPr>
        <w:spacing w:after="0" w:line="18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This choice of forum provision would not apply to claims brought to enforce a duty or liability created by the Securities Act, the Exchange Act or any other claim for which the federal courts have exclusive jurisdiction. Our amended and restated certificate of incorporation to be effective immediately prior to the closing of this offering further provides that, unless we consent in writing to the selection of an alternative forum, to the fullest extent permitted by law, the federal district courts of the United States of America will be the exclusive forum for resolving any complaint asserting a cause or causes of action arising under the Securities Act In addition, our amended and restated certificate of incorporation to be effective immediately prior to the closing of this offering will provide that any person or entity holding, owning or otherwise acquiring any interest in any of our securities shall be deemed to have notice of and consented to these provisions.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Certificate of Incorporation Provisions</w:t>
      </w:r>
    </w:p>
    <w:p>
      <w:pPr>
        <w:spacing w:after="0" w:line="102" w:lineRule="exact"/>
        <w:rPr>
          <w:sz w:val="20"/>
          <w:szCs w:val="20"/>
          <w:color w:val="auto"/>
        </w:rPr>
      </w:pPr>
    </w:p>
    <w:p>
      <w:pPr>
        <w:ind w:left="120" w:right="520" w:firstLine="551"/>
        <w:spacing w:after="0" w:line="301" w:lineRule="auto"/>
        <w:rPr>
          <w:sz w:val="20"/>
          <w:szCs w:val="20"/>
          <w:color w:val="auto"/>
        </w:rPr>
      </w:pPr>
      <w:r>
        <w:rPr>
          <w:rFonts w:ascii="Arial" w:cs="Arial" w:eastAsia="Arial" w:hAnsi="Arial"/>
          <w:sz w:val="17"/>
          <w:szCs w:val="17"/>
          <w:color w:val="auto"/>
        </w:rPr>
        <w:t>The amendment of any of the above provisions, except for the provision making it possible for our board of directors to issue preferred stock, would require approval by holders of at least 66 2/3% of the total voting power of all of our outstanding capital stock.</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40"/>
          </w:cols>
          <w:pgMar w:left="320" w:top="455" w:right="4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04" w:lineRule="exact"/>
        <w:rPr>
          <w:sz w:val="20"/>
          <w:szCs w:val="20"/>
          <w:color w:val="auto"/>
        </w:rPr>
      </w:pPr>
    </w:p>
    <w:p>
      <w:pPr>
        <w:ind w:left="120" w:right="200" w:firstLine="551"/>
        <w:spacing w:after="0" w:line="244" w:lineRule="auto"/>
        <w:rPr>
          <w:sz w:val="20"/>
          <w:szCs w:val="20"/>
          <w:color w:val="auto"/>
        </w:rPr>
      </w:pPr>
      <w:r>
        <w:rPr>
          <w:rFonts w:ascii="Arial" w:cs="Arial" w:eastAsia="Arial" w:hAnsi="Arial"/>
          <w:sz w:val="18"/>
          <w:szCs w:val="18"/>
          <w:color w:val="auto"/>
        </w:rPr>
        <w:t>Pursuant to the provisions of our amended and restated certificate of incorporation,         outstanding shares of redeemable convertible preferred stock will automatically be converted into         of shares of our Class A common stock immediately prior to the completion of this offering (based on the assumed initial public offering price of $        per share, the midpoint of the price range set forth on the cover page of this prospectus), of which         shares will be exchangeable for an equal number of shares of Class B common stock at the election of Accel and Sequoia Capital, respectively.</w:t>
      </w:r>
    </w:p>
    <w:p>
      <w:pPr>
        <w:spacing w:after="0" w:line="176"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Upon the closing of this offering, our board of directors may, without further action by our stockholders, fix the rights, preferences, privileges, and restrictions of up to an aggregate of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Upon the closing of this offering, no shares of preferred stock will be outstanding, and we have no present plan to issue any shares of preferred stock.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104"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As of September 30, 2025, there were options to purchase an aggregate of 1,196,398 shares of Class A common stock outstanding under our equity compensation plans, with a weighted-average exercise price of $3.23 per share.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0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of September 30, 2025, there were 9,737,019 RSUs for shares of Class A common stock outstanding, of which 3,708,268 shares will be exchangeable for an equal number of shares of Class B common stock at the election of our co-founders. In connection with this offering, we will issue a number of new shares of Class A common stock in connection with the vesting and settlement of certain outstanding RSUs subject to service-based and liquidity event-based conditions for which the service-based condition was or will be fully or partially satisfied prior to this offering and the liquidity event-based condition will be satisfied upon the effectiveness of the registration statement of which this prospectus forms a part, after giving effect to the net issuance of         shares of our Class A common stock, of which         shares will be exchangeable for an equal number of shares of Class B common stock pursuant to the Equity Exchange</w:t>
      </w:r>
    </w:p>
    <w:p>
      <w:pPr>
        <w:spacing w:after="0" w:line="5"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Right, in connection with the RSU Net Settlement, after withholding         shares to satisfy estimated tax withholding and remittance obligations (based on the assumed initial public offering price of $        per share, the midpoint of the price range set forth on the cover page of this prospectus, and an assumed         % tax</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withholding rate). All remaining RSUs will become an equivalent number of shares of Class A common stock subject to outstanding RSUs under our 2016 Plan immediately prior to the closing of this offering.</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04" w:lineRule="exact"/>
        <w:rPr>
          <w:sz w:val="20"/>
          <w:szCs w:val="20"/>
          <w:color w:val="auto"/>
        </w:rPr>
      </w:pPr>
    </w:p>
    <w:p>
      <w:pPr>
        <w:jc w:val="both"/>
        <w:ind w:left="120" w:right="100" w:firstLine="551"/>
        <w:spacing w:after="0" w:line="253" w:lineRule="auto"/>
        <w:rPr>
          <w:sz w:val="20"/>
          <w:szCs w:val="20"/>
          <w:color w:val="auto"/>
        </w:rPr>
      </w:pPr>
      <w:r>
        <w:rPr>
          <w:rFonts w:ascii="Arial" w:cs="Arial" w:eastAsia="Arial" w:hAnsi="Arial"/>
          <w:sz w:val="18"/>
          <w:szCs w:val="18"/>
          <w:color w:val="auto"/>
        </w:rPr>
        <w:t>As of September 30, 2025, we had outstanding warrants to purchase an aggregate 580,579 shares of our Class A common stock, with a weighted-average exercise price of $12.21 per share. Subsequent to September 30, 2025, warrants to purchase 32,090 shares of Class A common stock were exercised at an exercise price of $0.07 per share.</w:t>
      </w:r>
    </w:p>
    <w:p>
      <w:pPr>
        <w:spacing w:after="0" w:line="169"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In connection with a financing arrangement, we issued warrants to purchase 85,962 shares of our Class A common stock to Silicon Valley Bank, which remain outstanding as of the date of this prospectus. Additionally, from time to time, we have issued, and may in the future issue, warrants to third parties in connection with commercial arrangements.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04"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Our amended and restated investors’ rights agreement provides that certain holders of our redeemable convertible preferred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and not to exceed $50,000, of one counsel for the selling holders of the shares registered by the demand, piggyback, and Form S-3 registrations described below.</w:t>
      </w:r>
    </w:p>
    <w:p>
      <w:pPr>
        <w:spacing w:after="0" w:line="179" w:lineRule="exact"/>
        <w:rPr>
          <w:sz w:val="20"/>
          <w:szCs w:val="20"/>
          <w:color w:val="auto"/>
        </w:rPr>
      </w:pPr>
    </w:p>
    <w:p>
      <w:pPr>
        <w:jc w:val="both"/>
        <w:ind w:left="120" w:right="320" w:firstLine="551"/>
        <w:spacing w:after="0" w:line="247"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closing of this offering, or with respect to any particular stockholder, such time after the closing of this offering that such stockholder can sell all of its shares entitled to registration rights under Rule 144 of the Securities Act during any 90-day period.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0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holders of an aggregate of         shares of our common stock will be entitled to certain demand registration rights, which includes all of the shares of Class A common stock issuable upon the automatic conversion of our redeemable convertible preferred stock immediately prior to the closing of this offering (based on the assumed initial public offering price of $        per share, the midpoint of the price range set forth on the cover page of this prospectus). At any time beginning six months after the effective date of the registration statement of which this prospectus forms a part, certain holders of these shares may request that we register all or a portion of the registrable shares. We are obligated to effect only two such registrations. Such request for registration must cover at least that number of registrable shares as would have an anticipated aggregate offering price of at least $7.5 million.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02"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In connection with this offering, the holders of an aggregate of         shares of our common stock, which includes all of the shares of Class A common stock issuable upon the automatic conversion of our redeemable convertible preferred stock immediately prior to the closing of this offering (based on the assumed initial public offering price of $        per share, the midpoint of the price range set forth on the cover page of this prospectus), were entitled to, and the necessary</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80"/>
          </w:cols>
          <w:pgMar w:left="320" w:top="455" w:right="4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(i) a registration relating to the demand registration rights set forth above, (ii) a registration relating solely to the issuance of securities by us or a subsidiary pursuant to a stock option, stock purchase, or similar plan, (iii) a registration relating to a corporate reorganization or transaction under Rule 145 of the Securities Act, (iv) a registration on any form that does not include substantially the same information as would be required to be included in a registration statement covering the sale of the shares held by the holders, or (v) a registration in which the only common stock being registered is common stock issued upon conversion of debt securities that are also being registered, the holders of these shares are entitled to notice of the registration, and have the right to include their shares in the registration, subject to limitations that the underwriters may impose on the number of shares included in the offering.</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0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holders of an aggregate of         shares of common stock will be entitled to certain Form S-3 registration rights, which includes all of the shares of Class A common stock issuable upon the automatic conversion of our redeemable convertible preferred stock immediately prior to the closing of this offering (based on the assumed initial public offering price of $        per share, the midpoint of the price range set forth on the cover page of this prospectus). At any time after the effective date of the registration statement of which this prospectus forms a part, the holders of these shares can make a request that we register their shares on Form S-3 if we are qualified to file a registration statement on Form S-3 and if the anticipated aggregate price of the shares offered would be at least $1.0 million, subject to exceptions set forth in the amended and restated investors’ rights agreement. We will not be required to effect more than two registrations on Form S-3 within any 12-month period.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04"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color w:val="auto"/>
        </w:rPr>
        <w:t>The transfer agent and registrar for our Class A common stock and Class B common stock will be Computershare Trust Company, N.A. The transfer agent and registrar’s address is 150 Royall Street, Canton, Massachusetts 02021.</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Listing</w:t>
      </w:r>
    </w:p>
    <w:p>
      <w:pPr>
        <w:spacing w:after="0" w:line="104"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Our common stock is currently not listed on any securities exchange. We have applied to list our Class A common stock on Nasdaq under the symbol “LIFE.”</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00"/>
          </w:cols>
          <w:pgMar w:left="320" w:top="455" w:right="4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ELIGIBLE FOR FUTURE SALE</w:t>
      </w:r>
    </w:p>
    <w:p>
      <w:pPr>
        <w:spacing w:after="0" w:line="212" w:lineRule="exact"/>
        <w:rPr>
          <w:sz w:val="20"/>
          <w:szCs w:val="20"/>
          <w:color w:val="auto"/>
        </w:rPr>
      </w:pPr>
    </w:p>
    <w:p>
      <w:pPr>
        <w:ind w:left="120" w:right="300" w:firstLine="551"/>
        <w:spacing w:after="0" w:line="247" w:lineRule="auto"/>
        <w:rPr>
          <w:sz w:val="20"/>
          <w:szCs w:val="20"/>
          <w:color w:val="auto"/>
        </w:rPr>
      </w:pPr>
      <w:r>
        <w:rPr>
          <w:rFonts w:ascii="Arial" w:cs="Arial" w:eastAsia="Arial" w:hAnsi="Arial"/>
          <w:sz w:val="18"/>
          <w:szCs w:val="18"/>
          <w:color w:val="auto"/>
        </w:rPr>
        <w:t>Prior to this offering, there has been no public market for our Class A common stock. Future sales of substantial amounts of Class A common stock in the public market, or the perception that such sales may occur, could adversely affect the market price of our Class A common stock. Although we have applied to list our Class A common stock on Nasdaq, we cannot assure you an active public market for our Class A common stock will develop.</w:t>
      </w:r>
    </w:p>
    <w:p>
      <w:pPr>
        <w:spacing w:after="0" w:line="174" w:lineRule="exact"/>
        <w:rPr>
          <w:sz w:val="20"/>
          <w:szCs w:val="20"/>
          <w:color w:val="auto"/>
        </w:rPr>
      </w:pPr>
    </w:p>
    <w:p>
      <w:pPr>
        <w:ind w:left="120" w:right="160" w:firstLine="551"/>
        <w:spacing w:after="0" w:line="241" w:lineRule="auto"/>
        <w:rPr>
          <w:sz w:val="20"/>
          <w:szCs w:val="20"/>
          <w:color w:val="auto"/>
        </w:rPr>
      </w:pPr>
      <w:r>
        <w:rPr>
          <w:rFonts w:ascii="Arial" w:cs="Arial" w:eastAsia="Arial" w:hAnsi="Arial"/>
          <w:sz w:val="18"/>
          <w:szCs w:val="18"/>
          <w:color w:val="auto"/>
        </w:rPr>
        <w:t xml:space="preserve">Following the closing of this offering, based on the number of shares of our Class A common stock outstanding as of September 30, 2025 and assuming (i) the reclassification of our outstanding common stock as Class A common stock, (ii) the Preferred Conversion, (iii) the Class B Stock Exchange, (iv) the RSU Net Settlement (based on the assumed initial public offering price of $       </w:t>
      </w:r>
    </w:p>
    <w:p>
      <w:pPr>
        <w:spacing w:after="0" w:line="2"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per share, the midpoint of the price range set forth on the cover page of this prospectus, and an assumed        % tax withholding rate), and (v) the Warrant Exercise, we will have outstanding an aggregate of approximately        shares of Class A common stock and        shares of Class B common stock.</w:t>
      </w:r>
    </w:p>
    <w:p>
      <w:pPr>
        <w:spacing w:after="0" w:line="179" w:lineRule="exact"/>
        <w:rPr>
          <w:sz w:val="20"/>
          <w:szCs w:val="20"/>
          <w:color w:val="auto"/>
        </w:rPr>
      </w:pPr>
    </w:p>
    <w:p>
      <w:pPr>
        <w:ind w:left="120" w:right="400" w:firstLine="551"/>
        <w:spacing w:after="0" w:line="247" w:lineRule="auto"/>
        <w:rPr>
          <w:sz w:val="20"/>
          <w:szCs w:val="20"/>
          <w:color w:val="auto"/>
        </w:rPr>
      </w:pPr>
      <w:r>
        <w:rPr>
          <w:rFonts w:ascii="Arial" w:cs="Arial" w:eastAsia="Arial" w:hAnsi="Arial"/>
          <w:sz w:val="18"/>
          <w:szCs w:val="18"/>
          <w:color w:val="auto"/>
        </w:rPr>
        <w:t>Of these shares, all shares of Class A common stock sold in this offering will be freely tradable without restriction or further registration under the Securities Act, except for any shares purchased by our “affiliates,” as that term is defined in Rule 144 under the Securities Act. Shares purchased by our affiliates would be subject to the Rule 144 resale restrictions described below, other than the holding period requirement.</w:t>
      </w:r>
    </w:p>
    <w:p>
      <w:pPr>
        <w:spacing w:after="0" w:line="174"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The remaining outstanding shares of Class A common stock and Class B common stock will be, and shares underlying outstanding RSUs and shares subject to stock options and RSUs will be upon issuance, deemed “restricted securities” as defined in Rule 144 under the Securities Act. These restricted securities are eligible for public sale only if they are registered under the Securities Act or if they qualify for an exemption from registration under Rule 144 or Rule 701 under the Securities Act, each of which is summarized below. Substantially all of these shares will be subject to a lock-up period under the lock-up agreements and market stand-off agreements described below.</w:t>
      </w:r>
    </w:p>
    <w:p>
      <w:pPr>
        <w:spacing w:after="0" w:line="179"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As a result of the lock-up agreements and market stand-off provisions described below, and subject to the provisions of Rule 144 or Rule 701 under the Securities Act and of our insider trading policy, the earliest these restricted securities may be available for sale in the public market is as follows:</w:t>
      </w:r>
    </w:p>
    <w:p>
      <w:pPr>
        <w:spacing w:after="0" w:line="19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80"/>
              <w:spacing w:after="0"/>
              <w:rPr>
                <w:sz w:val="20"/>
                <w:szCs w:val="20"/>
                <w:color w:val="auto"/>
              </w:rPr>
            </w:pPr>
            <w:r>
              <w:rPr>
                <w:rFonts w:ascii="Arial" w:cs="Arial" w:eastAsia="Arial" w:hAnsi="Arial"/>
                <w:sz w:val="18"/>
                <w:szCs w:val="18"/>
                <w:color w:val="auto"/>
              </w:rPr>
              <w:t xml:space="preserve">beginning on the date of this prospectus, all        </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 </w:t>
            </w:r>
          </w:p>
        </w:tc>
        <w:tc>
          <w:tcPr>
            <w:tcW w:w="5920" w:type="dxa"/>
            <w:vAlign w:val="bottom"/>
            <w:gridSpan w:val="2"/>
          </w:tcPr>
          <w:p>
            <w:pPr>
              <w:ind w:left="40"/>
              <w:spacing w:after="0"/>
              <w:rPr>
                <w:sz w:val="20"/>
                <w:szCs w:val="20"/>
                <w:color w:val="auto"/>
              </w:rPr>
            </w:pPr>
            <w:r>
              <w:rPr>
                <w:rFonts w:ascii="Arial" w:cs="Arial" w:eastAsia="Arial" w:hAnsi="Arial"/>
                <w:sz w:val="18"/>
                <w:szCs w:val="18"/>
                <w:color w:val="auto"/>
              </w:rPr>
              <w:t>shares of our Class A common stock sold in this offering will be</w:t>
            </w:r>
          </w:p>
        </w:tc>
      </w:tr>
      <w:tr>
        <w:trPr>
          <w:trHeight w:val="239"/>
        </w:trPr>
        <w:tc>
          <w:tcPr>
            <w:tcW w:w="140" w:type="dxa"/>
            <w:vAlign w:val="bottom"/>
          </w:tcPr>
          <w:p>
            <w:pPr>
              <w:spacing w:after="0"/>
              <w:rPr>
                <w:sz w:val="20"/>
                <w:szCs w:val="20"/>
                <w:color w:val="auto"/>
              </w:rPr>
            </w:pPr>
          </w:p>
        </w:tc>
        <w:tc>
          <w:tcPr>
            <w:tcW w:w="4120" w:type="dxa"/>
            <w:vAlign w:val="bottom"/>
          </w:tcPr>
          <w:p>
            <w:pPr>
              <w:ind w:left="80"/>
              <w:spacing w:after="0"/>
              <w:rPr>
                <w:sz w:val="20"/>
                <w:szCs w:val="20"/>
                <w:color w:val="auto"/>
              </w:rPr>
            </w:pPr>
            <w:r>
              <w:rPr>
                <w:rFonts w:ascii="Arial" w:cs="Arial" w:eastAsia="Arial" w:hAnsi="Arial"/>
                <w:sz w:val="18"/>
                <w:szCs w:val="18"/>
                <w:color w:val="auto"/>
                <w:w w:val="99"/>
              </w:rPr>
              <w:t>immediately available for sale in the public market;</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28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80"/>
              <w:spacing w:after="0"/>
              <w:rPr>
                <w:sz w:val="20"/>
                <w:szCs w:val="20"/>
                <w:color w:val="auto"/>
              </w:rPr>
            </w:pPr>
            <w:r>
              <w:rPr>
                <w:rFonts w:ascii="Arial" w:cs="Arial" w:eastAsia="Arial" w:hAnsi="Arial"/>
                <w:sz w:val="18"/>
                <w:szCs w:val="18"/>
                <w:color w:val="auto"/>
                <w:w w:val="96"/>
              </w:rPr>
              <w:t>beginning on the date of the Tier 1 Release, up to  </w:t>
            </w:r>
          </w:p>
        </w:tc>
        <w:tc>
          <w:tcPr>
            <w:tcW w:w="200" w:type="dxa"/>
            <w:vAlign w:val="bottom"/>
          </w:tcPr>
          <w:p>
            <w:pPr>
              <w:ind w:left="120"/>
              <w:spacing w:after="0"/>
              <w:rPr>
                <w:sz w:val="20"/>
                <w:szCs w:val="20"/>
                <w:color w:val="auto"/>
              </w:rPr>
            </w:pPr>
            <w:r>
              <w:rPr>
                <w:rFonts w:ascii="Arial" w:cs="Arial" w:eastAsia="Arial" w:hAnsi="Arial"/>
                <w:sz w:val="8"/>
                <w:szCs w:val="8"/>
                <w:color w:val="auto"/>
                <w:w w:val="74"/>
              </w:rPr>
              <w:t> </w:t>
            </w:r>
          </w:p>
        </w:tc>
        <w:tc>
          <w:tcPr>
            <w:tcW w:w="420" w:type="dxa"/>
            <w:vAlign w:val="bottom"/>
          </w:tcPr>
          <w:p>
            <w:pPr>
              <w:ind w:left="100"/>
              <w:spacing w:after="0"/>
              <w:rPr>
                <w:sz w:val="20"/>
                <w:szCs w:val="20"/>
                <w:color w:val="auto"/>
              </w:rPr>
            </w:pPr>
            <w:r>
              <w:rPr>
                <w:rFonts w:ascii="Arial" w:cs="Arial" w:eastAsia="Arial" w:hAnsi="Arial"/>
                <w:sz w:val="18"/>
                <w:szCs w:val="18"/>
                <w:color w:val="auto"/>
              </w:rPr>
              <w:t xml:space="preserve">    </w:t>
            </w:r>
          </w:p>
        </w:tc>
        <w:tc>
          <w:tcPr>
            <w:tcW w:w="5500" w:type="dxa"/>
            <w:vAlign w:val="bottom"/>
          </w:tcPr>
          <w:p>
            <w:pPr>
              <w:ind w:left="100"/>
              <w:spacing w:after="0"/>
              <w:rPr>
                <w:sz w:val="20"/>
                <w:szCs w:val="20"/>
                <w:color w:val="auto"/>
              </w:rPr>
            </w:pPr>
            <w:r>
              <w:rPr>
                <w:rFonts w:ascii="Arial" w:cs="Arial" w:eastAsia="Arial" w:hAnsi="Arial"/>
                <w:sz w:val="18"/>
                <w:szCs w:val="18"/>
                <w:color w:val="auto"/>
              </w:rPr>
              <w:t>shares of our Class A common stock (including any securities</w:t>
            </w:r>
          </w:p>
        </w:tc>
      </w:tr>
      <w:tr>
        <w:trPr>
          <w:trHeight w:val="203"/>
        </w:trPr>
        <w:tc>
          <w:tcPr>
            <w:tcW w:w="140" w:type="dxa"/>
            <w:vAlign w:val="bottom"/>
          </w:tcPr>
          <w:p>
            <w:pPr>
              <w:spacing w:after="0"/>
              <w:rPr>
                <w:sz w:val="17"/>
                <w:szCs w:val="17"/>
                <w:color w:val="auto"/>
              </w:rPr>
            </w:pPr>
          </w:p>
        </w:tc>
        <w:tc>
          <w:tcPr>
            <w:tcW w:w="10240" w:type="dxa"/>
            <w:vAlign w:val="bottom"/>
            <w:gridSpan w:val="4"/>
          </w:tcPr>
          <w:p>
            <w:pPr>
              <w:ind w:left="80"/>
              <w:spacing w:after="0" w:line="202" w:lineRule="exact"/>
              <w:rPr>
                <w:sz w:val="20"/>
                <w:szCs w:val="20"/>
                <w:color w:val="auto"/>
              </w:rPr>
            </w:pPr>
            <w:r>
              <w:rPr>
                <w:rFonts w:ascii="Arial" w:cs="Arial" w:eastAsia="Arial" w:hAnsi="Arial"/>
                <w:sz w:val="18"/>
                <w:szCs w:val="18"/>
                <w:color w:val="auto"/>
                <w:w w:val="99"/>
              </w:rPr>
              <w:t>convertible into, exchangeable for or that represent the right to receive shares of Class A common stock) will become eligible for</w:t>
            </w:r>
          </w:p>
        </w:tc>
      </w:tr>
      <w:tr>
        <w:trPr>
          <w:trHeight w:val="239"/>
        </w:trPr>
        <w:tc>
          <w:tcPr>
            <w:tcW w:w="140" w:type="dxa"/>
            <w:vAlign w:val="bottom"/>
          </w:tcPr>
          <w:p>
            <w:pPr>
              <w:spacing w:after="0"/>
              <w:rPr>
                <w:sz w:val="20"/>
                <w:szCs w:val="20"/>
                <w:color w:val="auto"/>
              </w:rPr>
            </w:pPr>
          </w:p>
        </w:tc>
        <w:tc>
          <w:tcPr>
            <w:tcW w:w="10240" w:type="dxa"/>
            <w:vAlign w:val="bottom"/>
            <w:gridSpan w:val="4"/>
          </w:tcPr>
          <w:p>
            <w:pPr>
              <w:ind w:left="80"/>
              <w:spacing w:after="0"/>
              <w:rPr>
                <w:sz w:val="20"/>
                <w:szCs w:val="20"/>
                <w:color w:val="auto"/>
              </w:rPr>
            </w:pPr>
            <w:r>
              <w:rPr>
                <w:rFonts w:ascii="Arial" w:cs="Arial" w:eastAsia="Arial" w:hAnsi="Arial"/>
                <w:sz w:val="18"/>
                <w:szCs w:val="18"/>
                <w:color w:val="auto"/>
              </w:rPr>
              <w:t>sale in the public market, subject in some cases to the restrictions of Rule 144;</w:t>
            </w:r>
          </w:p>
        </w:tc>
      </w:tr>
      <w:tr>
        <w:trPr>
          <w:trHeight w:val="28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80"/>
              <w:spacing w:after="0"/>
              <w:rPr>
                <w:sz w:val="20"/>
                <w:szCs w:val="20"/>
                <w:color w:val="auto"/>
              </w:rPr>
            </w:pPr>
            <w:r>
              <w:rPr>
                <w:rFonts w:ascii="Arial" w:cs="Arial" w:eastAsia="Arial" w:hAnsi="Arial"/>
                <w:sz w:val="18"/>
                <w:szCs w:val="18"/>
                <w:color w:val="auto"/>
                <w:w w:val="96"/>
              </w:rPr>
              <w:t>beginning on the date of the Tier 2 Release, up to  </w:t>
            </w:r>
          </w:p>
        </w:tc>
        <w:tc>
          <w:tcPr>
            <w:tcW w:w="200" w:type="dxa"/>
            <w:vAlign w:val="bottom"/>
          </w:tcPr>
          <w:p>
            <w:pPr>
              <w:ind w:left="120"/>
              <w:spacing w:after="0"/>
              <w:rPr>
                <w:sz w:val="20"/>
                <w:szCs w:val="20"/>
                <w:color w:val="auto"/>
              </w:rPr>
            </w:pPr>
            <w:r>
              <w:rPr>
                <w:rFonts w:ascii="Arial" w:cs="Arial" w:eastAsia="Arial" w:hAnsi="Arial"/>
                <w:sz w:val="8"/>
                <w:szCs w:val="8"/>
                <w:color w:val="auto"/>
                <w:w w:val="74"/>
              </w:rPr>
              <w:t> </w:t>
            </w:r>
          </w:p>
        </w:tc>
        <w:tc>
          <w:tcPr>
            <w:tcW w:w="420" w:type="dxa"/>
            <w:vAlign w:val="bottom"/>
          </w:tcPr>
          <w:p>
            <w:pPr>
              <w:ind w:left="100"/>
              <w:spacing w:after="0"/>
              <w:rPr>
                <w:sz w:val="20"/>
                <w:szCs w:val="20"/>
                <w:color w:val="auto"/>
              </w:rPr>
            </w:pPr>
            <w:r>
              <w:rPr>
                <w:rFonts w:ascii="Arial" w:cs="Arial" w:eastAsia="Arial" w:hAnsi="Arial"/>
                <w:sz w:val="18"/>
                <w:szCs w:val="18"/>
                <w:color w:val="auto"/>
              </w:rPr>
              <w:t xml:space="preserve">    </w:t>
            </w:r>
          </w:p>
        </w:tc>
        <w:tc>
          <w:tcPr>
            <w:tcW w:w="5500" w:type="dxa"/>
            <w:vAlign w:val="bottom"/>
          </w:tcPr>
          <w:p>
            <w:pPr>
              <w:ind w:left="100"/>
              <w:spacing w:after="0"/>
              <w:rPr>
                <w:sz w:val="20"/>
                <w:szCs w:val="20"/>
                <w:color w:val="auto"/>
              </w:rPr>
            </w:pPr>
            <w:r>
              <w:rPr>
                <w:rFonts w:ascii="Arial" w:cs="Arial" w:eastAsia="Arial" w:hAnsi="Arial"/>
                <w:sz w:val="18"/>
                <w:szCs w:val="18"/>
                <w:color w:val="auto"/>
              </w:rPr>
              <w:t>shares of our Class A common stock (including any securities</w:t>
            </w:r>
          </w:p>
        </w:tc>
      </w:tr>
      <w:tr>
        <w:trPr>
          <w:trHeight w:val="203"/>
        </w:trPr>
        <w:tc>
          <w:tcPr>
            <w:tcW w:w="140" w:type="dxa"/>
            <w:vAlign w:val="bottom"/>
          </w:tcPr>
          <w:p>
            <w:pPr>
              <w:spacing w:after="0"/>
              <w:rPr>
                <w:sz w:val="17"/>
                <w:szCs w:val="17"/>
                <w:color w:val="auto"/>
              </w:rPr>
            </w:pPr>
          </w:p>
        </w:tc>
        <w:tc>
          <w:tcPr>
            <w:tcW w:w="10240" w:type="dxa"/>
            <w:vAlign w:val="bottom"/>
            <w:gridSpan w:val="4"/>
          </w:tcPr>
          <w:p>
            <w:pPr>
              <w:ind w:left="80"/>
              <w:spacing w:after="0" w:line="202" w:lineRule="exact"/>
              <w:rPr>
                <w:sz w:val="20"/>
                <w:szCs w:val="20"/>
                <w:color w:val="auto"/>
              </w:rPr>
            </w:pPr>
            <w:r>
              <w:rPr>
                <w:rFonts w:ascii="Arial" w:cs="Arial" w:eastAsia="Arial" w:hAnsi="Arial"/>
                <w:sz w:val="18"/>
                <w:szCs w:val="18"/>
                <w:color w:val="auto"/>
                <w:w w:val="99"/>
              </w:rPr>
              <w:t>convertible into, exchangeable for or that represent the right to receive shares of Class A common stock) will become eligible for</w:t>
            </w:r>
          </w:p>
        </w:tc>
      </w:tr>
      <w:tr>
        <w:trPr>
          <w:trHeight w:val="239"/>
        </w:trPr>
        <w:tc>
          <w:tcPr>
            <w:tcW w:w="140" w:type="dxa"/>
            <w:vAlign w:val="bottom"/>
          </w:tcPr>
          <w:p>
            <w:pPr>
              <w:spacing w:after="0"/>
              <w:rPr>
                <w:sz w:val="20"/>
                <w:szCs w:val="20"/>
                <w:color w:val="auto"/>
              </w:rPr>
            </w:pPr>
          </w:p>
        </w:tc>
        <w:tc>
          <w:tcPr>
            <w:tcW w:w="10240" w:type="dxa"/>
            <w:vAlign w:val="bottom"/>
            <w:gridSpan w:val="4"/>
          </w:tcPr>
          <w:p>
            <w:pPr>
              <w:ind w:left="80"/>
              <w:spacing w:after="0"/>
              <w:rPr>
                <w:sz w:val="20"/>
                <w:szCs w:val="20"/>
                <w:color w:val="auto"/>
              </w:rPr>
            </w:pPr>
            <w:r>
              <w:rPr>
                <w:rFonts w:ascii="Arial" w:cs="Arial" w:eastAsia="Arial" w:hAnsi="Arial"/>
                <w:sz w:val="18"/>
                <w:szCs w:val="18"/>
                <w:color w:val="auto"/>
              </w:rPr>
              <w:t>sale in the public market, subject in some cases to the restrictions of Rule 144; and</w:t>
            </w:r>
          </w:p>
        </w:tc>
      </w:tr>
    </w:tbl>
    <w:p>
      <w:pPr>
        <w:spacing w:after="0" w:line="85" w:lineRule="exact"/>
        <w:rPr>
          <w:sz w:val="20"/>
          <w:szCs w:val="20"/>
          <w:color w:val="auto"/>
        </w:rPr>
      </w:pPr>
    </w:p>
    <w:p>
      <w:pPr>
        <w:jc w:val="both"/>
        <w:ind w:left="880" w:right="140" w:hanging="224"/>
        <w:spacing w:after="0" w:line="253"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beginning on the date that is 180 days following the date of this prospectus, all remaining shares of our Class A common stock (including shares of Class A common stock issuable upon conversion of Class B common stock) will become eligible for sale in the public market, subject in some cases to the volume and other restrictions of Rule 144.</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00"/>
          </w:cols>
          <w:pgMar w:left="320" w:top="455" w:right="4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In addition, after this offering, up to 10,991,216 shares of Class A common stock may be issued upon exercise of outstanding stock options or vesting and settlement of outstanding RSUs as of the date of this prospectus, and        shares of Class A common stock are available for future issuance under our 2026 Plan and our 2026 ESPP.</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 and Market Stand-off Restrictions</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and all of our directors, executive officers, selling stockholders and the holders of substantially all of our common stock and securities exercisable for or convertible into our common stock outstanding immediately prior to the completion of this offering, have agreed, or will agree, with the underwriters that, until 180 days after the date of this prospectus, subject to certain exceptions, we and they will not, without the prior written consent of Goldman Sachs &amp; Co. LLC and J.P. Morgan Securities LLC, offer, sell, contract to sell, pledge, grant any option to purchase, lend, or otherwise dispose of any shares of our common stock, or any options or warrants to purchase any shares of our common stock, or any securities convertible into, exchangeable for or that represent the right to receive shares of our common stock.</w:t>
      </w:r>
    </w:p>
    <w:p>
      <w:pPr>
        <w:spacing w:after="0" w:line="185" w:lineRule="exact"/>
        <w:rPr>
          <w:sz w:val="20"/>
          <w:szCs w:val="20"/>
          <w:color w:val="auto"/>
        </w:rPr>
      </w:pPr>
    </w:p>
    <w:p>
      <w:pPr>
        <w:ind w:left="120" w:right="160" w:firstLine="551"/>
        <w:spacing w:after="0" w:line="244" w:lineRule="auto"/>
        <w:rPr>
          <w:sz w:val="20"/>
          <w:szCs w:val="20"/>
          <w:color w:val="auto"/>
        </w:rPr>
      </w:pPr>
      <w:r>
        <w:rPr>
          <w:rFonts w:ascii="Arial" w:cs="Arial" w:eastAsia="Arial" w:hAnsi="Arial"/>
          <w:sz w:val="18"/>
          <w:szCs w:val="18"/>
          <w:color w:val="auto"/>
        </w:rPr>
        <w:t>The following table summarizes the termination dates of the lock-up period with respect to our current employees or other service providers, or Current Employees, our former employees or service providers, or Former Employees (but excluding in all cases our directors, “officers” (as defined in Rule 16a-1(f) under the Exchange Act) or any of our affiliates (as defined under Rule 144 under the Securities Act), or Affiliates), and our non-Affiliates, or Non-Affiliates, and, together with Current Employees and Former Employees, Eligible Holders:</w:t>
      </w:r>
    </w:p>
    <w:p>
      <w:pPr>
        <w:sectPr>
          <w:pgSz w:w="11900" w:h="16838" w:orient="portrait"/>
          <w:cols w:equalWidth="0" w:num="1">
            <w:col w:w="11100"/>
          </w:cols>
          <w:pgMar w:left="320" w:top="455" w:right="479" w:bottom="1440" w:gutter="0" w:footer="0" w:header="0"/>
        </w:sectPr>
      </w:pPr>
    </w:p>
    <w:p>
      <w:pPr>
        <w:spacing w:after="0" w:line="375"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Type of Release</w:t>
      </w:r>
    </w:p>
    <w:p>
      <w:pPr>
        <w:spacing w:after="0" w:line="23"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Tier 1 Release for Eligible Holders</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Release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188595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the closing price per share of the Class A common stock on Nasdaq for any five trading days (one of which must be a trading day occurring after the date we publicly announce our earnings for the second completed fiscal quarterly period following the most recent fiscal period for which financial statements are included in this prospectus, or the Initial Post-Offering Earnings Date) out of ten consecutive trading days is at least 25% greater than the initial public offering price set forth on the cover page of this prospectus, beginning at the opening of trading on the first trading day after the applicable ten consecutive trading day period</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Shares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15240</wp:posOffset>
            </wp:positionV>
            <wp:extent cx="18173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Up to         shares, representing 25% of the aggregate number of shares of Class A common stock and any securities convertible into, exchangeable for or that represent the right to receive shares of Class A common stock held by Eligible Holders as of November 15, 2025, or Eligible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Release</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161163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Current Employees subject to</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quarterly trading blackout</w:t>
      </w:r>
    </w:p>
    <w:p>
      <w:pPr>
        <w:spacing w:after="0" w:line="234" w:lineRule="auto"/>
        <w:rPr>
          <w:sz w:val="20"/>
          <w:szCs w:val="20"/>
          <w:color w:val="auto"/>
        </w:rPr>
      </w:pPr>
      <w:r>
        <w:rPr>
          <w:rFonts w:ascii="Arial" w:cs="Arial" w:eastAsia="Arial" w:hAnsi="Arial"/>
          <w:sz w:val="18"/>
          <w:szCs w:val="18"/>
          <w:color w:val="auto"/>
        </w:rPr>
        <w:t>periods under our insider</w:t>
      </w:r>
    </w:p>
    <w:p>
      <w:pPr>
        <w:spacing w:after="0" w:line="235" w:lineRule="auto"/>
        <w:rPr>
          <w:sz w:val="20"/>
          <w:szCs w:val="20"/>
          <w:color w:val="auto"/>
        </w:rPr>
      </w:pPr>
      <w:r>
        <w:rPr>
          <w:rFonts w:ascii="Arial" w:cs="Arial" w:eastAsia="Arial" w:hAnsi="Arial"/>
          <w:sz w:val="18"/>
          <w:szCs w:val="18"/>
          <w:color w:val="auto"/>
        </w:rPr>
        <w:t>trading policy:</w:t>
      </w:r>
    </w:p>
    <w:p>
      <w:pPr>
        <w:spacing w:after="0" w:line="235" w:lineRule="auto"/>
        <w:rPr>
          <w:sz w:val="20"/>
          <w:szCs w:val="20"/>
          <w:color w:val="auto"/>
        </w:rPr>
      </w:pPr>
      <w:r>
        <w:rPr>
          <w:rFonts w:ascii="Arial" w:cs="Arial" w:eastAsia="Arial" w:hAnsi="Arial"/>
          <w:sz w:val="18"/>
          <w:szCs w:val="18"/>
          <w:color w:val="auto"/>
        </w:rPr>
        <w:t>Commencement of our next</w:t>
      </w:r>
    </w:p>
    <w:p>
      <w:pPr>
        <w:spacing w:after="0" w:line="235" w:lineRule="auto"/>
        <w:rPr>
          <w:sz w:val="20"/>
          <w:szCs w:val="20"/>
          <w:color w:val="auto"/>
        </w:rPr>
      </w:pPr>
      <w:r>
        <w:rPr>
          <w:rFonts w:ascii="Arial" w:cs="Arial" w:eastAsia="Arial" w:hAnsi="Arial"/>
          <w:sz w:val="18"/>
          <w:szCs w:val="18"/>
          <w:color w:val="auto"/>
        </w:rPr>
        <w:t>occurring quarterly trading</w:t>
      </w:r>
    </w:p>
    <w:p>
      <w:pPr>
        <w:spacing w:after="0" w:line="235" w:lineRule="auto"/>
        <w:rPr>
          <w:sz w:val="20"/>
          <w:szCs w:val="20"/>
          <w:color w:val="auto"/>
        </w:rPr>
      </w:pPr>
      <w:r>
        <w:rPr>
          <w:rFonts w:ascii="Arial" w:cs="Arial" w:eastAsia="Arial" w:hAnsi="Arial"/>
          <w:sz w:val="18"/>
          <w:szCs w:val="18"/>
          <w:color w:val="auto"/>
        </w:rPr>
        <w:t>backout period under our</w:t>
      </w:r>
    </w:p>
    <w:p>
      <w:pPr>
        <w:spacing w:after="0"/>
        <w:rPr>
          <w:sz w:val="20"/>
          <w:szCs w:val="20"/>
          <w:color w:val="auto"/>
        </w:rPr>
      </w:pPr>
      <w:r>
        <w:rPr>
          <w:rFonts w:ascii="Arial" w:cs="Arial" w:eastAsia="Arial" w:hAnsi="Arial"/>
          <w:sz w:val="18"/>
          <w:szCs w:val="18"/>
          <w:color w:val="auto"/>
        </w:rPr>
        <w:t>insider trading policy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Former Employees: 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Non-Affiliates: N/A</w:t>
      </w:r>
    </w:p>
    <w:p>
      <w:pPr>
        <w:sectPr>
          <w:pgSz w:w="11900" w:h="16838" w:orient="portrait"/>
          <w:cols w:equalWidth="0" w:num="4">
            <w:col w:w="1620" w:space="720"/>
            <w:col w:w="2940" w:space="200"/>
            <w:col w:w="2880" w:space="240"/>
            <w:col w:w="2500"/>
          </w:cols>
          <w:pgMar w:left="320" w:top="455" w:right="479" w:bottom="1440" w:gutter="0" w:footer="0" w:header="0"/>
          <w:type w:val="continuous"/>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2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Type of Release</w:t>
            </w:r>
          </w:p>
        </w:tc>
        <w:tc>
          <w:tcPr>
            <w:tcW w:w="298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Release Date</w:t>
            </w:r>
          </w:p>
        </w:tc>
      </w:tr>
      <w:tr>
        <w:trPr>
          <w:trHeight w:val="278"/>
        </w:trPr>
        <w:tc>
          <w:tcPr>
            <w:tcW w:w="2200" w:type="dxa"/>
            <w:vAlign w:val="bottom"/>
            <w:gridSpan w:val="2"/>
          </w:tcPr>
          <w:p>
            <w:pPr>
              <w:spacing w:after="0"/>
              <w:rPr>
                <w:sz w:val="20"/>
                <w:szCs w:val="20"/>
                <w:color w:val="auto"/>
              </w:rPr>
            </w:pPr>
            <w:r>
              <w:rPr>
                <w:rFonts w:ascii="Arial" w:cs="Arial" w:eastAsia="Arial" w:hAnsi="Arial"/>
                <w:sz w:val="18"/>
                <w:szCs w:val="18"/>
                <w:color w:val="auto"/>
              </w:rPr>
              <w:t>Tier 2 Release for</w:t>
            </w:r>
          </w:p>
        </w:tc>
        <w:tc>
          <w:tcPr>
            <w:tcW w:w="2980" w:type="dxa"/>
            <w:vAlign w:val="bottom"/>
          </w:tcPr>
          <w:p>
            <w:pPr>
              <w:ind w:left="20"/>
              <w:spacing w:after="0"/>
              <w:rPr>
                <w:sz w:val="20"/>
                <w:szCs w:val="20"/>
                <w:color w:val="auto"/>
              </w:rPr>
            </w:pPr>
            <w:r>
              <w:rPr>
                <w:rFonts w:ascii="Arial" w:cs="Arial" w:eastAsia="Arial" w:hAnsi="Arial"/>
                <w:sz w:val="18"/>
                <w:szCs w:val="18"/>
                <w:color w:val="auto"/>
              </w:rPr>
              <w:t>If the closing price per share of the</w:t>
            </w:r>
          </w:p>
        </w:tc>
      </w:tr>
      <w:tr>
        <w:trPr>
          <w:trHeight w:val="203"/>
        </w:trPr>
        <w:tc>
          <w:tcPr>
            <w:tcW w:w="2200" w:type="dxa"/>
            <w:vAlign w:val="bottom"/>
            <w:gridSpan w:val="2"/>
          </w:tcPr>
          <w:p>
            <w:pPr>
              <w:spacing w:after="0" w:line="202" w:lineRule="exact"/>
              <w:rPr>
                <w:sz w:val="20"/>
                <w:szCs w:val="20"/>
                <w:color w:val="auto"/>
              </w:rPr>
            </w:pPr>
            <w:r>
              <w:rPr>
                <w:rFonts w:ascii="Arial" w:cs="Arial" w:eastAsia="Arial" w:hAnsi="Arial"/>
                <w:sz w:val="18"/>
                <w:szCs w:val="18"/>
                <w:color w:val="auto"/>
              </w:rPr>
              <w:t>Eligible Holders</w:t>
            </w:r>
          </w:p>
        </w:tc>
        <w:tc>
          <w:tcPr>
            <w:tcW w:w="2980" w:type="dxa"/>
            <w:vAlign w:val="bottom"/>
          </w:tcPr>
          <w:p>
            <w:pPr>
              <w:ind w:left="20"/>
              <w:spacing w:after="0" w:line="202" w:lineRule="exact"/>
              <w:rPr>
                <w:sz w:val="20"/>
                <w:szCs w:val="20"/>
                <w:color w:val="auto"/>
              </w:rPr>
            </w:pPr>
            <w:r>
              <w:rPr>
                <w:rFonts w:ascii="Arial" w:cs="Arial" w:eastAsia="Arial" w:hAnsi="Arial"/>
                <w:sz w:val="18"/>
                <w:szCs w:val="18"/>
                <w:color w:val="auto"/>
              </w:rPr>
              <w:t>Class A common stock on Nasdaq</w:t>
            </w:r>
          </w:p>
        </w:tc>
      </w:tr>
      <w:tr>
        <w:trPr>
          <w:trHeight w:val="203"/>
        </w:trPr>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980" w:type="dxa"/>
            <w:vAlign w:val="bottom"/>
          </w:tcPr>
          <w:p>
            <w:pPr>
              <w:ind w:left="20"/>
              <w:spacing w:after="0" w:line="202" w:lineRule="exact"/>
              <w:rPr>
                <w:sz w:val="20"/>
                <w:szCs w:val="20"/>
                <w:color w:val="auto"/>
              </w:rPr>
            </w:pPr>
            <w:r>
              <w:rPr>
                <w:rFonts w:ascii="Arial" w:cs="Arial" w:eastAsia="Arial" w:hAnsi="Arial"/>
                <w:sz w:val="18"/>
                <w:szCs w:val="18"/>
                <w:color w:val="auto"/>
              </w:rPr>
              <w:t>for any five trading days (one of</w:t>
            </w:r>
          </w:p>
        </w:tc>
      </w:tr>
      <w:tr>
        <w:trPr>
          <w:trHeight w:val="203"/>
        </w:trPr>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980" w:type="dxa"/>
            <w:vAlign w:val="bottom"/>
          </w:tcPr>
          <w:p>
            <w:pPr>
              <w:ind w:left="20"/>
              <w:spacing w:after="0" w:line="202" w:lineRule="exact"/>
              <w:rPr>
                <w:sz w:val="20"/>
                <w:szCs w:val="20"/>
                <w:color w:val="auto"/>
              </w:rPr>
            </w:pPr>
            <w:r>
              <w:rPr>
                <w:rFonts w:ascii="Arial" w:cs="Arial" w:eastAsia="Arial" w:hAnsi="Arial"/>
                <w:sz w:val="18"/>
                <w:szCs w:val="18"/>
                <w:color w:val="auto"/>
              </w:rPr>
              <w:t>which must be a trading day</w:t>
            </w:r>
          </w:p>
        </w:tc>
      </w:tr>
      <w:tr>
        <w:trPr>
          <w:trHeight w:val="203"/>
        </w:trPr>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980" w:type="dxa"/>
            <w:vAlign w:val="bottom"/>
          </w:tcPr>
          <w:p>
            <w:pPr>
              <w:ind w:left="20"/>
              <w:spacing w:after="0" w:line="202" w:lineRule="exact"/>
              <w:rPr>
                <w:sz w:val="20"/>
                <w:szCs w:val="20"/>
                <w:color w:val="auto"/>
              </w:rPr>
            </w:pPr>
            <w:r>
              <w:rPr>
                <w:rFonts w:ascii="Arial" w:cs="Arial" w:eastAsia="Arial" w:hAnsi="Arial"/>
                <w:sz w:val="18"/>
                <w:szCs w:val="18"/>
                <w:color w:val="auto"/>
                <w:w w:val="99"/>
              </w:rPr>
              <w:t>occurring on or after             , 2026)</w:t>
            </w:r>
          </w:p>
        </w:tc>
      </w:tr>
      <w:tr>
        <w:trPr>
          <w:trHeight w:val="202"/>
        </w:trPr>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980" w:type="dxa"/>
            <w:vAlign w:val="bottom"/>
          </w:tcPr>
          <w:p>
            <w:pPr>
              <w:ind w:left="20"/>
              <w:spacing w:after="0" w:line="202" w:lineRule="exact"/>
              <w:rPr>
                <w:sz w:val="20"/>
                <w:szCs w:val="20"/>
                <w:color w:val="auto"/>
              </w:rPr>
            </w:pPr>
            <w:r>
              <w:rPr>
                <w:rFonts w:ascii="Arial" w:cs="Arial" w:eastAsia="Arial" w:hAnsi="Arial"/>
                <w:sz w:val="18"/>
                <w:szCs w:val="18"/>
                <w:color w:val="auto"/>
                <w:w w:val="99"/>
              </w:rPr>
              <w:t>out of ten consecutive trading days is</w:t>
            </w:r>
          </w:p>
        </w:tc>
      </w:tr>
      <w:tr>
        <w:trPr>
          <w:trHeight w:val="203"/>
        </w:trPr>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980" w:type="dxa"/>
            <w:vAlign w:val="bottom"/>
          </w:tcPr>
          <w:p>
            <w:pPr>
              <w:ind w:left="20"/>
              <w:spacing w:after="0" w:line="202" w:lineRule="exact"/>
              <w:rPr>
                <w:sz w:val="20"/>
                <w:szCs w:val="20"/>
                <w:color w:val="auto"/>
              </w:rPr>
            </w:pPr>
            <w:r>
              <w:rPr>
                <w:rFonts w:ascii="Arial" w:cs="Arial" w:eastAsia="Arial" w:hAnsi="Arial"/>
                <w:sz w:val="18"/>
                <w:szCs w:val="18"/>
                <w:color w:val="auto"/>
              </w:rPr>
              <w:t>at least 25% greater than the initial</w:t>
            </w:r>
          </w:p>
        </w:tc>
      </w:tr>
      <w:tr>
        <w:trPr>
          <w:trHeight w:val="203"/>
        </w:trPr>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980" w:type="dxa"/>
            <w:vAlign w:val="bottom"/>
          </w:tcPr>
          <w:p>
            <w:pPr>
              <w:ind w:left="20"/>
              <w:spacing w:after="0" w:line="202" w:lineRule="exact"/>
              <w:rPr>
                <w:sz w:val="20"/>
                <w:szCs w:val="20"/>
                <w:color w:val="auto"/>
              </w:rPr>
            </w:pPr>
            <w:r>
              <w:rPr>
                <w:rFonts w:ascii="Arial" w:cs="Arial" w:eastAsia="Arial" w:hAnsi="Arial"/>
                <w:sz w:val="18"/>
                <w:szCs w:val="18"/>
                <w:color w:val="auto"/>
              </w:rPr>
              <w:t>public offering price set forth on the</w:t>
            </w:r>
          </w:p>
        </w:tc>
      </w:tr>
      <w:tr>
        <w:trPr>
          <w:trHeight w:val="203"/>
        </w:trPr>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980" w:type="dxa"/>
            <w:vAlign w:val="bottom"/>
          </w:tcPr>
          <w:p>
            <w:pPr>
              <w:ind w:left="20"/>
              <w:spacing w:after="0" w:line="202" w:lineRule="exact"/>
              <w:rPr>
                <w:sz w:val="20"/>
                <w:szCs w:val="20"/>
                <w:color w:val="auto"/>
              </w:rPr>
            </w:pPr>
            <w:r>
              <w:rPr>
                <w:rFonts w:ascii="Arial" w:cs="Arial" w:eastAsia="Arial" w:hAnsi="Arial"/>
                <w:sz w:val="18"/>
                <w:szCs w:val="18"/>
                <w:color w:val="auto"/>
              </w:rPr>
              <w:t>cover page of this prospectus,</w:t>
            </w:r>
          </w:p>
        </w:tc>
      </w:tr>
      <w:tr>
        <w:trPr>
          <w:trHeight w:val="203"/>
        </w:trPr>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980" w:type="dxa"/>
            <w:vAlign w:val="bottom"/>
          </w:tcPr>
          <w:p>
            <w:pPr>
              <w:ind w:left="20"/>
              <w:spacing w:after="0" w:line="202" w:lineRule="exact"/>
              <w:rPr>
                <w:sz w:val="20"/>
                <w:szCs w:val="20"/>
                <w:color w:val="auto"/>
              </w:rPr>
            </w:pPr>
            <w:r>
              <w:rPr>
                <w:rFonts w:ascii="Arial" w:cs="Arial" w:eastAsia="Arial" w:hAnsi="Arial"/>
                <w:sz w:val="18"/>
                <w:szCs w:val="18"/>
                <w:color w:val="auto"/>
              </w:rPr>
              <w:t>beginning at the opening of trading</w:t>
            </w:r>
          </w:p>
        </w:tc>
      </w:tr>
      <w:tr>
        <w:trPr>
          <w:trHeight w:val="203"/>
        </w:trPr>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980" w:type="dxa"/>
            <w:vAlign w:val="bottom"/>
          </w:tcPr>
          <w:p>
            <w:pPr>
              <w:ind w:left="20"/>
              <w:spacing w:after="0" w:line="202" w:lineRule="exact"/>
              <w:rPr>
                <w:sz w:val="20"/>
                <w:szCs w:val="20"/>
                <w:color w:val="auto"/>
              </w:rPr>
            </w:pPr>
            <w:r>
              <w:rPr>
                <w:rFonts w:ascii="Arial" w:cs="Arial" w:eastAsia="Arial" w:hAnsi="Arial"/>
                <w:sz w:val="18"/>
                <w:szCs w:val="18"/>
                <w:color w:val="auto"/>
              </w:rPr>
              <w:t>on the first trading day after the</w:t>
            </w:r>
          </w:p>
        </w:tc>
      </w:tr>
      <w:tr>
        <w:trPr>
          <w:trHeight w:val="203"/>
        </w:trPr>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980" w:type="dxa"/>
            <w:vAlign w:val="bottom"/>
          </w:tcPr>
          <w:p>
            <w:pPr>
              <w:ind w:left="20"/>
              <w:spacing w:after="0" w:line="202" w:lineRule="exact"/>
              <w:rPr>
                <w:sz w:val="20"/>
                <w:szCs w:val="20"/>
                <w:color w:val="auto"/>
              </w:rPr>
            </w:pPr>
            <w:r>
              <w:rPr>
                <w:rFonts w:ascii="Arial" w:cs="Arial" w:eastAsia="Arial" w:hAnsi="Arial"/>
                <w:sz w:val="18"/>
                <w:szCs w:val="18"/>
                <w:color w:val="auto"/>
              </w:rPr>
              <w:t>applicable ten consecutive trading</w:t>
            </w:r>
          </w:p>
        </w:tc>
      </w:tr>
      <w:tr>
        <w:trPr>
          <w:trHeight w:val="239"/>
        </w:trPr>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day period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Shares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18173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Up to         shares, representing 25% of Eligible Securities held by Eligible Holders</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Release</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161163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Current Employees subject to quarterly trading blackout periods under our insider trading policy: Commencement of our next occurring quarterly trading blackout period under our insider trading policy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Former Employees: 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Non-Affiliates: N/A</w:t>
      </w:r>
    </w:p>
    <w:p>
      <w:pPr>
        <w:spacing w:after="0" w:line="778" w:lineRule="exact"/>
        <w:rPr>
          <w:sz w:val="20"/>
          <w:szCs w:val="20"/>
          <w:color w:val="auto"/>
        </w:rPr>
      </w:pPr>
    </w:p>
    <w:p>
      <w:pPr>
        <w:sectPr>
          <w:pgSz w:w="11900" w:h="16838" w:orient="portrait"/>
          <w:cols w:equalWidth="0" w:num="3">
            <w:col w:w="5300" w:space="220"/>
            <w:col w:w="2840" w:space="240"/>
            <w:col w:w="2500"/>
          </w:cols>
          <w:pgMar w:left="320" w:top="455" w:right="479" w:bottom="1440" w:gutter="0" w:footer="0" w:header="0"/>
          <w:type w:val="continuous"/>
        </w:sectPr>
      </w:pPr>
    </w:p>
    <w:p>
      <w:pPr>
        <w:ind w:left="120" w:right="580" w:firstLine="551"/>
        <w:spacing w:after="0" w:line="271" w:lineRule="auto"/>
        <w:rPr>
          <w:sz w:val="20"/>
          <w:szCs w:val="20"/>
          <w:color w:val="auto"/>
        </w:rPr>
      </w:pPr>
      <w:r>
        <w:rPr>
          <w:rFonts w:ascii="Arial" w:cs="Arial" w:eastAsia="Arial" w:hAnsi="Arial"/>
          <w:sz w:val="18"/>
          <w:szCs w:val="18"/>
          <w:color w:val="auto"/>
        </w:rPr>
        <w:t>For the avoidance of doubt, in the event both the Tier 1 Release and the Tier 2 Release are triggered, the amount of Eligible Securities released will not exceed 50% of the total Eligible Securities held by Eligible Holders.</w:t>
      </w:r>
    </w:p>
    <w:p>
      <w:pPr>
        <w:spacing w:after="0" w:line="154" w:lineRule="exact"/>
        <w:rPr>
          <w:sz w:val="20"/>
          <w:szCs w:val="20"/>
          <w:color w:val="auto"/>
        </w:rPr>
      </w:pPr>
    </w:p>
    <w:p>
      <w:pPr>
        <w:jc w:val="both"/>
        <w:ind w:left="120" w:right="560" w:firstLine="551"/>
        <w:spacing w:after="0" w:line="301" w:lineRule="auto"/>
        <w:rPr>
          <w:sz w:val="20"/>
          <w:szCs w:val="20"/>
          <w:color w:val="auto"/>
        </w:rPr>
      </w:pPr>
      <w:r>
        <w:rPr>
          <w:rFonts w:ascii="Arial" w:cs="Arial" w:eastAsia="Arial" w:hAnsi="Arial"/>
          <w:sz w:val="17"/>
          <w:szCs w:val="17"/>
          <w:color w:val="auto"/>
        </w:rPr>
        <w:t>We will announce the anticipated date of each of the Tier I Release Date and the Tier 2 Release Date through a major news service, or on a Form 8-K, at least one trading day in advance of the Tier 1 Release Date or the Tier 2 Release Date, as applicable.</w:t>
      </w:r>
    </w:p>
    <w:p>
      <w:pPr>
        <w:spacing w:after="0" w:line="131"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restrictions described above and contained in the lock-up agreements between the underwriters and our directors, executive officers, selling stockholders and the holders of substantially all of our common stock do not apply, subject in certain cases to various conditions, to certain transactions, including (a) transfers of lock-up securities: (i) as one or more bona fide gifts or charitable contributions, or for bona fide estate planning purposes, (ii) upon death by will, testamentary document or intestate succession, (iii) if the lock-up party is a natural person, to any member of the lock-up party’s immediate family member or to any trust for the direct or indirect benefit of the lock-up party or immediate family member of the lock-up party, or if the lock-up party is a trust, to a trustor or beneficiary of the trust or the estate of a beneficiary of such trust, (iv) to a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(a)(i) through (a)(iv) above, (vi) in the case of a corporation, partnership, limited liability company or other business entity, (A) to another corporation, partnership, limited liability company or other business entity that is an affiliate of the lock-up party, or to any investment fund or other entity which fund or entity is controlled or managed by the lock-up party or its affiliates, or (B) as part of a distribution by the lock-up party to its stockholders, partners, members or other equityholders or to the estate of any such stockholders, partners, members or other equityholders, (vii) by operation of law, such as pursuant to a qualified domestic order, divorce settlement, divorce decree or separation agreement, (viii) to us from an employee upon death, disability or termination of employment of such employee, (ix) if the lock-up party is not an officer or director of the Company, in connection with a sale of the lock-up party’s lock-up securities acquired (A) from the underwriters in this offering or (B) in open market transactions after the completion of this offering, (x) to us in connection with the vesting,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00"/>
          </w:cols>
          <w:pgMar w:left="320" w:top="455" w:right="479" w:bottom="1440" w:gutter="0" w:footer="0" w:header="0"/>
          <w:type w:val="continuous"/>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0" w:lineRule="auto"/>
        <w:rPr>
          <w:sz w:val="20"/>
          <w:szCs w:val="20"/>
          <w:color w:val="auto"/>
        </w:rPr>
      </w:pPr>
      <w:r>
        <w:rPr>
          <w:rFonts w:ascii="Arial" w:cs="Arial" w:eastAsia="Arial" w:hAnsi="Arial"/>
          <w:sz w:val="17"/>
          <w:szCs w:val="17"/>
          <w:color w:val="auto"/>
        </w:rPr>
        <w:t>settlement or exercise of restricted stock units, options, warrants or other rights to purchase shares of common stock (including, in each case, by way of “net” or “cashless” exercise) that are scheduled to expire or automatically vest during the lock-up period, including any transfer to us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provided that any securities received upon such vesting, settlement, exercise or conversion will be subject to the terms of the lock-up agreement or (xi) with the prior written consent of Goldman Sachs &amp; Co. LLC and J.P. Morgan Securities LLC, provided that (A) in the case of clauses (a)(i), (a)(ii), (a)(iii), (a)(iv), (a)(v) and (a)(vi), such transfer or distribution will not involve a disposition for value, (B) in the case of clauses (a)(i), (a)(ii), (a)(iii), (a)(iv), (a)(v), (a)(vi) and (a)(vii), it will be a condition to the transfer or distribution that the donee, devisee, transferee or distributee, as the case may be, sign and deliver the lock-up agreement, (C) in the case of clauses (a)(ii), (a)(iii), (a) (iv), (a)(v) and (a)(vi), no filing by any party (including, without limitation, any donor, donee, devisee, transferor, transferee, distributor or distributee) under the Exchange Act, or other public filing, report or announcement reporting a reduction in beneficial ownership of securities subject to the lock-up agreement will be required or will be voluntarily made in connection with such transfer or distribution, and</w:t>
      </w:r>
    </w:p>
    <w:p>
      <w:pPr>
        <w:spacing w:after="0" w:line="3" w:lineRule="exact"/>
        <w:rPr>
          <w:sz w:val="20"/>
          <w:szCs w:val="20"/>
          <w:color w:val="auto"/>
        </w:rPr>
      </w:pPr>
    </w:p>
    <w:p>
      <w:pPr>
        <w:ind w:left="120" w:right="160" w:hanging="4"/>
        <w:spacing w:after="0" w:line="248" w:lineRule="auto"/>
        <w:tabs>
          <w:tab w:leader="none" w:pos="4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in the case of clauses (a)(i), (a)(vii), (a)(viii), (a)(ix) and (a)(x), no filing under the Exchange Act or other public filing, report or announcement will be voluntarily made, and if any such filing, report or announcement will be legally required during the lock-up period, such filing, report or announcement will clearly indicate in the footnotes thereto (A) the circumstances of such transfer or distribution and</w:t>
      </w:r>
    </w:p>
    <w:p>
      <w:pPr>
        <w:spacing w:after="0" w:line="1" w:lineRule="exact"/>
        <w:rPr>
          <w:rFonts w:ascii="Arial" w:cs="Arial" w:eastAsia="Arial" w:hAnsi="Arial"/>
          <w:sz w:val="17"/>
          <w:szCs w:val="17"/>
          <w:color w:val="auto"/>
        </w:rPr>
      </w:pPr>
    </w:p>
    <w:p>
      <w:pPr>
        <w:ind w:left="120" w:right="40" w:hanging="4"/>
        <w:spacing w:after="0" w:line="254" w:lineRule="auto"/>
        <w:tabs>
          <w:tab w:leader="none" w:pos="41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 the case of a transfer or distribution pursuant to clauses (a)(i) or (a)(vii), that the donee, devisee, transferee or distributee has agreed to be bound by a lock-up agreement, (b) entry into a written plan under Rule 10b5-1 under the Exchange Act, provided that such plan does not provide for the transfer, sale or other disposition of lock-up securities during the restricted period, and (c) transfers pursuant to a bona-fide third-party tender offer, merger, consolidation or other similar transaction that is approved by our board of directors and made to all holders of our capital stock involving a change of control, provided that if such tender offer, merger, consolidation or other similar transaction is not completed, the lock-up party’s securities will remain subject to the provisions of the lock-up agreement.</w:t>
      </w:r>
    </w:p>
    <w:p>
      <w:pPr>
        <w:spacing w:after="0" w:line="172" w:lineRule="exact"/>
        <w:rPr>
          <w:sz w:val="20"/>
          <w:szCs w:val="20"/>
          <w:color w:val="auto"/>
        </w:rPr>
      </w:pPr>
    </w:p>
    <w:p>
      <w:pPr>
        <w:ind w:left="120" w:right="300" w:firstLine="551"/>
        <w:spacing w:after="0" w:line="271" w:lineRule="auto"/>
        <w:rPr>
          <w:sz w:val="20"/>
          <w:szCs w:val="20"/>
          <w:color w:val="auto"/>
        </w:rPr>
      </w:pPr>
      <w:r>
        <w:rPr>
          <w:rFonts w:ascii="Arial" w:cs="Arial" w:eastAsia="Arial" w:hAnsi="Arial"/>
          <w:sz w:val="18"/>
          <w:szCs w:val="18"/>
          <w:color w:val="auto"/>
        </w:rPr>
        <w:t>Goldman Sachs &amp; Co. LLC and J.P. Morgan Securities LLC may, in their sole discretion, release any of the securities subject to these lock-up agreements at any time.</w:t>
      </w:r>
    </w:p>
    <w:p>
      <w:pPr>
        <w:spacing w:after="0" w:line="15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Furthermore, a substantial majority our common stock and securities convertible into or exercisable or exchangeable for our common stock are subject to market stand-off restrictions with us that include restrictions on the sale, transfer, or other disposition of shares during the lock-up period. As a result of the foregoing, substantially all of our common stock and securities convertible into or exercisable or exchangeable for our common stock are subject to a lock-up agreement or market stand-off provisions during the lock-up period. We have agreed to enforce all such market stand-off restrictions on behalf of the underwriters and not to release, amend, or waive any such market stand-off provisions during the lock-up period without the prior consent of Goldman Sachs &amp; Co. LLC and J.P. Morgan Securities LLC, on behalf of the underwriters, provided that we may release shares from such restrictions to the extent that it would be permissible to release such shares under the form of lock-up agreement with the underwriters signed by certain holders of our securities as described herein.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102" w:lineRule="exact"/>
        <w:rPr>
          <w:sz w:val="20"/>
          <w:szCs w:val="20"/>
          <w:color w:val="auto"/>
        </w:rPr>
      </w:pPr>
    </w:p>
    <w:p>
      <w:pPr>
        <w:ind w:left="120" w:right="740" w:firstLine="551"/>
        <w:spacing w:after="0" w:line="271" w:lineRule="auto"/>
        <w:rPr>
          <w:sz w:val="20"/>
          <w:szCs w:val="20"/>
          <w:color w:val="auto"/>
        </w:rPr>
      </w:pPr>
      <w:r>
        <w:rPr>
          <w:rFonts w:ascii="Arial" w:cs="Arial" w:eastAsia="Arial" w:hAnsi="Arial"/>
          <w:sz w:val="18"/>
          <w:szCs w:val="18"/>
          <w:color w:val="auto"/>
        </w:rPr>
        <w:t>In general, once we have been subject to the public company reporting requirements of Section 13 or Section 15(d) of the Exchange Act for at least 90 days, a person who is an affiliate of</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80"/>
          </w:cols>
          <w:pgMar w:left="320" w:top="455" w:right="4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color w:val="auto"/>
        </w:rPr>
        <w:t>ours, or who was an affiliate at any time during the 90 days before a sale, who has beneficially owned shares of our capital stock for at least six months, would be entitled to sell in “broker’s transactions” or certain “riskless principal transactions” or to market makers, a number of shares within any three-month period that does not exceed the greater of:</w:t>
      </w:r>
    </w:p>
    <w:p>
      <w:pPr>
        <w:spacing w:after="0" w:line="74" w:lineRule="exact"/>
        <w:rPr>
          <w:sz w:val="20"/>
          <w:szCs w:val="20"/>
          <w:color w:val="auto"/>
        </w:rPr>
      </w:pPr>
    </w:p>
    <w:p>
      <w:pPr>
        <w:ind w:left="880" w:right="800" w:hanging="224"/>
        <w:spacing w:after="0" w:line="271" w:lineRule="auto"/>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1% of the number of shares of Class A common stock then outstanding, which will equal approximately        shares immediately after this offering; or</w:t>
      </w:r>
    </w:p>
    <w:p>
      <w:pPr>
        <w:spacing w:after="0" w:line="59" w:lineRule="exact"/>
        <w:rPr>
          <w:rFonts w:ascii="Arial" w:cs="Arial" w:eastAsia="Arial" w:hAnsi="Arial"/>
          <w:sz w:val="18"/>
          <w:szCs w:val="18"/>
          <w:color w:val="auto"/>
        </w:rPr>
      </w:pPr>
    </w:p>
    <w:p>
      <w:pPr>
        <w:ind w:left="880" w:right="60" w:hanging="224"/>
        <w:spacing w:after="0" w:line="271" w:lineRule="auto"/>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average weekly trading volume in Class A common stock on Nasdaq during the four calendar weeks preceding the filing of a notice on Form 144 with respect to such sale.</w:t>
      </w:r>
    </w:p>
    <w:p>
      <w:pPr>
        <w:spacing w:after="0" w:line="154"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concurrently with either the placing of a sale order with the broker or the execution of a sale directly with a market maker.</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102"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In general, once we have been subject to the public company reporting requirements of Section 13 or Section 15(d) of the Exchange Act for at least 90 days, a person who is not an affiliate of ours at the time of sale, and has not been an affiliate at any time during the three months preceding a sale, and who has beneficially owned shares of our capital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04"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and the market stand-off restrictions, as applicable, described above.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S-8 Registration Statement</w:t>
      </w:r>
    </w:p>
    <w:p>
      <w:pPr>
        <w:spacing w:after="0" w:line="10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Class A common stock and Class B common stock subject to outstanding stock options and RSUs and common stock issued or issuable under our 2026 Plan, 2026 ESPP, and our 2016 Plan, as applicable.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04"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As of September 30, 2025, holders of up to       shares of our common stock, which includes all of the shares of Class A common stock issuable upon the automatic conversion of our redeemable convertible preferred stock immediately prior to the closing of this offering (based on the assumed initial public offering price of $      per share, the midpoint of the price range set forth on the cover page of this prospectus), or their transferees, will be entitled to various rights with respect to the registration of these shares under the Securities Act upon the closing of this offering and the expiration of lock-up agreements and the market stand-off restrictions. Registration of these shares under the Securities Act would result in these shares becoming fully tradable without restriction under the Securities Act immediately upon the effectiveness of the registration, except for shares purchased by affiliates. See the section titled “Description of Capital Stock—Registration Rights” for additional information. Shares covered by a registration statement will be eligible for sale in the public market upon the expiration or release from the terms of the lock-up agreement or the market stand-off restrictions, as applicable.</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40"/>
          </w:cols>
          <w:pgMar w:left="320" w:top="455" w:right="5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TO NON-U.S. HOLDERS OF OUR CLASS A COMMON STOCK</w:t>
      </w:r>
    </w:p>
    <w:p>
      <w:pPr>
        <w:spacing w:after="0" w:line="21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following summary describes the material U.S. federal income tax consequences of the ownership and disposition of our Class A common stock acquired in this offering by Non-U.S. Holders (as defined below). This discussion is not a complete analysis of all potential U.S. federal income tax consequences relating thereto, does not deal with non-U.S., state, and local tax consequences that may be relevant to Non-U.S. Holders in light of their particular circumstances, and does not address U.S. federal tax consequences other than income tax consequences. For example, it does not address estate and gift taxes, the alternative minimum tax, the Medicare contribution tax on net investment income, or the application of special tax accounting rules under Section 451(b) of the Internal Revenue Code of 1986, as amended, or the Code. Special rules different from those described below may apply to certain Non-U.S. Holders that are subject to special treatment under the Code, such as banks, financial institutions, investment funds, insurance companies, tax-exempt organizations, tax-qualified retirement plans, governmental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Class A common stock as part of a “straddle,” “hedge,” “conversion transaction,” “synthetic security,” or integrated investment or other risk reduction strategy, persons who acquire our Class A common stock through the exercise of an option or otherwise as compensation, “qualified foreign pension funds” as defined in</w:t>
      </w:r>
    </w:p>
    <w:p>
      <w:pPr>
        <w:spacing w:after="0" w:line="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Section 897(l)(2) of the Code and entities all of the interests of which are held by qualified foreign pension funds, partnerships, and other pass-through entities or arrangements and investors in such pass-through entities or arrangements, persons that own, or have owned, actually or constructively, more than 5% of our common stock at any time; persons deemed to sell our Class A common stock under the constructive sale provisions of the Code, and persons that own, or are deemed to own, our Class B common stock. Such Non-U.S. Holders are urged to consult their own tax advisors to determine the U.S. federal, state, local, and other tax consequences that may be relevant to them. Furthermore, the discussion below is based upon the provisions of the Code and Treasury Regulations promulgated thereunder, published rulings and administrative pronouncements or the Internal Revenue Service, or IRS, and judicial decisions, each as of the date hereof, and such authorities may be repealed, revoked, or modified, perhaps retroactively, so as to result in U.S. federal income tax consequences different from those discussed below. We have not requested a ruling from the IRS with respect to the statements made and the conclusions reached in the following summary, and there can be no assurance that the IRS will agree with such statements and conclusions. This discussion assumes that the Non-U.S. Holder holds our Class A common stock as a “capital asset” within the meaning of Section 1221 of the Code (generally, property held for investment).</w:t>
      </w:r>
    </w:p>
    <w:p>
      <w:pPr>
        <w:spacing w:after="0" w:line="186" w:lineRule="exact"/>
        <w:rPr>
          <w:sz w:val="20"/>
          <w:szCs w:val="20"/>
          <w:color w:val="auto"/>
        </w:rPr>
      </w:pPr>
    </w:p>
    <w:p>
      <w:pPr>
        <w:ind w:left="120" w:right="160" w:firstLine="551"/>
        <w:spacing w:after="0" w:line="244" w:lineRule="auto"/>
        <w:rPr>
          <w:sz w:val="20"/>
          <w:szCs w:val="20"/>
          <w:color w:val="auto"/>
        </w:rPr>
      </w:pPr>
      <w:r>
        <w:rPr>
          <w:rFonts w:ascii="Arial" w:cs="Arial" w:eastAsia="Arial" w:hAnsi="Arial"/>
          <w:sz w:val="18"/>
          <w:szCs w:val="18"/>
          <w:b w:val="1"/>
          <w:bCs w:val="1"/>
          <w:color w:val="auto"/>
        </w:rPr>
        <w:t>THIS DISCUSSION IS FOR INFORMATIONAL PURPOSES ONLY AND IS NOT TAX ADVICE. PERSONS CONSIDERING THE PURCHASE OF OUR CLASS A COMMON STOCK PURSUANT TO THIS OFFERING SHOULD CONSULT THEIR OWN TAX ADVISORS CONCERNING THE U.S. FEDERAL INCOME, GIFT, ESTATE, AND OTHER TAX CONSEQUENCES OF ACQUIRING, OWNING, AND DISPOSING OF OUR CLASS A COMMON STOCK IN LIGHT OF THEIR PARTICULAR CIRCUMSTANCES AS WELL AS ANY CONSEQUENCES ARISING UNDER THE LAWS OF ANY OTHER TAXING JURISDICTION, INCLUDING ANY STATE, LOCAL, OR NON-U.S. TAX CONSEQUENCES, OR UNDER ANY APPLICABLE INCOME TAX TREATY.</w:t>
      </w:r>
    </w:p>
    <w:p>
      <w:pPr>
        <w:spacing w:after="0" w:line="168"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8"/>
          <w:szCs w:val="18"/>
          <w:color w:val="auto"/>
        </w:rPr>
        <w:t>For the purposes of this discussion, a “Non-U.S. Holder” is a beneficial owner of our Class A common stock that is neither a U.S. Holder (as defined below) nor a partnership (or other entity treated as a partnership for U.S. federal income tax purposes regardless of its place of organization or</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formation). A “U.S. Holder” means a beneficial owner of our Class A common stock that is for U.S. federal income tax purposes any of the following:</w:t>
      </w:r>
    </w:p>
    <w:p>
      <w:pPr>
        <w:spacing w:after="0" w:line="59" w:lineRule="exact"/>
        <w:rPr>
          <w:sz w:val="20"/>
          <w:szCs w:val="20"/>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880" w:right="100" w:hanging="224"/>
        <w:spacing w:after="0" w:line="271"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7" w:lineRule="exact"/>
        <w:rPr>
          <w:rFonts w:ascii="Arial" w:cs="Arial" w:eastAsia="Arial" w:hAnsi="Arial"/>
          <w:sz w:val="18"/>
          <w:szCs w:val="18"/>
          <w:color w:val="auto"/>
        </w:rPr>
      </w:pPr>
    </w:p>
    <w:p>
      <w:pPr>
        <w:ind w:left="880" w:right="360" w:hanging="224"/>
        <w:spacing w:after="0" w:line="259" w:lineRule="auto"/>
        <w:tabs>
          <w:tab w:leader="none" w:pos="8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United States persons (within the meaning of Section 7701(a)(30) of the Code) have the authority to control all substantial decisions of the trust or</w:t>
      </w:r>
    </w:p>
    <w:p>
      <w:pPr>
        <w:spacing w:after="0" w:line="1"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color w:val="auto"/>
        </w:rPr>
        <w:t>(2) has a valid election in effect under applicable U.S. Treasury Regulations to be treated as a United States person.</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10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described in the section titled “Dividend Policy,” we do not anticipate paying any cash dividends in the foreseeable future. However, if we do make distributions of cash or property on our Class A common stock to a Non-U.S. Holder, such distributions,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We do not intend to adjust our withholding unless such certificates are provided to us or our paying agent before the payment of dividends and are updated as may be required by the IRS.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our Class A common stock through a financial institution or other agent acting on the holder’s behalf, the holder will be required to provide appropriate documentation to such agent. The holder’s agent will then be required to provide certification to us or our paying agent, either directly or through other intermediaries. If you are eligible for a reduced rate of U.S. federal withholding tax under an income tax treaty and you do not timely file the required certification, you may be able to obtain a refund or credit of any excess amounts withheld by timely filing an appropriate claim for a refund with the IRS.</w:t>
      </w:r>
    </w:p>
    <w:p>
      <w:pPr>
        <w:spacing w:after="0" w:line="186"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our Class A common stock is held through a financial institution or other agent, to such agent). In general, such effectively connected dividends will be subject to U.S. federal income tax on a net income basis at the regular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To the extent distributions on our Class A common stock, if any, exceed our current and accumulated earnings and profits, they will first reduce the Non-U.S. Holder’s adjusted basis in our Class A common stock, but not below zero, and then will be treated as gain to the extent of any excess amount distributed, and taxed in the same manner as gain realized from a sale or other disposition of our Class A common stock as described in the next section.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Our Class A Common Stock</w:t>
      </w:r>
    </w:p>
    <w:p>
      <w:pPr>
        <w:spacing w:after="0" w:line="104" w:lineRule="exact"/>
        <w:rPr>
          <w:sz w:val="20"/>
          <w:szCs w:val="20"/>
          <w:color w:val="auto"/>
        </w:rPr>
      </w:pPr>
    </w:p>
    <w:p>
      <w:pPr>
        <w:ind w:left="120" w:right="60" w:firstLine="551"/>
        <w:spacing w:after="0" w:line="252" w:lineRule="auto"/>
        <w:rPr>
          <w:sz w:val="20"/>
          <w:szCs w:val="20"/>
          <w:color w:val="auto"/>
        </w:rPr>
      </w:pPr>
      <w:r>
        <w:rPr>
          <w:rFonts w:ascii="Arial" w:cs="Arial" w:eastAsia="Arial" w:hAnsi="Arial"/>
          <w:sz w:val="17"/>
          <w:szCs w:val="17"/>
          <w:color w:val="auto"/>
        </w:rPr>
        <w:t>Subject to the discussions below regarding backup withholding and foreign accounts, a Non-U.S. Holder generally will not be subject to U.S. federal income tax with respect to gain realized on a sale or other disposition of our Class A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become a “United States real property holding corporation” within the meaning of Section 897(c)</w:t>
      </w:r>
    </w:p>
    <w:p>
      <w:pPr>
        <w:spacing w:after="0" w:line="2" w:lineRule="exact"/>
        <w:rPr>
          <w:sz w:val="20"/>
          <w:szCs w:val="20"/>
          <w:color w:val="auto"/>
        </w:rPr>
      </w:pPr>
    </w:p>
    <w:p>
      <w:pPr>
        <w:ind w:left="120" w:hanging="4"/>
        <w:spacing w:after="0" w:line="236" w:lineRule="auto"/>
        <w:tabs>
          <w:tab w:leader="none" w:pos="39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of the Code at any time within the shorter of the five-year period preceding such disposition or such holder’s holding period in our Class A common stock. In general, we would be a United States real property holding corporation if the fair market value of our U.S. real property interests equals or exceeds 50% of the sum of the fair market value of our worldwide real property interests plus our other assets used or held for use in a trade or business. We believe that we are not currently, and do not anticipate becoming, a United States real property holding corporation. Even if we are treated as a United States real property holding corporation, gain realized by a Non-U.S. Holder on a disposition of our Class A common stock will not be subject to U.S. federal income tax so long as (1) the Non-U.S. Holder owned, directly, indirectly, and constructively, no more than 5% of our Class A common stock at all times within the shorter of (i) the five-year period preceding the disposition or (ii) the holder’s holding period in our Class A common stock and (2) our Class A common stock is “regularly traded,” as defined by applicable Treasury Regulations, on an established securities market. There can be no assurance that our Class A common stock will qualify as regularly traded on an established securities market for purposes of these rules. If any gain on your disposition is taxable because we are a United States real property holding corporation and your ownership of our Class A common stock exceeds 5%, you will be taxed on such disposition generally in the manner as gain that is effectively connected with the conduct of a U.S. trade or business (subject to the provisions under an applicable income tax treaty), except that the branch profits tax generally will not apply.</w:t>
      </w:r>
    </w:p>
    <w:p>
      <w:pPr>
        <w:spacing w:after="0" w:line="184"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If you are a Non-U.S. Holder described in (a) above, you will be required to pay tax on a net income basis at the U.S. federal income tax rates applicable to U.S. Holders, and corporate Non-U.S. Holders described in (a) above may be subject to the additional branch profits tax at a 30% rate or such lower rate as may be specified by an applicable income tax treaty. If you are a Non-U.S. Holder described in (b) above, you will be subject to U.S. federal income tax at a flat 30% rate (or such lower rate as may be specified by an applicable income tax treaty) on the net gain derived from the disposition, which gain may be offset by certain U.S.-source capital losses (even though you are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Requirements and Backup Withholding</w:t>
      </w:r>
    </w:p>
    <w:p>
      <w:pPr>
        <w:spacing w:after="0" w:line="104"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Information returns are required to be filed with the IRS and provided to Non-U.S. Holders in connection with payments of distributions on our Class A common stock. This information also may be made available under an applicable treaty or agreement with the tax authorities in the country in which the non-U.S. holder resides or is established. You may be subject to backup withholding on payments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80"/>
        <w:spacing w:after="0" w:line="244" w:lineRule="auto"/>
        <w:rPr>
          <w:sz w:val="20"/>
          <w:szCs w:val="20"/>
          <w:color w:val="auto"/>
        </w:rPr>
      </w:pPr>
      <w:r>
        <w:rPr>
          <w:rFonts w:ascii="Arial" w:cs="Arial" w:eastAsia="Arial" w:hAnsi="Arial"/>
          <w:sz w:val="18"/>
          <w:szCs w:val="18"/>
          <w:color w:val="auto"/>
        </w:rPr>
        <w:t>on our Class A common stock or on the proceeds from a sale or other disposition of our Class A common stock unless you comply with certification procedures to establish that you are not a U.S. person or otherwise establish an exemption. Your provision of a properly executed applicable IRS Form W-8 certifying your non-U.S. status will permit you to avoid backup withholding. Amounts withheld under the backup withholding rules are not additional taxes and may be refunded or credited against your U.S. federal income tax liability, provided the required information is timely furnished to the IRS.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Accounts</w:t>
      </w:r>
    </w:p>
    <w:p>
      <w:pPr>
        <w:spacing w:after="0" w:line="10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Sections 1471 through 1474 of the Code (commonly referred to as FATCA) impose a U.S. federal withholding tax of 30% on certain payments paid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these requirements. The withholding tax described above will not apply if the foreign financial institution or non-financial foreign entity otherwise qualifies for an exemption from the rules. Under certain circumstances, a non-U.S. holder might be eligible for refunds or credits of such taxes.</w:t>
      </w:r>
    </w:p>
    <w:p>
      <w:pPr>
        <w:spacing w:after="0" w:line="180" w:lineRule="exact"/>
        <w:rPr>
          <w:sz w:val="20"/>
          <w:szCs w:val="20"/>
          <w:color w:val="auto"/>
        </w:rPr>
      </w:pPr>
    </w:p>
    <w:p>
      <w:pPr>
        <w:ind w:left="120" w:right="140" w:firstLine="551"/>
        <w:spacing w:after="0" w:line="261" w:lineRule="auto"/>
        <w:rPr>
          <w:sz w:val="20"/>
          <w:szCs w:val="20"/>
          <w:color w:val="auto"/>
        </w:rPr>
      </w:pPr>
      <w:r>
        <w:rPr>
          <w:rFonts w:ascii="Arial" w:cs="Arial" w:eastAsia="Arial" w:hAnsi="Arial"/>
          <w:sz w:val="17"/>
          <w:szCs w:val="17"/>
          <w:color w:val="auto"/>
        </w:rPr>
        <w:t>FATCA withholding currently applies to payments of dividends. The U.S. Treasury Department has released proposed regulations which, if finalized in their present form, would eliminate the federal withholding tax of 30% that would be applicable to the gross proceeds of a disposition of our Class A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Class A common stock.</w:t>
      </w:r>
    </w:p>
    <w:p>
      <w:pPr>
        <w:spacing w:after="0" w:line="166" w:lineRule="exact"/>
        <w:rPr>
          <w:sz w:val="20"/>
          <w:szCs w:val="20"/>
          <w:color w:val="auto"/>
        </w:rPr>
      </w:pPr>
    </w:p>
    <w:p>
      <w:pPr>
        <w:ind w:left="120" w:firstLine="551"/>
        <w:spacing w:after="0" w:line="257" w:lineRule="auto"/>
        <w:rPr>
          <w:sz w:val="20"/>
          <w:szCs w:val="20"/>
          <w:color w:val="auto"/>
        </w:rPr>
      </w:pPr>
      <w:r>
        <w:rPr>
          <w:rFonts w:ascii="Arial" w:cs="Arial" w:eastAsia="Arial" w:hAnsi="Arial"/>
          <w:sz w:val="18"/>
          <w:szCs w:val="18"/>
          <w:b w:val="1"/>
          <w:bCs w:val="1"/>
          <w:color w:val="auto"/>
        </w:rPr>
        <w:t>EACH PROSPECTIVE INVESTOR SHOULD CONSULT ITS OWN TAX ADVISOR REGARDING THE TAX CONSEQUENCES OF PURCHASING, HOLDING, AND DISPOSING OF OUR CLASS A COMMON STOCK, INCLUDING THE CONSEQUENCES OF ANY RECENT OR PROPOSED CHANGE IN APPLICABLE LAW.</w:t>
      </w: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12" w:lineRule="exact"/>
        <w:rPr>
          <w:sz w:val="20"/>
          <w:szCs w:val="20"/>
          <w:color w:val="auto"/>
        </w:rPr>
      </w:pPr>
    </w:p>
    <w:p>
      <w:pPr>
        <w:jc w:val="both"/>
        <w:ind w:left="120" w:right="220" w:firstLine="551"/>
        <w:spacing w:after="0" w:line="247" w:lineRule="auto"/>
        <w:rPr>
          <w:sz w:val="20"/>
          <w:szCs w:val="20"/>
          <w:color w:val="auto"/>
        </w:rPr>
      </w:pPr>
      <w:r>
        <w:rPr>
          <w:rFonts w:ascii="Arial" w:cs="Arial" w:eastAsia="Arial" w:hAnsi="Arial"/>
          <w:sz w:val="18"/>
          <w:szCs w:val="18"/>
          <w:color w:val="auto"/>
        </w:rPr>
        <w:t>We, the selling stockholders, and the underwriters named below have entered into an underwriting agreement with respect to the shares of our Class A common stock being offered. Subject to certain conditions, each underwriter has severally agreed to purchase the number of shares indicated in the following table. Goldman Sachs &amp; Co. LLC and J.P. Morgan Securities LLC are the representatives of the underwriters.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5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Underwriters</w:t>
            </w:r>
          </w:p>
        </w:tc>
        <w:tc>
          <w:tcPr>
            <w:tcW w:w="5340" w:type="dxa"/>
            <w:vAlign w:val="bottom"/>
          </w:tcPr>
          <w:p>
            <w:pPr>
              <w:jc w:val="center"/>
              <w:ind w:left="454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0"/>
        </w:trPr>
        <w:tc>
          <w:tcPr>
            <w:tcW w:w="5500" w:type="dxa"/>
            <w:vAlign w:val="bottom"/>
            <w:vMerge w:val="continue"/>
          </w:tcPr>
          <w:p>
            <w:pPr>
              <w:spacing w:after="0"/>
              <w:rPr>
                <w:sz w:val="14"/>
                <w:szCs w:val="14"/>
                <w:color w:val="auto"/>
              </w:rPr>
            </w:pPr>
          </w:p>
        </w:tc>
        <w:tc>
          <w:tcPr>
            <w:tcW w:w="5340" w:type="dxa"/>
            <w:vAlign w:val="bottom"/>
          </w:tcPr>
          <w:p>
            <w:pPr>
              <w:jc w:val="center"/>
              <w:ind w:left="4548"/>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bl>
    <w:p>
      <w:pPr>
        <w:ind w:left="120"/>
        <w:spacing w:after="0" w:line="234" w:lineRule="auto"/>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tabs>
          <w:tab w:leader="none" w:pos="10320" w:val="left"/>
        </w:tabs>
        <w:rPr>
          <w:sz w:val="20"/>
          <w:szCs w:val="20"/>
          <w:color w:val="auto"/>
        </w:rPr>
      </w:pPr>
      <w:r>
        <w:rPr>
          <w:rFonts w:ascii="Arial" w:cs="Arial" w:eastAsia="Arial" w:hAnsi="Arial"/>
          <w:sz w:val="18"/>
          <w:szCs w:val="18"/>
          <w:color w:val="auto"/>
        </w:rPr>
        <w:t>J.P. Morgan Securities LLC</w:t>
      </w:r>
      <w:r>
        <w:rPr>
          <w:sz w:val="20"/>
          <w:szCs w:val="20"/>
          <w:color w:val="auto"/>
        </w:rPr>
        <w:tab/>
      </w:r>
      <w:r>
        <w:rPr>
          <w:rFonts w:ascii="Arial" w:cs="Arial" w:eastAsia="Arial" w:hAnsi="Arial"/>
          <w:sz w:val="18"/>
          <w:szCs w:val="18"/>
          <w:color w:val="auto"/>
        </w:rPr>
        <w:t xml:space="preserve">          </w:t>
      </w:r>
    </w:p>
    <w:p>
      <w:pPr>
        <w:ind w:left="120"/>
        <w:spacing w:after="0" w:line="235" w:lineRule="auto"/>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Barclays Capital Inc.</w:t>
      </w:r>
    </w:p>
    <w:p>
      <w:pPr>
        <w:ind w:left="120"/>
        <w:spacing w:after="0" w:line="235" w:lineRule="auto"/>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Deutsche Bank Securities Inc.</w:t>
      </w:r>
    </w:p>
    <w:p>
      <w:pPr>
        <w:ind w:left="120"/>
        <w:spacing w:after="0" w:line="235" w:lineRule="auto"/>
        <w:rPr>
          <w:sz w:val="20"/>
          <w:szCs w:val="20"/>
          <w:color w:val="auto"/>
        </w:rPr>
      </w:pPr>
      <w:r>
        <w:rPr>
          <w:rFonts w:ascii="Arial" w:cs="Arial" w:eastAsia="Arial" w:hAnsi="Arial"/>
          <w:sz w:val="18"/>
          <w:szCs w:val="18"/>
          <w:color w:val="auto"/>
        </w:rPr>
        <w:t>Citizens 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William Blair &amp; Company, L.L.C.</w:t>
      </w:r>
    </w:p>
    <w:p>
      <w:pPr>
        <w:ind w:left="120"/>
        <w:spacing w:after="0"/>
        <w:rPr>
          <w:sz w:val="20"/>
          <w:szCs w:val="20"/>
          <w:color w:val="auto"/>
        </w:rPr>
      </w:pPr>
      <w:r>
        <w:rPr>
          <w:rFonts w:ascii="Arial" w:cs="Arial" w:eastAsia="Arial" w:hAnsi="Arial"/>
          <w:sz w:val="18"/>
          <w:szCs w:val="18"/>
          <w:color w:val="auto"/>
        </w:rPr>
        <w:t>Robert W. Baird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6434455</wp:posOffset>
            </wp:positionH>
            <wp:positionV relativeFrom="paragraph">
              <wp:posOffset>3175</wp:posOffset>
            </wp:positionV>
            <wp:extent cx="59118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9118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20320</wp:posOffset>
            </wp:positionV>
            <wp:extent cx="59118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underwriters are committed to take and pay for all of the shares of our Class A common stock being offered, if any are taken.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Paid by the Company</w:t>
            </w:r>
          </w:p>
        </w:tc>
        <w:tc>
          <w:tcPr>
            <w:tcW w:w="9560" w:type="dxa"/>
            <w:vAlign w:val="bottom"/>
          </w:tcPr>
          <w:p>
            <w:pPr>
              <w:spacing w:after="0"/>
              <w:rPr>
                <w:sz w:val="14"/>
                <w:szCs w:val="14"/>
                <w:color w:val="auto"/>
              </w:rPr>
            </w:pPr>
          </w:p>
        </w:tc>
      </w:tr>
      <w:tr>
        <w:trPr>
          <w:trHeight w:val="196"/>
        </w:trPr>
        <w:tc>
          <w:tcPr>
            <w:tcW w:w="1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9560" w:type="dxa"/>
            <w:vAlign w:val="bottom"/>
            <w:shd w:val="clear" w:color="auto" w:fill="CCEEFF"/>
          </w:tcPr>
          <w:p>
            <w:pPr>
              <w:ind w:left="8800"/>
              <w:spacing w:after="0" w:line="196" w:lineRule="exact"/>
              <w:rPr>
                <w:sz w:val="20"/>
                <w:szCs w:val="20"/>
                <w:color w:val="auto"/>
              </w:rPr>
            </w:pPr>
            <w:r>
              <w:rPr>
                <w:rFonts w:ascii="Arial" w:cs="Arial" w:eastAsia="Arial" w:hAnsi="Arial"/>
                <w:sz w:val="18"/>
                <w:szCs w:val="18"/>
                <w:color w:val="auto"/>
              </w:rPr>
              <w:t xml:space="preserve">$       </w:t>
            </w:r>
          </w:p>
        </w:tc>
      </w:tr>
      <w:tr>
        <w:trPr>
          <w:trHeight w:val="239"/>
        </w:trPr>
        <w:tc>
          <w:tcPr>
            <w:tcW w:w="1460" w:type="dxa"/>
            <w:vAlign w:val="bottom"/>
          </w:tcPr>
          <w:p>
            <w:pPr>
              <w:spacing w:after="0"/>
              <w:rPr>
                <w:sz w:val="20"/>
                <w:szCs w:val="20"/>
                <w:color w:val="auto"/>
              </w:rPr>
            </w:pPr>
            <w:r>
              <w:rPr>
                <w:rFonts w:ascii="Arial" w:cs="Arial" w:eastAsia="Arial" w:hAnsi="Arial"/>
                <w:sz w:val="18"/>
                <w:szCs w:val="18"/>
                <w:color w:val="auto"/>
              </w:rPr>
              <w:t>Total</w:t>
            </w:r>
          </w:p>
        </w:tc>
        <w:tc>
          <w:tcPr>
            <w:tcW w:w="9560" w:type="dxa"/>
            <w:vAlign w:val="bottom"/>
          </w:tcPr>
          <w:p>
            <w:pPr>
              <w:ind w:left="8800"/>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jc w:val="both"/>
        <w:ind w:left="120" w:right="60" w:firstLine="551"/>
        <w:spacing w:after="0" w:line="242" w:lineRule="auto"/>
        <w:rPr>
          <w:sz w:val="20"/>
          <w:szCs w:val="20"/>
          <w:color w:val="auto"/>
        </w:rPr>
      </w:pPr>
      <w:r>
        <w:rPr>
          <w:rFonts w:ascii="Arial" w:cs="Arial" w:eastAsia="Arial" w:hAnsi="Arial"/>
          <w:sz w:val="18"/>
          <w:szCs w:val="18"/>
          <w:color w:val="auto"/>
        </w:rPr>
        <w:t>Shares of our Class A common stock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 All of our directors, executive officers, and the holders of substantially all of our common stock outstanding and securities exercisable for or convertible into our common stock.</w:t>
      </w:r>
    </w:p>
    <w:p>
      <w:pPr>
        <w:spacing w:after="0" w:line="179"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and our executive officers, directors, the selling stockholders, and the holders of substantially all of our common stock and securities exercisable for or convertible into our common stock have agreed with the underwriters, subject to certain exceptions, not to dispose of or hedge any of our Class A common stock or securities convertible into or exchangeable for shares of Class A common stock during the period from the date of this prospectus continuing through the date 180 days after the date of this prospectus, except with the prior written consent of        . This agreement does not apply to any existing employee benefit plans. See the section titled “Shares Eligible for Future Sale” for a discussion of certain transfer restrictions, including the lock-up agreements with the underwriters and the market stand-off provisions with us, and certain exceptions to these restrictions.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40"/>
          </w:cols>
          <w:pgMar w:left="320" w:top="455"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w:t>
      </w:r>
    </w:p>
    <w:p>
      <w:pPr>
        <w:spacing w:after="0" w:line="117" w:lineRule="exact"/>
        <w:rPr>
          <w:sz w:val="20"/>
          <w:szCs w:val="20"/>
          <w:color w:val="auto"/>
        </w:rPr>
      </w:pPr>
    </w:p>
    <w:p>
      <w:pPr>
        <w:ind w:left="880" w:right="20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with respect to Eligible Holders, if the closing price per share of the Class A common stock on Nasdaq for any five trading days (one of which must be a trading day occurring the Initial Post-Offering Earnings Date) out of ten consecutive trading days is at least 25% greater than the initial public offering price set forth on the cover page of this prospectus, then beginning at the opening of trading on the Tier 1 Release Date after the applicable ten consecutive trading day period, 25% of the Eligible Securities held by Eligible Holders will be automatically released from the lock-up restrictions and may be sold into the public market, subject to exceptions; provided, further, that the Tier 1 Release will expire for applicable Current Employees subject to quarterly trading blackout periods under our insider trading policy upon the commencement of the next occurring quarterly trading blackout period under our insider trading policy; and</w:t>
      </w:r>
    </w:p>
    <w:p>
      <w:pPr>
        <w:spacing w:after="0" w:line="85"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with respect to Eligible Holders, if the closing price per share of the Class A common stock on Nasdaq for any five trading days (one of which must be a trading day occurring on or after         , 2026) out of ten consecutive trading days is at least 25% greater than the initial public offering price set forth on the cover page of this prospectus, then beginning at the opening of trading on the Tier 2 Release Date after the applicable ten consecutive trading day period, 25% of Eligible Securities held by Eligible Holders will be automatically released from the lock-up restrictions and may be sold into the public market, subject to exceptions; provided, further, that the Tier 2 Release will expire for applicable Current Employees subject to quarterly trading blackout periods under our insider trading policy upon the commencement of the next occurring quarterly trading blackout period under our insider trading policy.</w:t>
      </w:r>
    </w:p>
    <w:p>
      <w:pPr>
        <w:spacing w:after="0" w:line="180"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Furthermore, approximately a substantial majority our common stock and securities convertible into or exercisable or exchangeable for our common stock are subject to market stand -off restrictions with us that include restrictions on the sale, transfer, or other disposition of shares during the lock-up period. As a result of the foregoing, substantially all of our common stock and securities convertible into or exercisable or exchangeable for our common stock are subject to a lock-up agreement or market stand-off provisions during the lock-up period. We have agreed to enforce all such market stand-off restrictions on behalf of the underwriters and not to release, amend, or waive any such market stand-off provisions during the lock-up period without the prior consent of Goldman Sachs &amp; Co. LLC and J.P. Morgan Securities LLC, on behalf of the underwriters, provided that we may release shares from such restrictions to the extent that it would be permissible to release under such shares the form of lock-up agreement with the underwriters signed by certain holders of our securities as described herein.</w:t>
      </w:r>
    </w:p>
    <w:p>
      <w:pPr>
        <w:spacing w:after="0" w:line="183" w:lineRule="exact"/>
        <w:rPr>
          <w:sz w:val="20"/>
          <w:szCs w:val="20"/>
          <w:color w:val="auto"/>
        </w:rPr>
      </w:pPr>
    </w:p>
    <w:p>
      <w:pPr>
        <w:ind w:left="120" w:right="180" w:firstLine="551"/>
        <w:spacing w:after="0" w:line="244" w:lineRule="auto"/>
        <w:rPr>
          <w:sz w:val="20"/>
          <w:szCs w:val="20"/>
          <w:color w:val="auto"/>
        </w:rPr>
      </w:pPr>
      <w:r>
        <w:rPr>
          <w:rFonts w:ascii="Arial" w:cs="Arial" w:eastAsia="Arial" w:hAnsi="Arial"/>
          <w:sz w:val="18"/>
          <w:szCs w:val="18"/>
          <w:color w:val="auto"/>
        </w:rPr>
        <w:t>Prior to the offering, there has been no public market for the shares of our Class A common stock. The initial public offering price has been negotiated among us, the selling stockholders, and the representatives. Among the factors to be considered in determining the initial public offering price of the shares of our Class A common stock,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applied to list the common stock on Nasdaq under the symbol “LIFE.”</w:t>
      </w:r>
    </w:p>
    <w:p>
      <w:pPr>
        <w:spacing w:after="0" w:line="212"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Stabilizing transactions consist of various bids for or purchases of Class A common stock</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40"/>
          </w:cols>
          <w:pgMar w:left="320" w:top="455" w:right="4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color w:val="auto"/>
        </w:rPr>
        <w:t>made by the underwriters in the open market prior to the completion of the offering. We have not granted the underwriters an option to purchase additional shares of Class A common stock from us.</w:t>
      </w:r>
    </w:p>
    <w:p>
      <w:pPr>
        <w:spacing w:after="0" w:line="154" w:lineRule="exact"/>
        <w:rPr>
          <w:sz w:val="20"/>
          <w:szCs w:val="20"/>
          <w:color w:val="auto"/>
        </w:rPr>
      </w:pPr>
    </w:p>
    <w:p>
      <w:pPr>
        <w:ind w:left="120" w:right="160" w:firstLine="551"/>
        <w:spacing w:after="0" w:line="25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9"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the Class A common stock. As a result, the price of the Class A common stock may be higher than the price that otherwise might exist in the open market. The underwriters are not required to engage in these activities and may end any of these activities at any time. These transactions may be effected on the          , in the over-the-counter market or otherwise.</w:t>
      </w:r>
    </w:p>
    <w:p>
      <w:pPr>
        <w:spacing w:after="0" w:line="179" w:lineRule="exact"/>
        <w:rPr>
          <w:sz w:val="20"/>
          <w:szCs w:val="20"/>
          <w:color w:val="auto"/>
        </w:rPr>
      </w:pPr>
    </w:p>
    <w:p>
      <w:pPr>
        <w:ind w:left="120" w:right="740" w:firstLine="551"/>
        <w:spacing w:after="0" w:line="271"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    million.</w:t>
      </w:r>
    </w:p>
    <w:p>
      <w:pPr>
        <w:spacing w:after="0" w:line="154" w:lineRule="exact"/>
        <w:rPr>
          <w:sz w:val="20"/>
          <w:szCs w:val="20"/>
          <w:color w:val="auto"/>
        </w:rPr>
      </w:pPr>
    </w:p>
    <w:p>
      <w:pPr>
        <w:ind w:left="120" w:right="380" w:firstLine="551"/>
        <w:spacing w:after="0" w:line="271" w:lineRule="auto"/>
        <w:rPr>
          <w:sz w:val="20"/>
          <w:szCs w:val="20"/>
          <w:color w:val="auto"/>
        </w:rPr>
      </w:pPr>
      <w:r>
        <w:rPr>
          <w:rFonts w:ascii="Arial" w:cs="Arial" w:eastAsia="Arial" w:hAnsi="Arial"/>
          <w:sz w:val="18"/>
          <w:szCs w:val="18"/>
          <w:color w:val="auto"/>
        </w:rPr>
        <w:t>We and the selling stockholders have agreed to indemnify the several underwriters against certain liabilities, including liabilities under the Securities Act.</w:t>
      </w:r>
    </w:p>
    <w:p>
      <w:pPr>
        <w:spacing w:after="0" w:line="15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In addition, the underwriters and their respective affiliates may also provide risk management products to us or any parties related to us or them in connection with the offering for which they could receive payment(s), earn a profit and/or suffer or avoid a loss contingent on the closing of the offering (and the quantum of such amounts may potentially be significantly in excess of the fees earned by the relevant underwriter for its services acting as underwriter in connection with the offering).</w:t>
      </w:r>
    </w:p>
    <w:p>
      <w:pPr>
        <w:spacing w:after="0" w:line="18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of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10" w:lineRule="exact"/>
        <w:rPr>
          <w:sz w:val="20"/>
          <w:szCs w:val="20"/>
          <w:color w:val="auto"/>
        </w:rPr>
      </w:pPr>
    </w:p>
    <w:p>
      <w:pPr>
        <w:ind w:left="120" w:right="400" w:firstLine="551"/>
        <w:spacing w:after="0" w:line="271" w:lineRule="auto"/>
        <w:rPr>
          <w:sz w:val="20"/>
          <w:szCs w:val="20"/>
          <w:color w:val="auto"/>
        </w:rPr>
      </w:pPr>
      <w:r>
        <w:rPr>
          <w:rFonts w:ascii="Arial" w:cs="Arial" w:eastAsia="Arial" w:hAnsi="Arial"/>
          <w:sz w:val="18"/>
          <w:szCs w:val="18"/>
          <w:color w:val="auto"/>
        </w:rPr>
        <w:t>In relation to each Member State of the European Economic Area, or a Relevant Member State, no shares of Class A common stock have been offered or will be offered pursuant to the offering to the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public in that Relevant Member State prior to the publication of a prospectus in relation to the shares of Class A common stock which has been approved by the competent authority in that Relevant Member State, all in accordance with the EU Prospectus Regulation, except that the shares of Class A common stock may be offered to the public in that Relevant Member State at any time:</w:t>
      </w:r>
    </w:p>
    <w:p>
      <w:pPr>
        <w:spacing w:after="0" w:line="74" w:lineRule="exact"/>
        <w:rPr>
          <w:sz w:val="20"/>
          <w:szCs w:val="20"/>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EU Prospectus Regulation;</w:t>
      </w:r>
    </w:p>
    <w:p>
      <w:pPr>
        <w:spacing w:after="0" w:line="117" w:lineRule="exact"/>
        <w:rPr>
          <w:rFonts w:ascii="Arial" w:cs="Arial" w:eastAsia="Arial" w:hAnsi="Arial"/>
          <w:sz w:val="18"/>
          <w:szCs w:val="18"/>
          <w:color w:val="auto"/>
        </w:rPr>
      </w:pPr>
    </w:p>
    <w:p>
      <w:pPr>
        <w:ind w:left="880" w:right="460" w:hanging="224"/>
        <w:spacing w:after="0" w:line="271" w:lineRule="auto"/>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EU Prospectus Regulation), subject to obtaining the prior consent of the representatives for any such offer; or</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EU Prospectus Regulation,</w:t>
      </w:r>
    </w:p>
    <w:p>
      <w:pPr>
        <w:spacing w:after="0" w:line="212"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auto"/>
        </w:rPr>
        <w:t>provided that no such offer of the shares of Class A common stock shall result in a requirement for us or any underwriter to publish a prospectus pursuant to Article 3 of the EU Prospectus Regulation or a supplemental prospectus pursuant to Article 23 of the EU Prospectus Regulation and each person who initially acquires any shares of Class A common stock or to whom any offer is made will be deemed to have represented, warranted, and agreed to and with each of the underwriters and us that it is a qualified investor within the meaning of Article 2 of the EU Prospectus Regulation.</w:t>
      </w:r>
    </w:p>
    <w:p>
      <w:pPr>
        <w:spacing w:after="0" w:line="176"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In the case of any shares of Class A common stock being offered to a financial intermediary as that term is used in Article 1(4) of the EU Prospectus Regulation, each financial intermediary will also be deemed to have represented, warranted, and agreed that the shares of Class A common stock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a Relevant Member State to qualified investors as so defined or in circumstances in which the prior consent of the underwriters has been obtained to each such proposed offer or resale.</w:t>
      </w:r>
    </w:p>
    <w:p>
      <w:pPr>
        <w:spacing w:after="0" w:line="179" w:lineRule="exact"/>
        <w:rPr>
          <w:sz w:val="20"/>
          <w:szCs w:val="20"/>
          <w:color w:val="auto"/>
        </w:rPr>
      </w:pPr>
    </w:p>
    <w:p>
      <w:pPr>
        <w:ind w:left="120" w:right="320" w:firstLine="551"/>
        <w:spacing w:after="0" w:line="253" w:lineRule="auto"/>
        <w:rPr>
          <w:sz w:val="20"/>
          <w:szCs w:val="20"/>
          <w:color w:val="auto"/>
        </w:rPr>
      </w:pPr>
      <w:r>
        <w:rPr>
          <w:rFonts w:ascii="Arial" w:cs="Arial" w:eastAsia="Arial" w:hAnsi="Arial"/>
          <w:sz w:val="18"/>
          <w:szCs w:val="18"/>
          <w:color w:val="auto"/>
        </w:rPr>
        <w:t>We,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the underwriters, be permitted to acquire shares of Class A common stock in the offer.</w:t>
      </w:r>
    </w:p>
    <w:p>
      <w:pPr>
        <w:spacing w:after="0" w:line="169" w:lineRule="exact"/>
        <w:rPr>
          <w:sz w:val="20"/>
          <w:szCs w:val="20"/>
          <w:color w:val="auto"/>
        </w:rPr>
      </w:pPr>
    </w:p>
    <w:p>
      <w:pPr>
        <w:ind w:left="120" w:right="180" w:firstLine="551"/>
        <w:spacing w:after="0" w:line="244"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Class A common stock in any Relevant Member State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“EU Prospectus Regulation” means Regulation (EU) 2017/1129, as amended, and includes any relevant implementing measure in Relevant Member State.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02" w:lineRule="exact"/>
        <w:rPr>
          <w:sz w:val="20"/>
          <w:szCs w:val="20"/>
          <w:color w:val="auto"/>
        </w:rPr>
      </w:pPr>
    </w:p>
    <w:p>
      <w:pPr>
        <w:ind w:left="120" w:right="320" w:firstLine="551"/>
        <w:spacing w:after="0" w:line="253" w:lineRule="auto"/>
        <w:rPr>
          <w:sz w:val="20"/>
          <w:szCs w:val="20"/>
          <w:color w:val="auto"/>
        </w:rPr>
      </w:pPr>
      <w:r>
        <w:rPr>
          <w:rFonts w:ascii="Arial" w:cs="Arial" w:eastAsia="Arial" w:hAnsi="Arial"/>
          <w:sz w:val="18"/>
          <w:szCs w:val="18"/>
          <w:color w:val="auto"/>
        </w:rPr>
        <w:t>No shares of Class A common stock have been offered or will be offered pursuant to the offering to the public in the U.K. prior to the publication of a prospectus in relation to the shares of Class A common stock which has been approved by the Financial Conduct Authority, or FCA, except that the shares of Class A common stock may be offered to the public in the U.K. at any time:</w:t>
      </w:r>
    </w:p>
    <w:p>
      <w:pPr>
        <w:spacing w:after="0" w:line="74" w:lineRule="exact"/>
        <w:rPr>
          <w:sz w:val="20"/>
          <w:szCs w:val="20"/>
          <w:color w:val="auto"/>
        </w:rPr>
      </w:pPr>
    </w:p>
    <w:p>
      <w:pPr>
        <w:ind w:left="880" w:hanging="224"/>
        <w:spacing w:after="0"/>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17" w:lineRule="exact"/>
        <w:rPr>
          <w:rFonts w:ascii="Arial" w:cs="Arial" w:eastAsia="Arial" w:hAnsi="Arial"/>
          <w:sz w:val="18"/>
          <w:szCs w:val="18"/>
          <w:color w:val="auto"/>
        </w:rPr>
      </w:pPr>
    </w:p>
    <w:p>
      <w:pPr>
        <w:ind w:left="880" w:right="480" w:hanging="224"/>
        <w:spacing w:after="0" w:line="271" w:lineRule="auto"/>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underwriters for any such offer; or</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40"/>
          </w:cols>
          <w:pgMar w:left="320" w:top="455" w:right="4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in any other circumstances falling within section 86 of the Financial Services and Markets Act 2000, as amended, or the FSMA,</w:t>
      </w:r>
    </w:p>
    <w:p>
      <w:pPr>
        <w:spacing w:after="0" w:line="212" w:lineRule="exact"/>
        <w:rPr>
          <w:sz w:val="20"/>
          <w:szCs w:val="20"/>
          <w:color w:val="auto"/>
        </w:rPr>
      </w:pPr>
    </w:p>
    <w:p>
      <w:pPr>
        <w:ind w:left="120" w:right="20"/>
        <w:spacing w:after="0" w:line="266" w:lineRule="auto"/>
        <w:rPr>
          <w:sz w:val="20"/>
          <w:szCs w:val="20"/>
          <w:color w:val="auto"/>
        </w:rPr>
      </w:pPr>
      <w:r>
        <w:rPr>
          <w:rFonts w:ascii="Arial" w:cs="Arial" w:eastAsia="Arial" w:hAnsi="Arial"/>
          <w:sz w:val="17"/>
          <w:szCs w:val="17"/>
          <w:color w:val="auto"/>
        </w:rPr>
        <w:t>provided that no such offer of shares of Class A common stock shall require us or any underwriter to publish a prospectus pursuant to section 85 of the FSMA or supplement a prospectus pursuant to Article 23 of the U.K. Prospectus Regulation and each person who initially acquires any shares of Class A common stock or to whom any offer is made will be deemed to have represented, warranted, and agreed to and with each of us and the underwriters that it is a qualified investor within the meaning of Article 2 of the U.K. Prospectus Regulation.</w:t>
      </w:r>
    </w:p>
    <w:p>
      <w:pPr>
        <w:spacing w:after="0" w:line="159"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In the case of any shares of Class A common stock being offered to a financial intermediary as that term is used in Article 1(4) of the U.K. Prospectus Regulation, each financial intermediary will also be deemed to have represented, warranted and agreed that the shares of Class A common stock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the U.K. to qualified investors as so defined or in circumstances in which the prior consent of the underwriters has been obtained to each such proposed offer or resale.</w:t>
      </w:r>
    </w:p>
    <w:p>
      <w:pPr>
        <w:spacing w:after="0" w:line="179" w:lineRule="exact"/>
        <w:rPr>
          <w:sz w:val="20"/>
          <w:szCs w:val="20"/>
          <w:color w:val="auto"/>
        </w:rPr>
      </w:pPr>
    </w:p>
    <w:p>
      <w:pPr>
        <w:ind w:left="120" w:right="320" w:firstLine="551"/>
        <w:spacing w:after="0" w:line="253" w:lineRule="auto"/>
        <w:rPr>
          <w:sz w:val="20"/>
          <w:szCs w:val="20"/>
          <w:color w:val="auto"/>
        </w:rPr>
      </w:pPr>
      <w:r>
        <w:rPr>
          <w:rFonts w:ascii="Arial" w:cs="Arial" w:eastAsia="Arial" w:hAnsi="Arial"/>
          <w:sz w:val="18"/>
          <w:szCs w:val="18"/>
          <w:color w:val="auto"/>
        </w:rPr>
        <w:t>We,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the underwriters, be permitted to acquire shares of Class A common stock in the offer.</w:t>
      </w:r>
    </w:p>
    <w:p>
      <w:pPr>
        <w:spacing w:after="0" w:line="169"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Class A common stock in the U.K.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“U.K. Prospectus Regulation” means Regulation (EU) 2017/1129 as it forms part of the domestic law by virtue of the European Union (Withdrawal) Act 2018.</w:t>
      </w:r>
    </w:p>
    <w:p>
      <w:pPr>
        <w:spacing w:after="0" w:line="176"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This prospectus is only being distributed to and is only directed at: (a) persons who are outside the U.K.; or (b) qualified investors (as defined in the U.K. Prospectus Regulation) who are also (i) investment professionals falling within Article 19(5) of the Financial Services and Markets Act 2000 (Financial Promotion) Order 2005, or the Order, (ii) high net worth companies, unincorporated associations, etc. falling within Article 49(2)(a) to (d) of the Order, or (iii) other persons to whom it may lawfully be communicated (all such persons falling within (B)(i) to (iii) together being referred to as relevant persons). In the U.K., the shares of Class A common stock are only available to, and any invitation, offer, or agreement to subscribe, purchase, or otherwise acquire the shares of Class A common stock will be engaged in only with, relevant persons. Any person who is not a relevant person should not act or rely on this prospectus or any of its contents.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02" w:lineRule="exact"/>
        <w:rPr>
          <w:sz w:val="20"/>
          <w:szCs w:val="20"/>
          <w:color w:val="auto"/>
        </w:rPr>
      </w:pPr>
    </w:p>
    <w:p>
      <w:pPr>
        <w:ind w:left="120" w:right="260" w:firstLine="551"/>
        <w:spacing w:after="0" w:line="244" w:lineRule="auto"/>
        <w:rPr>
          <w:sz w:val="20"/>
          <w:szCs w:val="20"/>
          <w:color w:val="auto"/>
        </w:rPr>
      </w:pPr>
      <w:r>
        <w:rPr>
          <w:rFonts w:ascii="Arial" w:cs="Arial" w:eastAsia="Arial" w:hAnsi="Arial"/>
          <w:sz w:val="18"/>
          <w:szCs w:val="18"/>
          <w:color w:val="auto"/>
        </w:rPr>
        <w:t>The Class A common stock may be sold in Canada only to purchasers purchasing, or deemed to be purchasing, as principal that are accredited investors, as defined in National Instrument 45-106 Prospectus Exemptions, and are permitted clients, as defined in National Instrument 31-103 Registration Requirements, Exemptions and Ongoing Registrant Obligations. Any resale of the Class A common stock must be made in accordance with an exemption from, or in a transaction not subject to, the prospectus requirements of applicable securities laws.</w:t>
      </w:r>
    </w:p>
    <w:p>
      <w:pPr>
        <w:spacing w:after="0" w:line="176"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40"/>
          </w:cols>
          <w:pgMar w:left="320" w:top="455" w:right="4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9" w:lineRule="exact"/>
        <w:rPr>
          <w:sz w:val="20"/>
          <w:szCs w:val="20"/>
          <w:color w:val="auto"/>
        </w:rPr>
      </w:pPr>
    </w:p>
    <w:p>
      <w:pPr>
        <w:jc w:val="both"/>
        <w:ind w:left="120" w:right="500" w:firstLine="551"/>
        <w:spacing w:after="0" w:line="25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the offering.</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shares of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of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Class A common stock which are or are intended to be disposed of only to persons outside Hong Kong or only to “professional investors” in Hong Kong as defined in the Securities and Futures Ordinance and any rules made thereunder.</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02" w:lineRule="exact"/>
        <w:rPr>
          <w:sz w:val="20"/>
          <w:szCs w:val="20"/>
          <w:color w:val="auto"/>
        </w:rPr>
      </w:pPr>
    </w:p>
    <w:p>
      <w:pPr>
        <w:ind w:left="120" w:right="120" w:firstLine="551"/>
        <w:spacing w:after="0" w:line="251" w:lineRule="auto"/>
        <w:rPr>
          <w:sz w:val="20"/>
          <w:szCs w:val="20"/>
          <w:color w:val="auto"/>
        </w:rPr>
      </w:pPr>
      <w:r>
        <w:rPr>
          <w:rFonts w:ascii="Arial" w:cs="Arial" w:eastAsia="Arial" w:hAnsi="Arial"/>
          <w:sz w:val="17"/>
          <w:szCs w:val="17"/>
          <w:color w:val="auto"/>
        </w:rPr>
        <w:t>This prospectus has not and will not be lodged or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4" w:lineRule="exact"/>
        <w:rPr>
          <w:sz w:val="20"/>
          <w:szCs w:val="20"/>
          <w:color w:val="auto"/>
        </w:rPr>
      </w:pPr>
    </w:p>
    <w:p>
      <w:pPr>
        <w:ind w:left="120" w:right="400" w:hanging="4"/>
        <w:spacing w:after="0" w:line="250" w:lineRule="auto"/>
        <w:tabs>
          <w:tab w:leader="none" w:pos="41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conditions set forth in the SFA.</w:t>
      </w:r>
    </w:p>
    <w:p>
      <w:pPr>
        <w:spacing w:after="0" w:line="17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Where the shares of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of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54"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Where the shares of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of Class A common stock under Section 275 of the SFA except:</w:t>
      </w:r>
    </w:p>
    <w:p>
      <w:pPr>
        <w:ind w:left="120" w:right="180" w:hanging="4"/>
        <w:spacing w:after="0" w:line="234" w:lineRule="auto"/>
        <w:tabs>
          <w:tab w:leader="none" w:pos="39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w:t>
      </w:r>
    </w:p>
    <w:p>
      <w:pPr>
        <w:spacing w:after="0" w:line="2" w:lineRule="exact"/>
        <w:rPr>
          <w:rFonts w:ascii="Arial" w:cs="Arial" w:eastAsia="Arial" w:hAnsi="Arial"/>
          <w:sz w:val="18"/>
          <w:szCs w:val="18"/>
          <w:color w:val="auto"/>
        </w:rPr>
      </w:pPr>
    </w:p>
    <w:p>
      <w:pPr>
        <w:ind w:left="380" w:hanging="264"/>
        <w:spacing w:after="0"/>
        <w:tabs>
          <w:tab w:leader="none" w:pos="3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as specified in Section 276(7) of the SFA, or (6) as specified in Regulation 32.</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02"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The Class A common stock have not been and will not be registered under the Financial Instruments and Exchange Act of Japan (Act No. 25 of 1948 of Japan, as amended), or the FIEA. The Class A common stock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FIFA and any other applicable laws, regulations, and ministerial guidelines of Japan.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Brazil</w:t>
      </w:r>
    </w:p>
    <w:p>
      <w:pPr>
        <w:spacing w:after="0" w:line="10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offer and sale of the Class A common stock have not been and will not be registered with the Brazilian Securities Commission (</w:t>
      </w:r>
      <w:r>
        <w:rPr>
          <w:rFonts w:ascii="Arial" w:cs="Arial" w:eastAsia="Arial" w:hAnsi="Arial"/>
          <w:sz w:val="18"/>
          <w:szCs w:val="18"/>
          <w:i w:val="1"/>
          <w:iCs w:val="1"/>
          <w:color w:val="auto"/>
        </w:rPr>
        <w:t>Comissão de Valores Mobiliários</w:t>
      </w:r>
      <w:r>
        <w:rPr>
          <w:rFonts w:ascii="Arial" w:cs="Arial" w:eastAsia="Arial" w:hAnsi="Arial"/>
          <w:sz w:val="18"/>
          <w:szCs w:val="18"/>
          <w:color w:val="auto"/>
        </w:rPr>
        <w:t>, or CVM), and, therefore, will not be carried out by any means that would constitute a public offering in Brazil under CVM Resolution No 160, dated July 13, 2022, as amended, or unauthorized distribution under Brazilian laws and regulations. The Class A common stock will be authorized for trading on organized non-Brazilian securities markets and may only be offered to Brazilian professional investors (as defined by the applicable CVM regulation), who may only acquire the Class A common stock through a non-Brazilian account, with settlement outside Brazil in non-Brazilian currency. The trading of the Class A common stock on regulated securities markets in Brazil is prohibited.</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12"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The validity of the shares of Class A common stock being offered by this prospectus will be passed upon for us by Cooley LLP, Palo Alto, California. The underwriters have been represented by Simpson Thacher &amp; Bartlett LLP, Palo Alto, California and New York, New York. As of the date of this prospectus, GC&amp;H Investments, LLC, an entity comprised of partners and associates of Cooley LLP, beneficially owns 39,641 shares of Class A common stock issuable upon the conversion of our convertible preferred stock.</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12" w:lineRule="exact"/>
        <w:rPr>
          <w:sz w:val="20"/>
          <w:szCs w:val="20"/>
          <w:color w:val="auto"/>
        </w:rPr>
      </w:pPr>
    </w:p>
    <w:p>
      <w:pPr>
        <w:jc w:val="both"/>
        <w:ind w:left="120" w:right="40" w:firstLine="551"/>
        <w:spacing w:after="0" w:line="247" w:lineRule="auto"/>
        <w:rPr>
          <w:sz w:val="20"/>
          <w:szCs w:val="20"/>
          <w:color w:val="auto"/>
        </w:rPr>
      </w:pPr>
      <w:r>
        <w:rPr>
          <w:rFonts w:ascii="Arial" w:cs="Arial" w:eastAsia="Arial" w:hAnsi="Arial"/>
          <w:sz w:val="18"/>
          <w:szCs w:val="18"/>
          <w:color w:val="auto"/>
        </w:rPr>
        <w:t>The consolidated financial statements of Ethos Technologies Inc. at December 31, 2023 and 2024, and for each of the two years in the period ended December 31, 2024,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1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the Class A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w:t>
      </w:r>
    </w:p>
    <w:p>
      <w:pPr>
        <w:spacing w:after="0" w:line="212"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Upon the closing of this offering, we will be subject to the information reporting requirements of the Exchange Act and we will file reports, proxy statements, and other information with the SEC. These reports, proxy statements, and other information will be available for inspection and copying at the website of the SEC referred to above. We also maintain a website at www.ethos.com, at which, following the closing of this offering,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only as an inactive textual reference.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5" w:right="45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07"/>
        </w:trPr>
        <w:tc>
          <w:tcPr>
            <w:tcW w:w="93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720" w:type="dxa"/>
            <w:vAlign w:val="bottom"/>
          </w:tcPr>
          <w:p>
            <w:pPr>
              <w:spacing w:after="0"/>
              <w:rPr>
                <w:sz w:val="17"/>
                <w:szCs w:val="17"/>
                <w:color w:val="auto"/>
              </w:rPr>
            </w:pPr>
          </w:p>
        </w:tc>
      </w:tr>
      <w:tr>
        <w:trPr>
          <w:trHeight w:val="559"/>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40" w:type="dxa"/>
            <w:vAlign w:val="bottom"/>
            <w:gridSpan w:val="5"/>
          </w:tcPr>
          <w:p>
            <w:pPr>
              <w:ind w:left="20"/>
              <w:spacing w:after="0"/>
              <w:rPr>
                <w:sz w:val="20"/>
                <w:szCs w:val="20"/>
                <w:color w:val="auto"/>
              </w:rPr>
            </w:pPr>
            <w:r>
              <w:rPr>
                <w:rFonts w:ascii="Arial" w:cs="Arial" w:eastAsia="Arial" w:hAnsi="Arial"/>
                <w:sz w:val="18"/>
                <w:szCs w:val="18"/>
                <w:b w:val="1"/>
                <w:bCs w:val="1"/>
                <w:color w:val="auto"/>
              </w:rPr>
              <w:t>INDEX TO CONSOLIDATED FINANCIAL STATEMENTS</w:t>
            </w:r>
          </w:p>
        </w:tc>
        <w:tc>
          <w:tcPr>
            <w:tcW w:w="1720" w:type="dxa"/>
            <w:vAlign w:val="bottom"/>
          </w:tcPr>
          <w:p>
            <w:pPr>
              <w:spacing w:after="0"/>
              <w:rPr>
                <w:sz w:val="24"/>
                <w:szCs w:val="24"/>
                <w:color w:val="auto"/>
              </w:rPr>
            </w:pPr>
          </w:p>
        </w:tc>
      </w:tr>
      <w:tr>
        <w:trPr>
          <w:trHeight w:val="393"/>
        </w:trPr>
        <w:tc>
          <w:tcPr>
            <w:tcW w:w="120" w:type="dxa"/>
            <w:vAlign w:val="bottom"/>
          </w:tcPr>
          <w:p>
            <w:pPr>
              <w:spacing w:after="0"/>
              <w:rPr>
                <w:sz w:val="24"/>
                <w:szCs w:val="24"/>
                <w:color w:val="auto"/>
              </w:rPr>
            </w:pPr>
          </w:p>
        </w:tc>
        <w:tc>
          <w:tcPr>
            <w:tcW w:w="9240" w:type="dxa"/>
            <w:vAlign w:val="bottom"/>
            <w:gridSpan w:val="8"/>
          </w:tcPr>
          <w:p>
            <w:pPr>
              <w:spacing w:after="0"/>
              <w:rPr>
                <w:sz w:val="20"/>
                <w:szCs w:val="20"/>
                <w:color w:val="auto"/>
              </w:rPr>
            </w:pPr>
            <w:r>
              <w:rPr>
                <w:rFonts w:ascii="Arial" w:cs="Arial" w:eastAsia="Arial" w:hAnsi="Arial"/>
                <w:sz w:val="18"/>
                <w:szCs w:val="18"/>
                <w:color w:val="0000EE"/>
              </w:rPr>
              <w:t>Report of Independent Registered Public Accounting Firm</w:t>
            </w:r>
          </w:p>
        </w:tc>
        <w:tc>
          <w:tcPr>
            <w:tcW w:w="1720" w:type="dxa"/>
            <w:vAlign w:val="bottom"/>
          </w:tcPr>
          <w:p>
            <w:pPr>
              <w:ind w:left="1440"/>
              <w:spacing w:after="0"/>
              <w:rPr>
                <w:sz w:val="20"/>
                <w:szCs w:val="20"/>
                <w:color w:val="auto"/>
              </w:rPr>
            </w:pPr>
            <w:r>
              <w:rPr>
                <w:rFonts w:ascii="Arial" w:cs="Arial" w:eastAsia="Arial" w:hAnsi="Arial"/>
                <w:sz w:val="18"/>
                <w:szCs w:val="18"/>
                <w:color w:val="auto"/>
                <w:w w:val="96"/>
              </w:rPr>
              <w:t>F-2</w:t>
            </w:r>
          </w:p>
        </w:tc>
      </w:tr>
      <w:tr>
        <w:trPr>
          <w:trHeight w:val="183"/>
        </w:trPr>
        <w:tc>
          <w:tcPr>
            <w:tcW w:w="120" w:type="dxa"/>
            <w:vAlign w:val="bottom"/>
          </w:tcPr>
          <w:p>
            <w:pPr>
              <w:spacing w:after="0"/>
              <w:rPr>
                <w:sz w:val="15"/>
                <w:szCs w:val="15"/>
                <w:color w:val="auto"/>
              </w:rPr>
            </w:pPr>
          </w:p>
        </w:tc>
        <w:tc>
          <w:tcPr>
            <w:tcW w:w="460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Consolidated Balance Sheets</w:t>
            </w:r>
          </w:p>
        </w:tc>
        <w:tc>
          <w:tcPr>
            <w:tcW w:w="1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ind w:left="1440"/>
              <w:spacing w:after="0" w:line="182" w:lineRule="exact"/>
              <w:rPr>
                <w:sz w:val="20"/>
                <w:szCs w:val="20"/>
                <w:color w:val="auto"/>
              </w:rPr>
            </w:pPr>
            <w:r>
              <w:rPr>
                <w:rFonts w:ascii="Arial" w:cs="Arial" w:eastAsia="Arial" w:hAnsi="Arial"/>
                <w:sz w:val="18"/>
                <w:szCs w:val="18"/>
                <w:color w:val="auto"/>
                <w:w w:val="96"/>
              </w:rPr>
              <w:t>F-3</w:t>
            </w:r>
          </w:p>
        </w:tc>
      </w:tr>
      <w:tr>
        <w:trPr>
          <w:trHeight w:val="183"/>
        </w:trPr>
        <w:tc>
          <w:tcPr>
            <w:tcW w:w="120" w:type="dxa"/>
            <w:vAlign w:val="bottom"/>
          </w:tcPr>
          <w:p>
            <w:pPr>
              <w:spacing w:after="0"/>
              <w:rPr>
                <w:sz w:val="15"/>
                <w:szCs w:val="15"/>
                <w:color w:val="auto"/>
              </w:rPr>
            </w:pPr>
          </w:p>
        </w:tc>
        <w:tc>
          <w:tcPr>
            <w:tcW w:w="236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rPr>
              <w:t>Consolidated Statements of</w:t>
            </w:r>
          </w:p>
        </w:tc>
        <w:tc>
          <w:tcPr>
            <w:tcW w:w="6880" w:type="dxa"/>
            <w:vAlign w:val="bottom"/>
            <w:gridSpan w:val="6"/>
          </w:tcPr>
          <w:p>
            <w:pPr>
              <w:spacing w:after="0" w:line="182" w:lineRule="exact"/>
              <w:rPr>
                <w:sz w:val="20"/>
                <w:szCs w:val="20"/>
                <w:color w:val="auto"/>
              </w:rPr>
            </w:pPr>
            <w:r>
              <w:rPr>
                <w:rFonts w:ascii="Arial" w:cs="Arial" w:eastAsia="Arial" w:hAnsi="Arial"/>
                <w:sz w:val="18"/>
                <w:szCs w:val="18"/>
                <w:color w:val="0000EE"/>
              </w:rPr>
              <w:t>Operations and Comprehensive Income (Loss)</w:t>
            </w:r>
          </w:p>
        </w:tc>
        <w:tc>
          <w:tcPr>
            <w:tcW w:w="1720" w:type="dxa"/>
            <w:vAlign w:val="bottom"/>
          </w:tcPr>
          <w:p>
            <w:pPr>
              <w:ind w:left="1440"/>
              <w:spacing w:after="0" w:line="182" w:lineRule="exact"/>
              <w:rPr>
                <w:sz w:val="20"/>
                <w:szCs w:val="20"/>
                <w:color w:val="auto"/>
              </w:rPr>
            </w:pPr>
            <w:r>
              <w:rPr>
                <w:rFonts w:ascii="Arial" w:cs="Arial" w:eastAsia="Arial" w:hAnsi="Arial"/>
                <w:sz w:val="18"/>
                <w:szCs w:val="18"/>
                <w:color w:val="auto"/>
                <w:w w:val="96"/>
              </w:rPr>
              <w:t>F-4</w:t>
            </w:r>
          </w:p>
        </w:tc>
      </w:tr>
      <w:tr>
        <w:trPr>
          <w:trHeight w:val="183"/>
        </w:trPr>
        <w:tc>
          <w:tcPr>
            <w:tcW w:w="120" w:type="dxa"/>
            <w:vAlign w:val="bottom"/>
          </w:tcPr>
          <w:p>
            <w:pPr>
              <w:spacing w:after="0"/>
              <w:rPr>
                <w:sz w:val="15"/>
                <w:szCs w:val="15"/>
                <w:color w:val="auto"/>
              </w:rPr>
            </w:pPr>
          </w:p>
        </w:tc>
        <w:tc>
          <w:tcPr>
            <w:tcW w:w="598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Consolidated Statements of Redeemable Convertible Preferred Stock and</w:t>
            </w:r>
          </w:p>
        </w:tc>
        <w:tc>
          <w:tcPr>
            <w:tcW w:w="3260" w:type="dxa"/>
            <w:vAlign w:val="bottom"/>
            <w:gridSpan w:val="2"/>
          </w:tcPr>
          <w:p>
            <w:pPr>
              <w:spacing w:after="0" w:line="182" w:lineRule="exact"/>
              <w:rPr>
                <w:sz w:val="20"/>
                <w:szCs w:val="20"/>
                <w:color w:val="auto"/>
              </w:rPr>
            </w:pPr>
            <w:r>
              <w:rPr>
                <w:rFonts w:ascii="Arial" w:cs="Arial" w:eastAsia="Arial" w:hAnsi="Arial"/>
                <w:sz w:val="18"/>
                <w:szCs w:val="18"/>
                <w:color w:val="0000EE"/>
              </w:rPr>
              <w:t>Stockholders’ Deficit</w:t>
            </w:r>
          </w:p>
        </w:tc>
        <w:tc>
          <w:tcPr>
            <w:tcW w:w="1720" w:type="dxa"/>
            <w:vAlign w:val="bottom"/>
          </w:tcPr>
          <w:p>
            <w:pPr>
              <w:ind w:left="1440"/>
              <w:spacing w:after="0" w:line="182" w:lineRule="exact"/>
              <w:rPr>
                <w:sz w:val="20"/>
                <w:szCs w:val="20"/>
                <w:color w:val="auto"/>
              </w:rPr>
            </w:pPr>
            <w:r>
              <w:rPr>
                <w:rFonts w:ascii="Arial" w:cs="Arial" w:eastAsia="Arial" w:hAnsi="Arial"/>
                <w:sz w:val="18"/>
                <w:szCs w:val="18"/>
                <w:color w:val="auto"/>
                <w:w w:val="96"/>
              </w:rPr>
              <w:t>F-5</w:t>
            </w:r>
          </w:p>
        </w:tc>
      </w:tr>
      <w:tr>
        <w:trPr>
          <w:trHeight w:val="183"/>
        </w:trPr>
        <w:tc>
          <w:tcPr>
            <w:tcW w:w="120" w:type="dxa"/>
            <w:vAlign w:val="bottom"/>
          </w:tcPr>
          <w:p>
            <w:pPr>
              <w:spacing w:after="0"/>
              <w:rPr>
                <w:sz w:val="15"/>
                <w:szCs w:val="15"/>
                <w:color w:val="auto"/>
              </w:rPr>
            </w:pPr>
          </w:p>
        </w:tc>
        <w:tc>
          <w:tcPr>
            <w:tcW w:w="320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9"/>
              </w:rPr>
              <w:t>Consolidated Statements of Cash Flows</w:t>
            </w:r>
          </w:p>
        </w:tc>
        <w:tc>
          <w:tcPr>
            <w:tcW w:w="4360" w:type="dxa"/>
            <w:vAlign w:val="bottom"/>
            <w:tcBorders>
              <w:top w:val="single" w:sz="8" w:color="0000EE"/>
            </w:tcBorders>
            <w:gridSpan w:val="4"/>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ind w:left="1440"/>
              <w:spacing w:after="0" w:line="182" w:lineRule="exact"/>
              <w:rPr>
                <w:sz w:val="20"/>
                <w:szCs w:val="20"/>
                <w:color w:val="auto"/>
              </w:rPr>
            </w:pPr>
            <w:r>
              <w:rPr>
                <w:rFonts w:ascii="Arial" w:cs="Arial" w:eastAsia="Arial" w:hAnsi="Arial"/>
                <w:sz w:val="18"/>
                <w:szCs w:val="18"/>
                <w:color w:val="auto"/>
                <w:w w:val="96"/>
              </w:rPr>
              <w:t>F-7</w:t>
            </w:r>
          </w:p>
        </w:tc>
      </w:tr>
      <w:tr>
        <w:trPr>
          <w:trHeight w:val="183"/>
        </w:trPr>
        <w:tc>
          <w:tcPr>
            <w:tcW w:w="120" w:type="dxa"/>
            <w:vAlign w:val="bottom"/>
          </w:tcPr>
          <w:p>
            <w:pPr>
              <w:spacing w:after="0"/>
              <w:rPr>
                <w:sz w:val="15"/>
                <w:szCs w:val="15"/>
                <w:color w:val="auto"/>
              </w:rPr>
            </w:pPr>
          </w:p>
        </w:tc>
        <w:tc>
          <w:tcPr>
            <w:tcW w:w="3500" w:type="dxa"/>
            <w:vAlign w:val="bottom"/>
            <w:tcBorders>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9"/>
              </w:rPr>
              <w:t>Notes to Consolidated Financial Statements</w:t>
            </w:r>
          </w:p>
        </w:tc>
        <w:tc>
          <w:tcPr>
            <w:tcW w:w="5740" w:type="dxa"/>
            <w:vAlign w:val="bottom"/>
            <w:gridSpan w:val="4"/>
          </w:tcPr>
          <w:p>
            <w:pPr>
              <w:spacing w:after="0"/>
              <w:rPr>
                <w:sz w:val="15"/>
                <w:szCs w:val="15"/>
                <w:color w:val="auto"/>
              </w:rPr>
            </w:pPr>
          </w:p>
        </w:tc>
        <w:tc>
          <w:tcPr>
            <w:tcW w:w="1720" w:type="dxa"/>
            <w:vAlign w:val="bottom"/>
          </w:tcPr>
          <w:p>
            <w:pPr>
              <w:ind w:left="1440"/>
              <w:spacing w:after="0" w:line="182" w:lineRule="exact"/>
              <w:rPr>
                <w:sz w:val="20"/>
                <w:szCs w:val="20"/>
                <w:color w:val="auto"/>
              </w:rPr>
            </w:pPr>
            <w:r>
              <w:rPr>
                <w:rFonts w:ascii="Arial" w:cs="Arial" w:eastAsia="Arial" w:hAnsi="Arial"/>
                <w:sz w:val="18"/>
                <w:szCs w:val="18"/>
                <w:color w:val="auto"/>
                <w:w w:val="96"/>
              </w:rPr>
              <w:t>F-8</w:t>
            </w:r>
          </w:p>
        </w:tc>
      </w:tr>
    </w:tbl>
    <w:p>
      <w:pPr>
        <w:ind w:left="1440"/>
        <w:spacing w:after="0" w:line="182"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 Ethos Technologies Inc.</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2"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have audited the accompanying consolidated balance sheets of Ethos Technologies Inc. and subsidiaries (the Company) as of December 31, 2024 and 2023, the related consolidated statements of operations and comprehensive income (loss), redeemable convertible preferred stock and stockholders’ deficit and cash flows for each of the two years in the period ended December 31, 2024, and the related notes and financial statement schedules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212"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Francisco, California</w:t>
      </w:r>
    </w:p>
    <w:p>
      <w:pPr>
        <w:ind w:left="120"/>
        <w:spacing w:after="0"/>
        <w:rPr>
          <w:sz w:val="20"/>
          <w:szCs w:val="20"/>
          <w:color w:val="auto"/>
        </w:rPr>
      </w:pPr>
      <w:r>
        <w:rPr>
          <w:rFonts w:ascii="Arial" w:cs="Arial" w:eastAsia="Arial" w:hAnsi="Arial"/>
          <w:sz w:val="18"/>
          <w:szCs w:val="18"/>
          <w:color w:val="auto"/>
        </w:rPr>
        <w:t>June 11, 2025, except for the effects of the reverse stock split as described in Note 17, as to which the date is September 26, 2025</w:t>
      </w:r>
    </w:p>
    <w:p>
      <w:pPr>
        <w:spacing w:after="0" w:line="12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5" w:right="4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6"/>
            <w:vMerge w:val="restart"/>
          </w:tcPr>
          <w:p>
            <w:pPr>
              <w:jc w:val="right"/>
              <w:ind w:right="640"/>
              <w:spacing w:after="0"/>
              <w:rPr>
                <w:sz w:val="20"/>
                <w:szCs w:val="20"/>
                <w:color w:val="auto"/>
              </w:rPr>
            </w:pPr>
            <w:r>
              <w:rPr>
                <w:rFonts w:ascii="Arial" w:cs="Arial" w:eastAsia="Arial" w:hAnsi="Arial"/>
                <w:sz w:val="13"/>
                <w:szCs w:val="13"/>
                <w:b w:val="1"/>
                <w:bCs w:val="1"/>
                <w:color w:val="auto"/>
              </w:rPr>
              <w:t>As of December 31,</w:t>
            </w:r>
          </w:p>
        </w:tc>
        <w:tc>
          <w:tcPr>
            <w:tcW w:w="8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As of</w:t>
            </w:r>
          </w:p>
        </w:tc>
        <w:tc>
          <w:tcPr>
            <w:tcW w:w="0" w:type="dxa"/>
            <w:vAlign w:val="bottom"/>
          </w:tcPr>
          <w:p>
            <w:pPr>
              <w:spacing w:after="0"/>
              <w:rPr>
                <w:sz w:val="1"/>
                <w:szCs w:val="1"/>
                <w:color w:val="auto"/>
              </w:rPr>
            </w:pPr>
          </w:p>
        </w:tc>
      </w:tr>
      <w:tr>
        <w:trPr>
          <w:trHeight w:val="153"/>
        </w:trPr>
        <w:tc>
          <w:tcPr>
            <w:tcW w:w="7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6"/>
            <w:vMerge w:val="continue"/>
          </w:tcPr>
          <w:p>
            <w:pPr>
              <w:spacing w:after="0"/>
              <w:rPr>
                <w:sz w:val="13"/>
                <w:szCs w:val="13"/>
                <w:color w:val="auto"/>
              </w:rPr>
            </w:pP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56"/>
        </w:trPr>
        <w:tc>
          <w:tcPr>
            <w:tcW w:w="79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2023</w:t>
            </w:r>
          </w:p>
        </w:tc>
        <w:tc>
          <w:tcPr>
            <w:tcW w:w="2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2024</w:t>
            </w:r>
          </w:p>
        </w:tc>
        <w:tc>
          <w:tcPr>
            <w:tcW w:w="3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b w:val="1"/>
                <w:bCs w:val="1"/>
                <w:color w:val="auto"/>
              </w:rPr>
              <w:t>(in thousands)</w:t>
            </w:r>
          </w:p>
        </w:tc>
        <w:tc>
          <w:tcPr>
            <w:tcW w:w="8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(unaudited)</w:t>
            </w:r>
          </w:p>
        </w:tc>
        <w:tc>
          <w:tcPr>
            <w:tcW w:w="0" w:type="dxa"/>
            <w:vAlign w:val="bottom"/>
          </w:tcPr>
          <w:p>
            <w:pPr>
              <w:spacing w:after="0"/>
              <w:rPr>
                <w:sz w:val="1"/>
                <w:szCs w:val="1"/>
                <w:color w:val="auto"/>
              </w:rPr>
            </w:pPr>
          </w:p>
        </w:tc>
      </w:tr>
      <w:tr>
        <w:trPr>
          <w:trHeight w:val="143"/>
        </w:trPr>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0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25,020</w:t>
            </w:r>
          </w:p>
        </w:tc>
        <w:tc>
          <w:tcPr>
            <w:tcW w:w="2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35,075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84,269</w:t>
            </w:r>
          </w:p>
        </w:tc>
        <w:tc>
          <w:tcPr>
            <w:tcW w:w="0" w:type="dxa"/>
            <w:vAlign w:val="bottom"/>
          </w:tcPr>
          <w:p>
            <w:pPr>
              <w:spacing w:after="0"/>
              <w:rPr>
                <w:sz w:val="1"/>
                <w:szCs w:val="1"/>
                <w:color w:val="auto"/>
              </w:rPr>
            </w:pPr>
          </w:p>
        </w:tc>
      </w:tr>
      <w:tr>
        <w:trPr>
          <w:trHeight w:val="189"/>
        </w:trPr>
        <w:tc>
          <w:tcPr>
            <w:tcW w:w="7900" w:type="dxa"/>
            <w:vAlign w:val="bottom"/>
          </w:tcPr>
          <w:p>
            <w:pPr>
              <w:ind w:left="320"/>
              <w:spacing w:after="0"/>
              <w:rPr>
                <w:sz w:val="20"/>
                <w:szCs w:val="20"/>
                <w:color w:val="auto"/>
              </w:rPr>
            </w:pPr>
            <w:r>
              <w:rPr>
                <w:rFonts w:ascii="Arial" w:cs="Arial" w:eastAsia="Arial" w:hAnsi="Arial"/>
                <w:sz w:val="16"/>
                <w:szCs w:val="16"/>
                <w:color w:val="auto"/>
              </w:rPr>
              <w:t>Short-term investments</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103,957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68,279</w:t>
            </w:r>
          </w:p>
        </w:tc>
        <w:tc>
          <w:tcPr>
            <w:tcW w:w="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45,470</w:t>
            </w: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receivable, net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11,817</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30,303</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30,939</w:t>
            </w:r>
          </w:p>
        </w:tc>
        <w:tc>
          <w:tcPr>
            <w:tcW w:w="0" w:type="dxa"/>
            <w:vAlign w:val="bottom"/>
          </w:tcPr>
          <w:p>
            <w:pPr>
              <w:spacing w:after="0"/>
              <w:rPr>
                <w:sz w:val="1"/>
                <w:szCs w:val="1"/>
                <w:color w:val="auto"/>
              </w:rPr>
            </w:pPr>
          </w:p>
        </w:tc>
      </w:tr>
      <w:tr>
        <w:trPr>
          <w:trHeight w:val="189"/>
        </w:trPr>
        <w:tc>
          <w:tcPr>
            <w:tcW w:w="7900" w:type="dxa"/>
            <w:vAlign w:val="bottom"/>
          </w:tcPr>
          <w:p>
            <w:pPr>
              <w:ind w:left="320"/>
              <w:spacing w:after="0"/>
              <w:rPr>
                <w:sz w:val="20"/>
                <w:szCs w:val="20"/>
                <w:color w:val="auto"/>
              </w:rPr>
            </w:pPr>
            <w:r>
              <w:rPr>
                <w:rFonts w:ascii="Arial" w:cs="Arial" w:eastAsia="Arial" w:hAnsi="Arial"/>
                <w:sz w:val="16"/>
                <w:szCs w:val="16"/>
                <w:color w:val="auto"/>
              </w:rPr>
              <w:t>Commissions receivable-current, net</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5,913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15,079</w:t>
            </w:r>
          </w:p>
        </w:tc>
        <w:tc>
          <w:tcPr>
            <w:tcW w:w="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26,093</w:t>
            </w: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and other assets</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2,168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26,070</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48,094</w:t>
            </w:r>
          </w:p>
        </w:tc>
        <w:tc>
          <w:tcPr>
            <w:tcW w:w="0" w:type="dxa"/>
            <w:vAlign w:val="bottom"/>
          </w:tcPr>
          <w:p>
            <w:pPr>
              <w:spacing w:after="0"/>
              <w:rPr>
                <w:sz w:val="1"/>
                <w:szCs w:val="1"/>
                <w:color w:val="auto"/>
              </w:rPr>
            </w:pPr>
          </w:p>
        </w:tc>
      </w:tr>
      <w:tr>
        <w:trPr>
          <w:trHeight w:val="208"/>
        </w:trPr>
        <w:tc>
          <w:tcPr>
            <w:tcW w:w="7900" w:type="dxa"/>
            <w:vAlign w:val="bottom"/>
          </w:tcPr>
          <w:p>
            <w:pPr>
              <w:spacing w:after="0"/>
              <w:rPr>
                <w:sz w:val="20"/>
                <w:szCs w:val="20"/>
                <w:color w:val="auto"/>
              </w:rPr>
            </w:pPr>
            <w:r>
              <w:rPr>
                <w:rFonts w:ascii="Arial" w:cs="Arial" w:eastAsia="Arial" w:hAnsi="Arial"/>
                <w:sz w:val="16"/>
                <w:szCs w:val="16"/>
                <w:color w:val="auto"/>
              </w:rPr>
              <w:t>Total current assets</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148,875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174,806</w:t>
            </w: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234,865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7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Long-term assets: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00" w:type="dxa"/>
            <w:vAlign w:val="bottom"/>
          </w:tcPr>
          <w:p>
            <w:pPr>
              <w:ind w:left="320"/>
              <w:spacing w:after="0"/>
              <w:rPr>
                <w:sz w:val="20"/>
                <w:szCs w:val="20"/>
                <w:color w:val="auto"/>
              </w:rPr>
            </w:pPr>
            <w:r>
              <w:rPr>
                <w:rFonts w:ascii="Arial" w:cs="Arial" w:eastAsia="Arial" w:hAnsi="Arial"/>
                <w:sz w:val="16"/>
                <w:szCs w:val="16"/>
                <w:color w:val="auto"/>
              </w:rPr>
              <w:t>Commissions receivable, net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119,245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173,096</w:t>
            </w:r>
          </w:p>
        </w:tc>
        <w:tc>
          <w:tcPr>
            <w:tcW w:w="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208,603</w:t>
            </w: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Property and equipment, net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8,327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7,424</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7,920</w:t>
            </w:r>
          </w:p>
        </w:tc>
        <w:tc>
          <w:tcPr>
            <w:tcW w:w="0" w:type="dxa"/>
            <w:vAlign w:val="bottom"/>
          </w:tcPr>
          <w:p>
            <w:pPr>
              <w:spacing w:after="0"/>
              <w:rPr>
                <w:sz w:val="1"/>
                <w:szCs w:val="1"/>
                <w:color w:val="auto"/>
              </w:rPr>
            </w:pPr>
          </w:p>
        </w:tc>
      </w:tr>
      <w:tr>
        <w:trPr>
          <w:trHeight w:val="189"/>
        </w:trPr>
        <w:tc>
          <w:tcPr>
            <w:tcW w:w="7900" w:type="dxa"/>
            <w:vAlign w:val="bottom"/>
          </w:tcPr>
          <w:p>
            <w:pPr>
              <w:ind w:left="320"/>
              <w:spacing w:after="0"/>
              <w:rPr>
                <w:sz w:val="20"/>
                <w:szCs w:val="20"/>
                <w:color w:val="auto"/>
              </w:rPr>
            </w:pPr>
            <w:r>
              <w:rPr>
                <w:rFonts w:ascii="Arial" w:cs="Arial" w:eastAsia="Arial" w:hAnsi="Arial"/>
                <w:sz w:val="16"/>
                <w:szCs w:val="16"/>
                <w:color w:val="auto"/>
              </w:rPr>
              <w:t>Operating lease right-of-use assets</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759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2,536</w:t>
            </w:r>
          </w:p>
        </w:tc>
        <w:tc>
          <w:tcPr>
            <w:tcW w:w="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2,457</w:t>
            </w: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Goodwill</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2,238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2,238</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2,238</w:t>
            </w:r>
          </w:p>
        </w:tc>
        <w:tc>
          <w:tcPr>
            <w:tcW w:w="0" w:type="dxa"/>
            <w:vAlign w:val="bottom"/>
          </w:tcPr>
          <w:p>
            <w:pPr>
              <w:spacing w:after="0"/>
              <w:rPr>
                <w:sz w:val="1"/>
                <w:szCs w:val="1"/>
                <w:color w:val="auto"/>
              </w:rPr>
            </w:pPr>
          </w:p>
        </w:tc>
      </w:tr>
      <w:tr>
        <w:trPr>
          <w:trHeight w:val="189"/>
        </w:trPr>
        <w:tc>
          <w:tcPr>
            <w:tcW w:w="7900" w:type="dxa"/>
            <w:vAlign w:val="bottom"/>
          </w:tcPr>
          <w:p>
            <w:pPr>
              <w:ind w:left="320"/>
              <w:spacing w:after="0"/>
              <w:rPr>
                <w:sz w:val="20"/>
                <w:szCs w:val="20"/>
                <w:color w:val="auto"/>
              </w:rPr>
            </w:pPr>
            <w:r>
              <w:rPr>
                <w:rFonts w:ascii="Arial" w:cs="Arial" w:eastAsia="Arial" w:hAnsi="Arial"/>
                <w:sz w:val="16"/>
                <w:szCs w:val="16"/>
                <w:color w:val="auto"/>
              </w:rPr>
              <w:t>Acquired intangible assets, net of amortization</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221</w:t>
            </w:r>
          </w:p>
        </w:tc>
        <w:tc>
          <w:tcPr>
            <w:tcW w:w="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Long-term investments</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35,002</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31,452</w:t>
            </w:r>
          </w:p>
        </w:tc>
        <w:tc>
          <w:tcPr>
            <w:tcW w:w="0" w:type="dxa"/>
            <w:vAlign w:val="bottom"/>
          </w:tcPr>
          <w:p>
            <w:pPr>
              <w:spacing w:after="0"/>
              <w:rPr>
                <w:sz w:val="1"/>
                <w:szCs w:val="1"/>
                <w:color w:val="auto"/>
              </w:rPr>
            </w:pPr>
          </w:p>
        </w:tc>
      </w:tr>
      <w:tr>
        <w:trPr>
          <w:trHeight w:val="189"/>
        </w:trPr>
        <w:tc>
          <w:tcPr>
            <w:tcW w:w="7900" w:type="dxa"/>
            <w:vAlign w:val="bottom"/>
          </w:tcPr>
          <w:p>
            <w:pPr>
              <w:ind w:left="320"/>
              <w:spacing w:after="0"/>
              <w:rPr>
                <w:sz w:val="20"/>
                <w:szCs w:val="20"/>
                <w:color w:val="auto"/>
              </w:rPr>
            </w:pPr>
            <w:r>
              <w:rPr>
                <w:rFonts w:ascii="Arial" w:cs="Arial" w:eastAsia="Arial" w:hAnsi="Arial"/>
                <w:sz w:val="16"/>
                <w:szCs w:val="16"/>
                <w:color w:val="auto"/>
              </w:rPr>
              <w:t>Other long-term assets</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180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558</w:t>
            </w:r>
          </w:p>
        </w:tc>
        <w:tc>
          <w:tcPr>
            <w:tcW w:w="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Total long-term assets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130,779</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221,075</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253,437</w:t>
            </w:r>
          </w:p>
        </w:tc>
        <w:tc>
          <w:tcPr>
            <w:tcW w:w="0" w:type="dxa"/>
            <w:vAlign w:val="bottom"/>
          </w:tcPr>
          <w:p>
            <w:pPr>
              <w:spacing w:after="0"/>
              <w:rPr>
                <w:sz w:val="1"/>
                <w:szCs w:val="1"/>
                <w:color w:val="auto"/>
              </w:rPr>
            </w:pPr>
          </w:p>
        </w:tc>
      </w:tr>
      <w:tr>
        <w:trPr>
          <w:trHeight w:val="196"/>
        </w:trPr>
        <w:tc>
          <w:tcPr>
            <w:tcW w:w="7900" w:type="dxa"/>
            <w:vAlign w:val="bottom"/>
          </w:tcPr>
          <w:p>
            <w:pPr>
              <w:spacing w:after="0"/>
              <w:rPr>
                <w:sz w:val="20"/>
                <w:szCs w:val="20"/>
                <w:color w:val="auto"/>
              </w:rPr>
            </w:pPr>
            <w:r>
              <w:rPr>
                <w:rFonts w:ascii="Arial" w:cs="Arial" w:eastAsia="Arial" w:hAnsi="Arial"/>
                <w:sz w:val="16"/>
                <w:szCs w:val="16"/>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279,654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395,881</w:t>
            </w:r>
          </w:p>
        </w:tc>
        <w:tc>
          <w:tcPr>
            <w:tcW w:w="3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488,302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redeemable preferred stock and stockholders’ deficit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00" w:type="dxa"/>
            <w:vAlign w:val="bottom"/>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11,751</w:t>
            </w:r>
          </w:p>
        </w:tc>
        <w:tc>
          <w:tcPr>
            <w:tcW w:w="2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24,303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61,081</w:t>
            </w:r>
          </w:p>
        </w:tc>
        <w:tc>
          <w:tcPr>
            <w:tcW w:w="0" w:type="dxa"/>
            <w:vAlign w:val="bottom"/>
          </w:tcPr>
          <w:p>
            <w:pPr>
              <w:spacing w:after="0"/>
              <w:rPr>
                <w:sz w:val="1"/>
                <w:szCs w:val="1"/>
                <w:color w:val="auto"/>
              </w:rPr>
            </w:pPr>
          </w:p>
        </w:tc>
      </w:tr>
      <w:tr>
        <w:trPr>
          <w:trHeight w:val="189"/>
        </w:trPr>
        <w:tc>
          <w:tcPr>
            <w:tcW w:w="7900" w:type="dxa"/>
            <w:vAlign w:val="bottom"/>
          </w:tcPr>
          <w:p>
            <w:pPr>
              <w:ind w:left="320"/>
              <w:spacing w:after="0"/>
              <w:rPr>
                <w:sz w:val="20"/>
                <w:szCs w:val="20"/>
                <w:color w:val="auto"/>
              </w:rPr>
            </w:pPr>
            <w:r>
              <w:rPr>
                <w:rFonts w:ascii="Arial" w:cs="Arial" w:eastAsia="Arial" w:hAnsi="Arial"/>
                <w:sz w:val="16"/>
                <w:szCs w:val="16"/>
                <w:color w:val="auto"/>
              </w:rPr>
              <w:t>Accrued expenses</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11,919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19,217</w:t>
            </w:r>
          </w:p>
        </w:tc>
        <w:tc>
          <w:tcPr>
            <w:tcW w:w="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31,291</w:t>
            </w: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Liabilities related to sale of commissions receivable-current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1,307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9,382</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12,329</w:t>
            </w:r>
          </w:p>
        </w:tc>
        <w:tc>
          <w:tcPr>
            <w:tcW w:w="0" w:type="dxa"/>
            <w:vAlign w:val="bottom"/>
          </w:tcPr>
          <w:p>
            <w:pPr>
              <w:spacing w:after="0"/>
              <w:rPr>
                <w:sz w:val="1"/>
                <w:szCs w:val="1"/>
                <w:color w:val="auto"/>
              </w:rPr>
            </w:pPr>
          </w:p>
        </w:tc>
      </w:tr>
      <w:tr>
        <w:trPr>
          <w:trHeight w:val="189"/>
        </w:trPr>
        <w:tc>
          <w:tcPr>
            <w:tcW w:w="7900" w:type="dxa"/>
            <w:vAlign w:val="bottom"/>
          </w:tcPr>
          <w:p>
            <w:pPr>
              <w:ind w:left="320"/>
              <w:spacing w:after="0"/>
              <w:rPr>
                <w:sz w:val="20"/>
                <w:szCs w:val="20"/>
                <w:color w:val="auto"/>
              </w:rPr>
            </w:pPr>
            <w:r>
              <w:rPr>
                <w:rFonts w:ascii="Arial" w:cs="Arial" w:eastAsia="Arial" w:hAnsi="Arial"/>
                <w:sz w:val="16"/>
                <w:szCs w:val="16"/>
                <w:color w:val="auto"/>
              </w:rPr>
              <w:t>Operating lease liabilities-current</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549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753</w:t>
            </w:r>
          </w:p>
        </w:tc>
        <w:tc>
          <w:tcPr>
            <w:tcW w:w="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current liabilities</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1,567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13,945</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2,354</w:t>
            </w:r>
          </w:p>
        </w:tc>
        <w:tc>
          <w:tcPr>
            <w:tcW w:w="0" w:type="dxa"/>
            <w:vAlign w:val="bottom"/>
          </w:tcPr>
          <w:p>
            <w:pPr>
              <w:spacing w:after="0"/>
              <w:rPr>
                <w:sz w:val="1"/>
                <w:szCs w:val="1"/>
                <w:color w:val="auto"/>
              </w:rPr>
            </w:pPr>
          </w:p>
        </w:tc>
      </w:tr>
      <w:tr>
        <w:trPr>
          <w:trHeight w:val="208"/>
        </w:trPr>
        <w:tc>
          <w:tcPr>
            <w:tcW w:w="790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67,600</w:t>
            </w: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7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Long-term liabilities: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00" w:type="dxa"/>
            <w:vAlign w:val="bottom"/>
          </w:tcPr>
          <w:p>
            <w:pPr>
              <w:ind w:left="320"/>
              <w:spacing w:after="0"/>
              <w:rPr>
                <w:sz w:val="20"/>
                <w:szCs w:val="20"/>
                <w:color w:val="auto"/>
              </w:rPr>
            </w:pPr>
            <w:r>
              <w:rPr>
                <w:rFonts w:ascii="Arial" w:cs="Arial" w:eastAsia="Arial" w:hAnsi="Arial"/>
                <w:sz w:val="16"/>
                <w:szCs w:val="16"/>
                <w:color w:val="auto"/>
              </w:rPr>
              <w:t>Liabilities related to sale of commissions receivable-non-current</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4,995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24,163</w:t>
            </w:r>
          </w:p>
        </w:tc>
        <w:tc>
          <w:tcPr>
            <w:tcW w:w="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15,484</w:t>
            </w: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Operating lease liabilities-non-current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1,864</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1,541</w:t>
            </w:r>
          </w:p>
        </w:tc>
        <w:tc>
          <w:tcPr>
            <w:tcW w:w="0" w:type="dxa"/>
            <w:vAlign w:val="bottom"/>
          </w:tcPr>
          <w:p>
            <w:pPr>
              <w:spacing w:after="0"/>
              <w:rPr>
                <w:sz w:val="1"/>
                <w:szCs w:val="1"/>
                <w:color w:val="auto"/>
              </w:rPr>
            </w:pPr>
          </w:p>
        </w:tc>
      </w:tr>
      <w:tr>
        <w:trPr>
          <w:trHeight w:val="189"/>
        </w:trPr>
        <w:tc>
          <w:tcPr>
            <w:tcW w:w="7900" w:type="dxa"/>
            <w:vAlign w:val="bottom"/>
          </w:tcPr>
          <w:p>
            <w:pPr>
              <w:ind w:left="320"/>
              <w:spacing w:after="0"/>
              <w:rPr>
                <w:sz w:val="20"/>
                <w:szCs w:val="20"/>
                <w:color w:val="auto"/>
              </w:rPr>
            </w:pPr>
            <w:r>
              <w:rPr>
                <w:rFonts w:ascii="Arial" w:cs="Arial" w:eastAsia="Arial" w:hAnsi="Arial"/>
                <w:sz w:val="16"/>
                <w:szCs w:val="16"/>
                <w:color w:val="auto"/>
              </w:rPr>
              <w:t>Deferred tax liability</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3,907</w:t>
            </w:r>
          </w:p>
        </w:tc>
        <w:tc>
          <w:tcPr>
            <w:tcW w:w="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7,390</w:t>
            </w: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long-term liabilities</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2,500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1,500</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03"/>
        </w:trPr>
        <w:tc>
          <w:tcPr>
            <w:tcW w:w="7900" w:type="dxa"/>
            <w:vAlign w:val="bottom"/>
          </w:tcPr>
          <w:p>
            <w:pPr>
              <w:ind w:left="320"/>
              <w:spacing w:after="0"/>
              <w:rPr>
                <w:sz w:val="20"/>
                <w:szCs w:val="20"/>
                <w:color w:val="auto"/>
              </w:rPr>
            </w:pPr>
            <w:r>
              <w:rPr>
                <w:rFonts w:ascii="Arial" w:cs="Arial" w:eastAsia="Arial" w:hAnsi="Arial"/>
                <w:sz w:val="16"/>
                <w:szCs w:val="16"/>
                <w:color w:val="auto"/>
              </w:rPr>
              <w:t>Total long-term liabilities</w:t>
            </w: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7,744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31,434</w:t>
            </w:r>
          </w:p>
        </w:tc>
        <w:tc>
          <w:tcPr>
            <w:tcW w:w="3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34,837</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99,034</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133,223</w:t>
            </w:r>
          </w:p>
        </w:tc>
        <w:tc>
          <w:tcPr>
            <w:tcW w:w="0" w:type="dxa"/>
            <w:vAlign w:val="bottom"/>
          </w:tcPr>
          <w:p>
            <w:pPr>
              <w:spacing w:after="0"/>
              <w:rPr>
                <w:sz w:val="1"/>
                <w:szCs w:val="1"/>
                <w:color w:val="auto"/>
              </w:rPr>
            </w:pPr>
          </w:p>
        </w:tc>
      </w:tr>
      <w:tr>
        <w:trPr>
          <w:trHeight w:val="308"/>
        </w:trPr>
        <w:tc>
          <w:tcPr>
            <w:tcW w:w="790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7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79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Redeemable convertible preferred stock, par value $0.0001 – 37,228 shares authorized, issued, and</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outstanding (liquidation preference of $404,801) as of December 31, 2023 and 2024, and September 30,</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2025 (unaudited)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403,997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403,997</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403,997</w:t>
            </w:r>
          </w:p>
        </w:tc>
        <w:tc>
          <w:tcPr>
            <w:tcW w:w="0" w:type="dxa"/>
            <w:vAlign w:val="bottom"/>
          </w:tcPr>
          <w:p>
            <w:pPr>
              <w:spacing w:after="0"/>
              <w:rPr>
                <w:sz w:val="1"/>
                <w:szCs w:val="1"/>
                <w:color w:val="auto"/>
              </w:rPr>
            </w:pPr>
          </w:p>
        </w:tc>
      </w:tr>
      <w:tr>
        <w:trPr>
          <w:trHeight w:val="297"/>
        </w:trPr>
        <w:tc>
          <w:tcPr>
            <w:tcW w:w="7900" w:type="dxa"/>
            <w:vAlign w:val="bottom"/>
          </w:tcPr>
          <w:p>
            <w:pPr>
              <w:spacing w:after="0"/>
              <w:rPr>
                <w:sz w:val="20"/>
                <w:szCs w:val="20"/>
                <w:color w:val="auto"/>
              </w:rPr>
            </w:pPr>
            <w:r>
              <w:rPr>
                <w:rFonts w:ascii="Arial" w:cs="Arial" w:eastAsia="Arial" w:hAnsi="Arial"/>
                <w:sz w:val="16"/>
                <w:szCs w:val="16"/>
                <w:color w:val="auto"/>
              </w:rPr>
              <w:t>Stockholders’ deficit:</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900" w:type="dxa"/>
            <w:vAlign w:val="bottom"/>
            <w:shd w:val="clear" w:color="auto" w:fill="CCEEFF"/>
          </w:tcPr>
          <w:p>
            <w:pPr>
              <w:ind w:left="320"/>
              <w:spacing w:after="0" w:line="175" w:lineRule="exact"/>
              <w:rPr>
                <w:sz w:val="20"/>
                <w:szCs w:val="20"/>
                <w:color w:val="auto"/>
              </w:rPr>
            </w:pPr>
            <w:r>
              <w:rPr>
                <w:rFonts w:ascii="Arial" w:cs="Arial" w:eastAsia="Arial" w:hAnsi="Arial"/>
                <w:sz w:val="16"/>
                <w:szCs w:val="16"/>
                <w:color w:val="auto"/>
              </w:rPr>
              <w:t>Common stock, $0.0001 par value, 62,390, 62,390, and 68,549 shares authorized, 15,959, 16,032,</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and 16,556 issued and outstanding at December 31, 2023 and 2024, and September 30, 2025</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(unaudited), respectively</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9"/>
        </w:trPr>
        <w:tc>
          <w:tcPr>
            <w:tcW w:w="7900" w:type="dxa"/>
            <w:vAlign w:val="bottom"/>
          </w:tcPr>
          <w:p>
            <w:pPr>
              <w:ind w:left="320"/>
              <w:spacing w:after="0"/>
              <w:rPr>
                <w:sz w:val="20"/>
                <w:szCs w:val="20"/>
                <w:color w:val="auto"/>
              </w:rPr>
            </w:pPr>
            <w:r>
              <w:rPr>
                <w:rFonts w:ascii="Arial" w:cs="Arial" w:eastAsia="Arial" w:hAnsi="Arial"/>
                <w:sz w:val="16"/>
                <w:szCs w:val="16"/>
                <w:color w:val="auto"/>
              </w:rPr>
              <w:t>Additional paid-in capital</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63,473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66,991</w:t>
            </w:r>
          </w:p>
        </w:tc>
        <w:tc>
          <w:tcPr>
            <w:tcW w:w="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78,653</w:t>
            </w: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(478)</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189"/>
        </w:trPr>
        <w:tc>
          <w:tcPr>
            <w:tcW w:w="7900" w:type="dxa"/>
            <w:vAlign w:val="bottom"/>
          </w:tcPr>
          <w:p>
            <w:pPr>
              <w:ind w:left="320"/>
              <w:spacing w:after="0"/>
              <w:rPr>
                <w:sz w:val="20"/>
                <w:szCs w:val="20"/>
                <w:color w:val="auto"/>
              </w:rPr>
            </w:pPr>
            <w:r>
              <w:rPr>
                <w:rFonts w:ascii="Arial" w:cs="Arial" w:eastAsia="Arial" w:hAnsi="Arial"/>
                <w:sz w:val="16"/>
                <w:szCs w:val="16"/>
                <w:color w:val="auto"/>
              </w:rPr>
              <w:t>Accumulated deficit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(222,497)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(173,665)</w:t>
            </w:r>
          </w:p>
        </w:tc>
        <w:tc>
          <w:tcPr>
            <w:tcW w:w="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(127,075)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deficit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(159,180)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(107,150)</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(48,918)</w:t>
            </w:r>
          </w:p>
        </w:tc>
        <w:tc>
          <w:tcPr>
            <w:tcW w:w="0" w:type="dxa"/>
            <w:vAlign w:val="bottom"/>
          </w:tcPr>
          <w:p>
            <w:pPr>
              <w:spacing w:after="0"/>
              <w:rPr>
                <w:sz w:val="1"/>
                <w:szCs w:val="1"/>
                <w:color w:val="auto"/>
              </w:rPr>
            </w:pPr>
          </w:p>
        </w:tc>
      </w:tr>
      <w:tr>
        <w:trPr>
          <w:trHeight w:val="196"/>
        </w:trPr>
        <w:tc>
          <w:tcPr>
            <w:tcW w:w="7900" w:type="dxa"/>
            <w:vAlign w:val="bottom"/>
          </w:tcPr>
          <w:p>
            <w:pPr>
              <w:spacing w:after="0"/>
              <w:rPr>
                <w:sz w:val="20"/>
                <w:szCs w:val="20"/>
                <w:color w:val="auto"/>
              </w:rPr>
            </w:pPr>
            <w:r>
              <w:rPr>
                <w:rFonts w:ascii="Arial" w:cs="Arial" w:eastAsia="Arial" w:hAnsi="Arial"/>
                <w:sz w:val="16"/>
                <w:szCs w:val="16"/>
                <w:color w:val="auto"/>
              </w:rPr>
              <w:t>Total liabilities, redeemable convertible preferred stock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279,654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395,881</w:t>
            </w:r>
          </w:p>
        </w:tc>
        <w:tc>
          <w:tcPr>
            <w:tcW w:w="3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488,302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accompanying notes.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5" w:right="43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07"/>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5880" w:type="dxa"/>
            <w:vAlign w:val="bottom"/>
          </w:tcPr>
          <w:p>
            <w:pPr>
              <w:jc w:val="center"/>
              <w:ind w:left="2550"/>
              <w:spacing w:after="0"/>
              <w:rPr>
                <w:sz w:val="20"/>
                <w:szCs w:val="20"/>
                <w:color w:val="auto"/>
              </w:rPr>
            </w:pPr>
            <w:r>
              <w:rPr>
                <w:rFonts w:ascii="Arial" w:cs="Arial" w:eastAsia="Arial" w:hAnsi="Arial"/>
                <w:sz w:val="18"/>
                <w:szCs w:val="18"/>
                <w:b w:val="1"/>
                <w:bCs w:val="1"/>
                <w:color w:val="auto"/>
                <w:w w:val="99"/>
              </w:rPr>
              <w:t>ETHOS TECHNOLOGIES INC.</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80" w:type="dxa"/>
            <w:vAlign w:val="bottom"/>
            <w:gridSpan w:val="7"/>
          </w:tcPr>
          <w:p>
            <w:pPr>
              <w:jc w:val="center"/>
              <w:ind w:left="570"/>
              <w:spacing w:after="0" w:line="202" w:lineRule="exact"/>
              <w:rPr>
                <w:sz w:val="20"/>
                <w:szCs w:val="20"/>
                <w:color w:val="auto"/>
              </w:rPr>
            </w:pPr>
            <w:r>
              <w:rPr>
                <w:rFonts w:ascii="Arial" w:cs="Arial" w:eastAsia="Arial" w:hAnsi="Arial"/>
                <w:sz w:val="18"/>
                <w:szCs w:val="18"/>
                <w:b w:val="1"/>
                <w:bCs w:val="1"/>
                <w:color w:val="auto"/>
                <w:w w:val="99"/>
              </w:rPr>
              <w:t>Consolidated Statements of Operations and Comprehensive Income (Loss)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80" w:type="dxa"/>
            <w:vAlign w:val="bottom"/>
          </w:tcPr>
          <w:p>
            <w:pPr>
              <w:jc w:val="center"/>
              <w:ind w:left="2550"/>
              <w:spacing w:after="0"/>
              <w:rPr>
                <w:sz w:val="20"/>
                <w:szCs w:val="20"/>
                <w:color w:val="auto"/>
              </w:rPr>
            </w:pPr>
            <w:r>
              <w:rPr>
                <w:rFonts w:ascii="Arial" w:cs="Arial" w:eastAsia="Arial" w:hAnsi="Arial"/>
                <w:sz w:val="18"/>
                <w:szCs w:val="18"/>
                <w:color w:val="auto"/>
              </w:rPr>
              <w:t>(In Thousands, Except Per Share Data)</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Year Ended</w:t>
            </w:r>
          </w:p>
        </w:tc>
        <w:tc>
          <w:tcPr>
            <w:tcW w:w="190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9"/>
                <w:szCs w:val="19"/>
                <w:color w:val="auto"/>
              </w:rPr>
            </w:pPr>
          </w:p>
        </w:tc>
        <w:tc>
          <w:tcPr>
            <w:tcW w:w="17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9"/>
              </w:rPr>
              <w:t>September 30,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4"/>
          </w:tcPr>
          <w:p>
            <w:pPr>
              <w:jc w:val="center"/>
              <w:ind w:right="30"/>
              <w:spacing w:after="0" w:line="177" w:lineRule="exact"/>
              <w:rPr>
                <w:sz w:val="20"/>
                <w:szCs w:val="20"/>
                <w:color w:val="auto"/>
              </w:rPr>
            </w:pPr>
            <w:r>
              <w:rPr>
                <w:rFonts w:ascii="Arial" w:cs="Arial" w:eastAsia="Arial" w:hAnsi="Arial"/>
                <w:sz w:val="18"/>
                <w:szCs w:val="18"/>
                <w:b w:val="1"/>
                <w:bCs w:val="1"/>
                <w:color w:val="auto"/>
                <w:w w:val="99"/>
              </w:rPr>
              <w:t>(unaudited)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1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Commission</w:t>
            </w:r>
          </w:p>
        </w:tc>
        <w:tc>
          <w:tcPr>
            <w:tcW w:w="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159,754</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254,926</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188,402</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277,531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159,754</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254,926</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188,402</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277,531</w:t>
            </w:r>
          </w:p>
        </w:tc>
        <w:tc>
          <w:tcPr>
            <w:tcW w:w="0" w:type="dxa"/>
            <w:vAlign w:val="bottom"/>
          </w:tcPr>
          <w:p>
            <w:pPr>
              <w:spacing w:after="0"/>
              <w:rPr>
                <w:sz w:val="1"/>
                <w:szCs w:val="1"/>
                <w:color w:val="auto"/>
              </w:rPr>
            </w:pPr>
          </w:p>
        </w:tc>
      </w:tr>
      <w:tr>
        <w:trPr>
          <w:trHeight w:val="310"/>
        </w:trPr>
        <w:tc>
          <w:tcPr>
            <w:tcW w:w="12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1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107,531</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148,664</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108,578</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165,205</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1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21,231</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22,417</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17,674</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30,414</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1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Technology (exclusive of amortization)</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22,288</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23,133</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16,767</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24,711</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1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5,902</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6,527</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4,969</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4,674</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1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5,713</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5,438</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4,169</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162,665</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206,179</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152,157</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229,079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(2,911)</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48,747</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36,245</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48,452</w:t>
            </w:r>
          </w:p>
        </w:tc>
        <w:tc>
          <w:tcPr>
            <w:tcW w:w="0" w:type="dxa"/>
            <w:vAlign w:val="bottom"/>
          </w:tcPr>
          <w:p>
            <w:pPr>
              <w:spacing w:after="0"/>
              <w:rPr>
                <w:sz w:val="1"/>
                <w:szCs w:val="1"/>
                <w:color w:val="auto"/>
              </w:rPr>
            </w:pPr>
          </w:p>
        </w:tc>
      </w:tr>
      <w:tr>
        <w:trPr>
          <w:trHeight w:val="310"/>
        </w:trPr>
        <w:tc>
          <w:tcPr>
            <w:tcW w:w="12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1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(723)</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1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5,792</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5,599</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4,277</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1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5,186</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5,189</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3,981</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before provision for income taxes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2,275</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53,936</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40,226</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50,619</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12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(586)</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(5,104)</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(942)</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1,689</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48,832</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39,284</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46,590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1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1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unrealized gain (loss) on marketable securities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955</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1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Unrealized foreign currency translation loss</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(88)</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(199)</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(110)</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7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other comprehensive income (loss)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Net other comprehensive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48,512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39,211</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Per share data:</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1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Basic net income per share</w:t>
            </w:r>
          </w:p>
        </w:tc>
        <w:tc>
          <w:tcPr>
            <w:tcW w:w="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11</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05</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46</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1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Diluted net income per share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80</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120" w:type="dxa"/>
            <w:vAlign w:val="bottom"/>
            <w:gridSpan w:val="2"/>
          </w:tcPr>
          <w:p>
            <w:pPr>
              <w:ind w:left="360"/>
              <w:spacing w:after="0"/>
              <w:rPr>
                <w:sz w:val="20"/>
                <w:szCs w:val="20"/>
                <w:color w:val="auto"/>
              </w:rPr>
            </w:pPr>
            <w:r>
              <w:rPr>
                <w:rFonts w:ascii="Arial" w:cs="Arial" w:eastAsia="Arial" w:hAnsi="Arial"/>
                <w:sz w:val="18"/>
                <w:szCs w:val="18"/>
                <w:color w:val="auto"/>
              </w:rPr>
              <w:t>Shares used in computing basic net income per share</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15,926</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16,007</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15,999</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1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Shares used in computing diluted net income per share</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54,723</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57,600</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57,305</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58,593</w:t>
            </w:r>
          </w:p>
        </w:tc>
        <w:tc>
          <w:tcPr>
            <w:tcW w:w="0" w:type="dxa"/>
            <w:vAlign w:val="bottom"/>
          </w:tcPr>
          <w:p>
            <w:pPr>
              <w:spacing w:after="0"/>
              <w:rPr>
                <w:sz w:val="1"/>
                <w:szCs w:val="1"/>
                <w:color w:val="auto"/>
              </w:rPr>
            </w:pPr>
          </w:p>
        </w:tc>
      </w:tr>
    </w:tbl>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i w:val="1"/>
          <w:iCs w:val="1"/>
          <w:color w:val="auto"/>
        </w:rPr>
        <w:t>See accompanying notes.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46" w:right="4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jc w:val="center"/>
        <w:ind w:right="-99"/>
        <w:spacing w:after="0"/>
        <w:rPr>
          <w:sz w:val="20"/>
          <w:szCs w:val="20"/>
          <w:color w:val="auto"/>
        </w:rPr>
      </w:pPr>
      <w:r>
        <w:rPr>
          <w:rFonts w:ascii="Arial" w:cs="Arial" w:eastAsia="Arial" w:hAnsi="Arial"/>
          <w:sz w:val="18"/>
          <w:szCs w:val="18"/>
          <w:color w:val="auto"/>
        </w:rPr>
        <w:t>(In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Borders>
              <w:right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rPr>
              <w:t>Redeemable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Borders>
              <w:right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rPr>
              <w:t>Convertible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Borders>
              <w:right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8"/>
          </w:tcPr>
          <w:p>
            <w:pPr>
              <w:jc w:val="right"/>
              <w:ind w:right="2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820" w:type="dxa"/>
            <w:vAlign w:val="bottom"/>
            <w:gridSpan w:val="4"/>
          </w:tcPr>
          <w:p>
            <w:pPr>
              <w:ind w:left="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Comprehensive</w:t>
            </w: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600" w:type="dxa"/>
            <w:vAlign w:val="bottom"/>
            <w:tcBorders>
              <w:top w:val="single" w:sz="8" w:color="auto"/>
            </w:tcBorders>
            <w:gridSpan w:val="4"/>
          </w:tcPr>
          <w:p>
            <w:pPr>
              <w:spacing w:after="0" w:line="155"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Shares</w:t>
            </w:r>
          </w:p>
        </w:tc>
        <w:tc>
          <w:tcPr>
            <w:tcW w:w="54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4"/>
          </w:tcPr>
          <w:p>
            <w:pPr>
              <w:ind w:left="80"/>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1340" w:type="dxa"/>
            <w:vAlign w:val="bottom"/>
            <w:gridSpan w:val="4"/>
          </w:tcPr>
          <w:p>
            <w:pPr>
              <w:jc w:val="center"/>
              <w:ind w:right="320"/>
              <w:spacing w:after="0" w:line="155" w:lineRule="exact"/>
              <w:rPr>
                <w:sz w:val="20"/>
                <w:szCs w:val="20"/>
                <w:color w:val="auto"/>
              </w:rPr>
            </w:pPr>
            <w:r>
              <w:rPr>
                <w:rFonts w:ascii="Arial" w:cs="Arial" w:eastAsia="Arial" w:hAnsi="Arial"/>
                <w:sz w:val="14"/>
                <w:szCs w:val="14"/>
                <w:b w:val="1"/>
                <w:bCs w:val="1"/>
                <w:color w:val="auto"/>
              </w:rPr>
              <w:t>Income (Loss)</w:t>
            </w:r>
          </w:p>
        </w:tc>
        <w:tc>
          <w:tcPr>
            <w:tcW w:w="160" w:type="dxa"/>
            <w:vAlign w:val="bottom"/>
          </w:tcPr>
          <w:p>
            <w:pPr>
              <w:spacing w:after="0"/>
              <w:rPr>
                <w:sz w:val="13"/>
                <w:szCs w:val="13"/>
                <w:color w:val="auto"/>
              </w:rPr>
            </w:pPr>
          </w:p>
        </w:tc>
        <w:tc>
          <w:tcPr>
            <w:tcW w:w="102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3"/>
                <w:szCs w:val="13"/>
                <w:color w:val="auto"/>
              </w:rPr>
            </w:pPr>
          </w:p>
        </w:tc>
        <w:tc>
          <w:tcPr>
            <w:tcW w:w="9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55"/>
        </w:trPr>
        <w:tc>
          <w:tcPr>
            <w:tcW w:w="34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860" w:type="dxa"/>
            <w:vAlign w:val="bottom"/>
            <w:tcBorders>
              <w:top w:val="single" w:sz="8" w:color="auto"/>
            </w:tcBorders>
            <w:gridSpan w:val="13"/>
          </w:tcPr>
          <w:p>
            <w:pPr>
              <w:jc w:val="right"/>
              <w:ind w:right="460"/>
              <w:spacing w:after="0" w:line="155" w:lineRule="exact"/>
              <w:rPr>
                <w:sz w:val="20"/>
                <w:szCs w:val="20"/>
                <w:color w:val="auto"/>
              </w:rPr>
            </w:pPr>
            <w:r>
              <w:rPr>
                <w:rFonts w:ascii="Arial" w:cs="Arial" w:eastAsia="Arial" w:hAnsi="Arial"/>
                <w:sz w:val="14"/>
                <w:szCs w:val="14"/>
                <w:b w:val="1"/>
                <w:bCs w:val="1"/>
                <w:color w:val="auto"/>
              </w:rPr>
              <w:t>(in thousands, except share data)</w:t>
            </w: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Balance, December 31, 2022</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37,228</w:t>
            </w:r>
          </w:p>
        </w:tc>
        <w:tc>
          <w:tcPr>
            <w:tcW w:w="8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2"/>
              </w:rPr>
              <w:t>$403,997</w:t>
            </w:r>
          </w:p>
        </w:tc>
        <w:tc>
          <w:tcPr>
            <w:tcW w:w="18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7"/>
              </w:rPr>
              <w:t>15,846</w:t>
            </w: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59,307</w:t>
            </w:r>
          </w:p>
        </w:tc>
        <w:tc>
          <w:tcPr>
            <w:tcW w:w="1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(1,025)</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(224,186)</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(165,902)</w:t>
            </w:r>
          </w:p>
        </w:tc>
        <w:tc>
          <w:tcPr>
            <w:tcW w:w="0" w:type="dxa"/>
            <w:vAlign w:val="bottom"/>
          </w:tcPr>
          <w:p>
            <w:pPr>
              <w:spacing w:after="0"/>
              <w:rPr>
                <w:sz w:val="1"/>
                <w:szCs w:val="1"/>
                <w:color w:val="auto"/>
              </w:rPr>
            </w:pPr>
          </w:p>
        </w:tc>
      </w:tr>
      <w:tr>
        <w:trPr>
          <w:trHeight w:val="162"/>
        </w:trPr>
        <w:tc>
          <w:tcPr>
            <w:tcW w:w="3460" w:type="dxa"/>
            <w:vAlign w:val="bottom"/>
          </w:tcPr>
          <w:p>
            <w:pPr>
              <w:ind w:left="280"/>
              <w:spacing w:after="0"/>
              <w:rPr>
                <w:sz w:val="20"/>
                <w:szCs w:val="20"/>
                <w:color w:val="auto"/>
              </w:rPr>
            </w:pPr>
            <w:r>
              <w:rPr>
                <w:rFonts w:ascii="Arial" w:cs="Arial" w:eastAsia="Arial" w:hAnsi="Arial"/>
                <w:sz w:val="14"/>
                <w:szCs w:val="14"/>
                <w:color w:val="auto"/>
              </w:rPr>
              <w:t>Issuance of common stock</w:t>
            </w:r>
          </w:p>
        </w:tc>
        <w:tc>
          <w:tcPr>
            <w:tcW w:w="40" w:type="dxa"/>
            <w:vAlign w:val="bottom"/>
          </w:tcPr>
          <w:p>
            <w:pPr>
              <w:spacing w:after="0"/>
              <w:rPr>
                <w:sz w:val="14"/>
                <w:szCs w:val="14"/>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113</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62"/>
        </w:trPr>
        <w:tc>
          <w:tcPr>
            <w:tcW w:w="3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 expense</w:t>
            </w:r>
          </w:p>
        </w:tc>
        <w:tc>
          <w:tcPr>
            <w:tcW w:w="4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3,835</w:t>
            </w: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3,835</w:t>
            </w:r>
          </w:p>
        </w:tc>
        <w:tc>
          <w:tcPr>
            <w:tcW w:w="0" w:type="dxa"/>
            <w:vAlign w:val="bottom"/>
          </w:tcPr>
          <w:p>
            <w:pPr>
              <w:spacing w:after="0"/>
              <w:rPr>
                <w:sz w:val="1"/>
                <w:szCs w:val="1"/>
                <w:color w:val="auto"/>
              </w:rPr>
            </w:pPr>
          </w:p>
        </w:tc>
      </w:tr>
      <w:tr>
        <w:trPr>
          <w:trHeight w:val="162"/>
        </w:trPr>
        <w:tc>
          <w:tcPr>
            <w:tcW w:w="3460" w:type="dxa"/>
            <w:vAlign w:val="bottom"/>
          </w:tcPr>
          <w:p>
            <w:pPr>
              <w:ind w:left="280"/>
              <w:spacing w:after="0"/>
              <w:rPr>
                <w:sz w:val="20"/>
                <w:szCs w:val="20"/>
                <w:color w:val="auto"/>
              </w:rPr>
            </w:pPr>
            <w:r>
              <w:rPr>
                <w:rFonts w:ascii="Arial" w:cs="Arial" w:eastAsia="Arial" w:hAnsi="Arial"/>
                <w:sz w:val="14"/>
                <w:szCs w:val="14"/>
                <w:color w:val="auto"/>
              </w:rPr>
              <w:t>Comprehensive income</w:t>
            </w:r>
          </w:p>
        </w:tc>
        <w:tc>
          <w:tcPr>
            <w:tcW w:w="40" w:type="dxa"/>
            <w:vAlign w:val="bottom"/>
          </w:tcPr>
          <w:p>
            <w:pPr>
              <w:spacing w:after="0"/>
              <w:rPr>
                <w:sz w:val="14"/>
                <w:szCs w:val="14"/>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867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162"/>
        </w:trPr>
        <w:tc>
          <w:tcPr>
            <w:tcW w:w="3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gridSpan w:val="2"/>
            <w:shd w:val="clear" w:color="auto" w:fill="CCEEFF"/>
          </w:tcPr>
          <w:p>
            <w:pPr>
              <w:spacing w:after="0"/>
              <w:rPr>
                <w:sz w:val="14"/>
                <w:szCs w:val="14"/>
                <w:color w:val="auto"/>
              </w:rPr>
            </w:pPr>
          </w:p>
        </w:tc>
        <w:tc>
          <w:tcPr>
            <w:tcW w:w="78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1,689</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1,689</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color w:val="auto"/>
              </w:rPr>
              <w:t>Balance, December 31, 2023</w:t>
            </w: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60" w:type="dxa"/>
            <w:vAlign w:val="bottom"/>
            <w:vMerge w:val="continue"/>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37,228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w w:val="92"/>
              </w:rPr>
              <w:t>$403,997</w:t>
            </w:r>
          </w:p>
        </w:tc>
        <w:tc>
          <w:tcPr>
            <w:tcW w:w="1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w w:val="97"/>
              </w:rPr>
              <w:t>15,959</w:t>
            </w:r>
          </w:p>
        </w:tc>
        <w:tc>
          <w:tcPr>
            <w:tcW w:w="180" w:type="dxa"/>
            <w:vAlign w:val="bottom"/>
          </w:tcPr>
          <w:p>
            <w:pPr>
              <w:spacing w:after="0"/>
              <w:rPr>
                <w:sz w:val="14"/>
                <w:szCs w:val="14"/>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63,473</w:t>
            </w:r>
          </w:p>
        </w:tc>
        <w:tc>
          <w:tcPr>
            <w:tcW w:w="100" w:type="dxa"/>
            <w:vAlign w:val="bottom"/>
          </w:tcPr>
          <w:p>
            <w:pPr>
              <w:spacing w:after="0"/>
              <w:rPr>
                <w:sz w:val="14"/>
                <w:szCs w:val="14"/>
                <w:color w:val="auto"/>
              </w:rPr>
            </w:pP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(158)</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(222,497)</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(159,180)</w:t>
            </w:r>
          </w:p>
        </w:tc>
        <w:tc>
          <w:tcPr>
            <w:tcW w:w="0" w:type="dxa"/>
            <w:vAlign w:val="bottom"/>
          </w:tcPr>
          <w:p>
            <w:pPr>
              <w:spacing w:after="0"/>
              <w:rPr>
                <w:sz w:val="1"/>
                <w:szCs w:val="1"/>
                <w:color w:val="auto"/>
              </w:rPr>
            </w:pPr>
          </w:p>
        </w:tc>
      </w:tr>
      <w:tr>
        <w:trPr>
          <w:trHeight w:val="162"/>
        </w:trPr>
        <w:tc>
          <w:tcPr>
            <w:tcW w:w="3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w:t>
            </w:r>
          </w:p>
        </w:tc>
        <w:tc>
          <w:tcPr>
            <w:tcW w:w="4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73</w:t>
            </w: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62"/>
        </w:trPr>
        <w:tc>
          <w:tcPr>
            <w:tcW w:w="3460" w:type="dxa"/>
            <w:vAlign w:val="bottom"/>
          </w:tcPr>
          <w:p>
            <w:pPr>
              <w:ind w:left="280"/>
              <w:spacing w:after="0"/>
              <w:rPr>
                <w:sz w:val="20"/>
                <w:szCs w:val="20"/>
                <w:color w:val="auto"/>
              </w:rPr>
            </w:pPr>
            <w:r>
              <w:rPr>
                <w:rFonts w:ascii="Arial" w:cs="Arial" w:eastAsia="Arial" w:hAnsi="Arial"/>
                <w:sz w:val="14"/>
                <w:szCs w:val="14"/>
                <w:color w:val="auto"/>
              </w:rPr>
              <w:t>Stock-based compensation expense</w:t>
            </w:r>
          </w:p>
        </w:tc>
        <w:tc>
          <w:tcPr>
            <w:tcW w:w="40" w:type="dxa"/>
            <w:vAlign w:val="bottom"/>
          </w:tcPr>
          <w:p>
            <w:pPr>
              <w:spacing w:after="0"/>
              <w:rPr>
                <w:sz w:val="14"/>
                <w:szCs w:val="14"/>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3,309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3,309</w:t>
            </w:r>
          </w:p>
        </w:tc>
        <w:tc>
          <w:tcPr>
            <w:tcW w:w="0" w:type="dxa"/>
            <w:vAlign w:val="bottom"/>
          </w:tcPr>
          <w:p>
            <w:pPr>
              <w:spacing w:after="0"/>
              <w:rPr>
                <w:sz w:val="1"/>
                <w:szCs w:val="1"/>
                <w:color w:val="auto"/>
              </w:rPr>
            </w:pPr>
          </w:p>
        </w:tc>
      </w:tr>
      <w:tr>
        <w:trPr>
          <w:trHeight w:val="162"/>
        </w:trPr>
        <w:tc>
          <w:tcPr>
            <w:tcW w:w="3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Comprehensive loss</w:t>
            </w:r>
          </w:p>
        </w:tc>
        <w:tc>
          <w:tcPr>
            <w:tcW w:w="4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(320)</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62"/>
        </w:trPr>
        <w:tc>
          <w:tcPr>
            <w:tcW w:w="346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4"/>
                <w:szCs w:val="14"/>
                <w:color w:val="auto"/>
              </w:rPr>
            </w:pPr>
          </w:p>
        </w:tc>
        <w:tc>
          <w:tcPr>
            <w:tcW w:w="78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48,832</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48,832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Balance, December 31, 2024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37,228</w:t>
            </w:r>
          </w:p>
        </w:tc>
        <w:tc>
          <w:tcPr>
            <w:tcW w:w="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403,997</w:t>
            </w:r>
          </w:p>
        </w:tc>
        <w:tc>
          <w:tcPr>
            <w:tcW w:w="18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7"/>
              </w:rPr>
              <w:t>16,032</w:t>
            </w: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66,991</w:t>
            </w:r>
          </w:p>
        </w:tc>
        <w:tc>
          <w:tcPr>
            <w:tcW w:w="1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(478)</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(173,665)</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(107,150)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gridSpan w:val="6"/>
            <w:vMerge w:val="restart"/>
          </w:tcPr>
          <w:p>
            <w:pPr>
              <w:jc w:val="right"/>
              <w:ind w:right="340"/>
              <w:spacing w:after="0"/>
              <w:rPr>
                <w:sz w:val="20"/>
                <w:szCs w:val="20"/>
                <w:color w:val="auto"/>
              </w:rPr>
            </w:pPr>
            <w:r>
              <w:rPr>
                <w:rFonts w:ascii="Arial" w:cs="Arial" w:eastAsia="Arial" w:hAnsi="Arial"/>
                <w:sz w:val="14"/>
                <w:szCs w:val="14"/>
                <w:b w:val="1"/>
                <w:bCs w:val="1"/>
                <w:color w:val="auto"/>
              </w:rPr>
              <w:t>Redeemable</w:t>
            </w:r>
          </w:p>
        </w:tc>
        <w:tc>
          <w:tcPr>
            <w:tcW w:w="20" w:type="dxa"/>
            <w:vAlign w:val="bottom"/>
          </w:tcPr>
          <w:p>
            <w:pPr>
              <w:spacing w:after="0"/>
              <w:rPr>
                <w:sz w:val="20"/>
                <w:szCs w:val="20"/>
                <w:color w:val="auto"/>
              </w:rPr>
            </w:pPr>
          </w:p>
        </w:tc>
        <w:tc>
          <w:tcPr>
            <w:tcW w:w="180" w:type="dxa"/>
            <w:vAlign w:val="bottom"/>
            <w:vMerge w:val="restart"/>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6"/>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Convertible</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8"/>
          </w:tcPr>
          <w:p>
            <w:pPr>
              <w:jc w:val="right"/>
              <w:ind w:right="2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Comprehensive</w:t>
            </w: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1340" w:type="dxa"/>
            <w:vAlign w:val="bottom"/>
            <w:gridSpan w:val="4"/>
          </w:tcPr>
          <w:p>
            <w:pPr>
              <w:jc w:val="center"/>
              <w:ind w:right="280"/>
              <w:spacing w:after="0" w:line="155" w:lineRule="exact"/>
              <w:rPr>
                <w:sz w:val="20"/>
                <w:szCs w:val="20"/>
                <w:color w:val="auto"/>
              </w:rPr>
            </w:pPr>
            <w:r>
              <w:rPr>
                <w:rFonts w:ascii="Arial" w:cs="Arial" w:eastAsia="Arial" w:hAnsi="Arial"/>
                <w:sz w:val="14"/>
                <w:szCs w:val="14"/>
                <w:b w:val="1"/>
                <w:bCs w:val="1"/>
                <w:color w:val="auto"/>
              </w:rPr>
              <w:t>Income (Loss)</w:t>
            </w:r>
          </w:p>
        </w:tc>
        <w:tc>
          <w:tcPr>
            <w:tcW w:w="160" w:type="dxa"/>
            <w:vAlign w:val="bottom"/>
          </w:tcPr>
          <w:p>
            <w:pPr>
              <w:spacing w:after="0"/>
              <w:rPr>
                <w:sz w:val="13"/>
                <w:szCs w:val="13"/>
                <w:color w:val="auto"/>
              </w:rPr>
            </w:pPr>
          </w:p>
        </w:tc>
        <w:tc>
          <w:tcPr>
            <w:tcW w:w="102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3"/>
                <w:szCs w:val="13"/>
                <w:color w:val="auto"/>
              </w:rPr>
            </w:pPr>
          </w:p>
        </w:tc>
        <w:tc>
          <w:tcPr>
            <w:tcW w:w="9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55"/>
        </w:trPr>
        <w:tc>
          <w:tcPr>
            <w:tcW w:w="3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860" w:type="dxa"/>
            <w:vAlign w:val="bottom"/>
            <w:tcBorders>
              <w:top w:val="single" w:sz="8" w:color="auto"/>
            </w:tcBorders>
            <w:gridSpan w:val="13"/>
          </w:tcPr>
          <w:p>
            <w:pPr>
              <w:jc w:val="right"/>
              <w:ind w:right="440"/>
              <w:spacing w:after="0" w:line="155" w:lineRule="exact"/>
              <w:rPr>
                <w:sz w:val="20"/>
                <w:szCs w:val="20"/>
                <w:color w:val="auto"/>
              </w:rPr>
            </w:pPr>
            <w:r>
              <w:rPr>
                <w:rFonts w:ascii="Arial" w:cs="Arial" w:eastAsia="Arial" w:hAnsi="Arial"/>
                <w:sz w:val="14"/>
                <w:szCs w:val="14"/>
                <w:b w:val="1"/>
                <w:bCs w:val="1"/>
                <w:color w:val="auto"/>
              </w:rPr>
              <w:t>(in thousands, except share data)</w:t>
            </w: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Balance, December 31, 2023</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37,228</w:t>
            </w:r>
          </w:p>
        </w:tc>
        <w:tc>
          <w:tcPr>
            <w:tcW w:w="80" w:type="dxa"/>
            <w:vAlign w:val="bottom"/>
            <w:tcBorders>
              <w:righ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w w:val="99"/>
              </w:rPr>
              <w:t>$403,997</w:t>
            </w:r>
          </w:p>
        </w:tc>
        <w:tc>
          <w:tcPr>
            <w:tcW w:w="20" w:type="dxa"/>
            <w:vAlign w:val="bottom"/>
            <w:shd w:val="clear" w:color="auto" w:fill="000000"/>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15,959</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63,473</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(158)</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(222,497)</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(159,180)</w:t>
            </w:r>
          </w:p>
        </w:tc>
        <w:tc>
          <w:tcPr>
            <w:tcW w:w="0" w:type="dxa"/>
            <w:vAlign w:val="bottom"/>
          </w:tcPr>
          <w:p>
            <w:pPr>
              <w:spacing w:after="0"/>
              <w:rPr>
                <w:sz w:val="1"/>
                <w:szCs w:val="1"/>
                <w:color w:val="auto"/>
              </w:rPr>
            </w:pPr>
          </w:p>
        </w:tc>
      </w:tr>
      <w:tr>
        <w:trPr>
          <w:trHeight w:val="162"/>
        </w:trPr>
        <w:tc>
          <w:tcPr>
            <w:tcW w:w="3460" w:type="dxa"/>
            <w:vAlign w:val="bottom"/>
          </w:tcPr>
          <w:p>
            <w:pPr>
              <w:ind w:left="280"/>
              <w:spacing w:after="0"/>
              <w:rPr>
                <w:sz w:val="20"/>
                <w:szCs w:val="20"/>
                <w:color w:val="auto"/>
              </w:rPr>
            </w:pPr>
            <w:r>
              <w:rPr>
                <w:rFonts w:ascii="Arial" w:cs="Arial" w:eastAsia="Arial" w:hAnsi="Arial"/>
                <w:sz w:val="14"/>
                <w:szCs w:val="14"/>
                <w:color w:val="auto"/>
              </w:rPr>
              <w:t>Issuance of common stock (unaudited)</w:t>
            </w:r>
          </w:p>
        </w:tc>
        <w:tc>
          <w:tcPr>
            <w:tcW w:w="40" w:type="dxa"/>
            <w:vAlign w:val="bottom"/>
          </w:tcPr>
          <w:p>
            <w:pPr>
              <w:spacing w:after="0"/>
              <w:rPr>
                <w:sz w:val="14"/>
                <w:szCs w:val="14"/>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4"/>
                <w:szCs w:val="14"/>
                <w:color w:val="auto"/>
              </w:rPr>
              <w:t>71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53"/>
        </w:trPr>
        <w:tc>
          <w:tcPr>
            <w:tcW w:w="3460" w:type="dxa"/>
            <w:vAlign w:val="bottom"/>
            <w:shd w:val="clear" w:color="auto" w:fill="CCEEFF"/>
          </w:tcPr>
          <w:p>
            <w:pPr>
              <w:ind w:left="280"/>
              <w:spacing w:after="0" w:line="153" w:lineRule="exact"/>
              <w:rPr>
                <w:sz w:val="20"/>
                <w:szCs w:val="20"/>
                <w:color w:val="auto"/>
              </w:rPr>
            </w:pPr>
            <w:r>
              <w:rPr>
                <w:rFonts w:ascii="Arial" w:cs="Arial" w:eastAsia="Arial" w:hAnsi="Arial"/>
                <w:sz w:val="14"/>
                <w:szCs w:val="14"/>
                <w:color w:val="auto"/>
              </w:rPr>
              <w:t>Stock-based compensation expense</w:t>
            </w: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4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(unaudited)</w:t>
            </w:r>
          </w:p>
        </w:tc>
        <w:tc>
          <w:tcPr>
            <w:tcW w:w="4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2,379</w:t>
            </w: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2,379</w:t>
            </w:r>
          </w:p>
        </w:tc>
        <w:tc>
          <w:tcPr>
            <w:tcW w:w="0" w:type="dxa"/>
            <w:vAlign w:val="bottom"/>
          </w:tcPr>
          <w:p>
            <w:pPr>
              <w:spacing w:after="0"/>
              <w:rPr>
                <w:sz w:val="1"/>
                <w:szCs w:val="1"/>
                <w:color w:val="auto"/>
              </w:rPr>
            </w:pPr>
          </w:p>
        </w:tc>
      </w:tr>
      <w:tr>
        <w:trPr>
          <w:trHeight w:val="162"/>
        </w:trPr>
        <w:tc>
          <w:tcPr>
            <w:tcW w:w="3460" w:type="dxa"/>
            <w:vAlign w:val="bottom"/>
          </w:tcPr>
          <w:p>
            <w:pPr>
              <w:ind w:left="280"/>
              <w:spacing w:after="0"/>
              <w:rPr>
                <w:sz w:val="20"/>
                <w:szCs w:val="20"/>
                <w:color w:val="auto"/>
              </w:rPr>
            </w:pPr>
            <w:r>
              <w:rPr>
                <w:rFonts w:ascii="Arial" w:cs="Arial" w:eastAsia="Arial" w:hAnsi="Arial"/>
                <w:sz w:val="14"/>
                <w:szCs w:val="14"/>
                <w:color w:val="auto"/>
              </w:rPr>
              <w:t>Comprehensive loss (unaudited)</w:t>
            </w:r>
          </w:p>
        </w:tc>
        <w:tc>
          <w:tcPr>
            <w:tcW w:w="40" w:type="dxa"/>
            <w:vAlign w:val="bottom"/>
          </w:tcPr>
          <w:p>
            <w:pPr>
              <w:spacing w:after="0"/>
              <w:rPr>
                <w:sz w:val="14"/>
                <w:szCs w:val="14"/>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4"/>
                <w:szCs w:val="14"/>
                <w:color w:val="auto"/>
              </w:rPr>
              <w:t>(73)</w:t>
            </w:r>
          </w:p>
        </w:tc>
        <w:tc>
          <w:tcPr>
            <w:tcW w:w="16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62"/>
        </w:trPr>
        <w:tc>
          <w:tcPr>
            <w:tcW w:w="3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 (unaudited)</w:t>
            </w: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39,284</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39,284</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color w:val="auto"/>
              </w:rPr>
              <w:t>Balance, September 30, 2024 (unaudited)</w:t>
            </w:r>
          </w:p>
        </w:tc>
        <w:tc>
          <w:tcPr>
            <w:tcW w:w="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37,228</w:t>
            </w:r>
          </w:p>
        </w:tc>
        <w:tc>
          <w:tcPr>
            <w:tcW w:w="8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403,997</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4"/>
                <w:szCs w:val="14"/>
                <w:color w:val="auto"/>
              </w:rPr>
              <w:t>16,030</w:t>
            </w:r>
          </w:p>
        </w:tc>
        <w:tc>
          <w:tcPr>
            <w:tcW w:w="2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100"/>
              <w:spacing w:after="0"/>
              <w:rPr>
                <w:sz w:val="20"/>
                <w:szCs w:val="20"/>
                <w:color w:val="auto"/>
              </w:rPr>
            </w:pPr>
            <w:r>
              <w:rPr>
                <w:rFonts w:ascii="Arial" w:cs="Arial" w:eastAsia="Arial" w:hAnsi="Arial"/>
                <w:sz w:val="14"/>
                <w:szCs w:val="14"/>
                <w:color w:val="auto"/>
              </w:rPr>
              <w:t>2</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66,056</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1260" w:type="dxa"/>
            <w:vAlign w:val="bottom"/>
            <w:gridSpan w:val="3"/>
          </w:tcPr>
          <w:p>
            <w:pPr>
              <w:jc w:val="right"/>
              <w:ind w:right="220"/>
              <w:spacing w:after="0"/>
              <w:rPr>
                <w:sz w:val="20"/>
                <w:szCs w:val="20"/>
                <w:color w:val="auto"/>
              </w:rPr>
            </w:pPr>
            <w:r>
              <w:rPr>
                <w:rFonts w:ascii="Arial" w:cs="Arial" w:eastAsia="Arial" w:hAnsi="Arial"/>
                <w:sz w:val="14"/>
                <w:szCs w:val="14"/>
                <w:color w:val="auto"/>
              </w:rPr>
              <w:t>(231)</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(183,213)</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(117,386)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accompanying notes.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5" w:right="4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jc w:val="center"/>
        <w:ind w:right="-99"/>
        <w:spacing w:after="0"/>
        <w:rPr>
          <w:sz w:val="20"/>
          <w:szCs w:val="20"/>
          <w:color w:val="auto"/>
        </w:rPr>
      </w:pPr>
      <w:r>
        <w:rPr>
          <w:rFonts w:ascii="Arial" w:cs="Arial" w:eastAsia="Arial" w:hAnsi="Arial"/>
          <w:sz w:val="18"/>
          <w:szCs w:val="18"/>
          <w:color w:val="auto"/>
        </w:rPr>
        <w:t>(In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360" w:type="dxa"/>
            <w:vAlign w:val="bottom"/>
            <w:tcBorders>
              <w:right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rPr>
              <w:t>Redeemable</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360" w:type="dxa"/>
            <w:vAlign w:val="bottom"/>
            <w:tcBorders>
              <w:right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rPr>
              <w:t>Convertible</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360" w:type="dxa"/>
            <w:vAlign w:val="bottom"/>
            <w:tcBorders>
              <w:right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Pr>
          <w:p>
            <w:pPr>
              <w:spacing w:after="0"/>
              <w:rPr>
                <w:sz w:val="14"/>
                <w:szCs w:val="14"/>
                <w:color w:val="auto"/>
              </w:rPr>
            </w:pPr>
          </w:p>
        </w:tc>
        <w:tc>
          <w:tcPr>
            <w:tcW w:w="14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Shares</w:t>
            </w: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1240" w:type="dxa"/>
            <w:vAlign w:val="bottom"/>
            <w:gridSpan w:val="3"/>
          </w:tcPr>
          <w:p>
            <w:pPr>
              <w:jc w:val="center"/>
              <w:ind w:right="180"/>
              <w:spacing w:after="0" w:line="155" w:lineRule="exact"/>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3"/>
                <w:szCs w:val="13"/>
                <w:color w:val="auto"/>
              </w:rPr>
            </w:pPr>
          </w:p>
        </w:tc>
        <w:tc>
          <w:tcPr>
            <w:tcW w:w="90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740" w:type="dxa"/>
            <w:vAlign w:val="bottom"/>
            <w:tcBorders>
              <w:top w:val="single" w:sz="8" w:color="auto"/>
            </w:tcBorders>
            <w:gridSpan w:val="9"/>
          </w:tcPr>
          <w:p>
            <w:pPr>
              <w:jc w:val="right"/>
              <w:ind w:right="340"/>
              <w:spacing w:after="0" w:line="155" w:lineRule="exact"/>
              <w:rPr>
                <w:sz w:val="20"/>
                <w:szCs w:val="20"/>
                <w:color w:val="auto"/>
              </w:rPr>
            </w:pPr>
            <w:r>
              <w:rPr>
                <w:rFonts w:ascii="Arial" w:cs="Arial" w:eastAsia="Arial" w:hAnsi="Arial"/>
                <w:sz w:val="14"/>
                <w:szCs w:val="14"/>
                <w:b w:val="1"/>
                <w:bCs w:val="1"/>
                <w:color w:val="auto"/>
              </w:rPr>
              <w:t>(in thousands, except share data)</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Balance, December 31, 2024</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37,228</w:t>
            </w:r>
          </w:p>
        </w:tc>
        <w:tc>
          <w:tcPr>
            <w:tcW w:w="88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$403,997</w:t>
            </w:r>
          </w:p>
        </w:tc>
        <w:tc>
          <w:tcPr>
            <w:tcW w:w="1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16,032</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66,991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(173,665)</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(107,150)</w:t>
            </w:r>
          </w:p>
        </w:tc>
        <w:tc>
          <w:tcPr>
            <w:tcW w:w="0" w:type="dxa"/>
            <w:vAlign w:val="bottom"/>
          </w:tcPr>
          <w:p>
            <w:pPr>
              <w:spacing w:after="0"/>
              <w:rPr>
                <w:sz w:val="1"/>
                <w:szCs w:val="1"/>
                <w:color w:val="auto"/>
              </w:rPr>
            </w:pPr>
          </w:p>
        </w:tc>
      </w:tr>
      <w:tr>
        <w:trPr>
          <w:trHeight w:val="162"/>
        </w:trPr>
        <w:tc>
          <w:tcPr>
            <w:tcW w:w="3500" w:type="dxa"/>
            <w:vAlign w:val="bottom"/>
          </w:tcPr>
          <w:p>
            <w:pPr>
              <w:ind w:left="280"/>
              <w:spacing w:after="0"/>
              <w:rPr>
                <w:sz w:val="20"/>
                <w:szCs w:val="20"/>
                <w:color w:val="auto"/>
              </w:rPr>
            </w:pPr>
            <w:r>
              <w:rPr>
                <w:rFonts w:ascii="Arial" w:cs="Arial" w:eastAsia="Arial" w:hAnsi="Arial"/>
                <w:sz w:val="14"/>
                <w:szCs w:val="14"/>
                <w:color w:val="auto"/>
              </w:rPr>
              <w:t>Issuance of common stock (unaudited)</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794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153"/>
        </w:trPr>
        <w:tc>
          <w:tcPr>
            <w:tcW w:w="3500" w:type="dxa"/>
            <w:vAlign w:val="bottom"/>
            <w:shd w:val="clear" w:color="auto" w:fill="CCEEFF"/>
          </w:tcPr>
          <w:p>
            <w:pPr>
              <w:ind w:left="280"/>
              <w:spacing w:after="0" w:line="153" w:lineRule="exact"/>
              <w:rPr>
                <w:sz w:val="20"/>
                <w:szCs w:val="20"/>
                <w:color w:val="auto"/>
              </w:rPr>
            </w:pPr>
            <w:r>
              <w:rPr>
                <w:rFonts w:ascii="Arial" w:cs="Arial" w:eastAsia="Arial" w:hAnsi="Arial"/>
                <w:sz w:val="14"/>
                <w:szCs w:val="14"/>
                <w:color w:val="auto"/>
              </w:rPr>
              <w:t>Stock-based compensation expense</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5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(unaudited)</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10,868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10,868</w:t>
            </w:r>
          </w:p>
        </w:tc>
        <w:tc>
          <w:tcPr>
            <w:tcW w:w="0" w:type="dxa"/>
            <w:vAlign w:val="bottom"/>
          </w:tcPr>
          <w:p>
            <w:pPr>
              <w:spacing w:after="0"/>
              <w:rPr>
                <w:sz w:val="1"/>
                <w:szCs w:val="1"/>
                <w:color w:val="auto"/>
              </w:rPr>
            </w:pPr>
          </w:p>
        </w:tc>
      </w:tr>
      <w:tr>
        <w:trPr>
          <w:trHeight w:val="162"/>
        </w:trPr>
        <w:tc>
          <w:tcPr>
            <w:tcW w:w="3500" w:type="dxa"/>
            <w:vAlign w:val="bottom"/>
          </w:tcPr>
          <w:p>
            <w:pPr>
              <w:ind w:left="280"/>
              <w:spacing w:after="0"/>
              <w:rPr>
                <w:sz w:val="20"/>
                <w:szCs w:val="20"/>
                <w:color w:val="auto"/>
              </w:rPr>
            </w:pPr>
            <w:r>
              <w:rPr>
                <w:rFonts w:ascii="Arial" w:cs="Arial" w:eastAsia="Arial" w:hAnsi="Arial"/>
                <w:sz w:val="14"/>
                <w:szCs w:val="14"/>
                <w:color w:val="auto"/>
              </w:rPr>
              <w:t>Comprehensive income (unaudited)</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 (unaudited)</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46,590</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46,590</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4"/>
                <w:szCs w:val="14"/>
                <w:color w:val="auto"/>
              </w:rPr>
              <w:t>Balance, September 30, 2025 (unaudited)</w:t>
            </w: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00" w:type="dxa"/>
            <w:vAlign w:val="bottom"/>
            <w:vMerge w:val="continue"/>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37,228</w:t>
            </w:r>
          </w:p>
        </w:tc>
        <w:tc>
          <w:tcPr>
            <w:tcW w:w="88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403,997</w:t>
            </w:r>
          </w:p>
        </w:tc>
        <w:tc>
          <w:tcPr>
            <w:tcW w:w="1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16,556</w:t>
            </w:r>
          </w:p>
        </w:tc>
        <w:tc>
          <w:tcPr>
            <w:tcW w:w="3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78,653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(498)</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(127,075)</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(48,918)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accompanying notes.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99"/>
        <w:spacing w:after="0"/>
        <w:rPr>
          <w:sz w:val="20"/>
          <w:szCs w:val="20"/>
          <w:color w:val="auto"/>
        </w:rPr>
      </w:pPr>
      <w:r>
        <w:rPr>
          <w:rFonts w:ascii="Arial" w:cs="Arial" w:eastAsia="Arial" w:hAnsi="Arial"/>
          <w:sz w:val="18"/>
          <w:szCs w:val="18"/>
          <w:color w:val="auto"/>
        </w:rPr>
        <w:t>(In Thousands)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7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7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7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70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2024</w:t>
            </w:r>
          </w:p>
        </w:tc>
        <w:tc>
          <w:tcPr>
            <w:tcW w:w="4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center"/>
              <w:ind w:right="8"/>
              <w:spacing w:after="0" w:line="147"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Net income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1,689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48,832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39,284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46,590</w:t>
            </w:r>
          </w:p>
        </w:tc>
        <w:tc>
          <w:tcPr>
            <w:tcW w:w="0" w:type="dxa"/>
            <w:vAlign w:val="bottom"/>
          </w:tcPr>
          <w:p>
            <w:pPr>
              <w:spacing w:after="0"/>
              <w:rPr>
                <w:sz w:val="1"/>
                <w:szCs w:val="1"/>
                <w:color w:val="auto"/>
              </w:rPr>
            </w:pPr>
          </w:p>
        </w:tc>
      </w:tr>
      <w:tr>
        <w:trPr>
          <w:trHeight w:val="162"/>
        </w:trPr>
        <w:tc>
          <w:tcPr>
            <w:tcW w:w="704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to net cash used in operating activities:</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tcPr>
          <w:p>
            <w:pPr>
              <w:ind w:left="280"/>
              <w:spacing w:after="0"/>
              <w:rPr>
                <w:sz w:val="20"/>
                <w:szCs w:val="20"/>
                <w:color w:val="auto"/>
              </w:rPr>
            </w:pPr>
            <w:r>
              <w:rPr>
                <w:rFonts w:ascii="Arial" w:cs="Arial" w:eastAsia="Arial" w:hAnsi="Arial"/>
                <w:sz w:val="14"/>
                <w:szCs w:val="14"/>
                <w:color w:val="auto"/>
              </w:rPr>
              <w:t>Loss on disposal of fixed assets</w:t>
            </w: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taxes</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3,907</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3,483</w:t>
            </w:r>
          </w:p>
        </w:tc>
        <w:tc>
          <w:tcPr>
            <w:tcW w:w="0" w:type="dxa"/>
            <w:vAlign w:val="bottom"/>
          </w:tcPr>
          <w:p>
            <w:pPr>
              <w:spacing w:after="0"/>
              <w:rPr>
                <w:sz w:val="1"/>
                <w:szCs w:val="1"/>
                <w:color w:val="auto"/>
              </w:rPr>
            </w:pPr>
          </w:p>
        </w:tc>
      </w:tr>
      <w:tr>
        <w:trPr>
          <w:trHeight w:val="162"/>
        </w:trPr>
        <w:tc>
          <w:tcPr>
            <w:tcW w:w="704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5,713</w:t>
            </w: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5,438</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4,169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4,075</w:t>
            </w:r>
          </w:p>
        </w:tc>
        <w:tc>
          <w:tcPr>
            <w:tcW w:w="0" w:type="dxa"/>
            <w:vAlign w:val="bottom"/>
          </w:tcPr>
          <w:p>
            <w:pPr>
              <w:spacing w:after="0"/>
              <w:rPr>
                <w:sz w:val="1"/>
                <w:szCs w:val="1"/>
                <w:color w:val="auto"/>
              </w:rPr>
            </w:pPr>
          </w:p>
        </w:tc>
      </w:tr>
      <w:tr>
        <w:trPr>
          <w:trHeight w:val="162"/>
        </w:trPr>
        <w:tc>
          <w:tcPr>
            <w:tcW w:w="7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Non-cash interest expense</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723</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595</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457</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2,405</w:t>
            </w:r>
          </w:p>
        </w:tc>
        <w:tc>
          <w:tcPr>
            <w:tcW w:w="0" w:type="dxa"/>
            <w:vAlign w:val="bottom"/>
          </w:tcPr>
          <w:p>
            <w:pPr>
              <w:spacing w:after="0"/>
              <w:rPr>
                <w:sz w:val="1"/>
                <w:szCs w:val="1"/>
                <w:color w:val="auto"/>
              </w:rPr>
            </w:pPr>
          </w:p>
        </w:tc>
      </w:tr>
      <w:tr>
        <w:trPr>
          <w:trHeight w:val="162"/>
        </w:trPr>
        <w:tc>
          <w:tcPr>
            <w:tcW w:w="7040" w:type="dxa"/>
            <w:vAlign w:val="bottom"/>
          </w:tcPr>
          <w:p>
            <w:pPr>
              <w:ind w:left="280"/>
              <w:spacing w:after="0"/>
              <w:rPr>
                <w:sz w:val="20"/>
                <w:szCs w:val="20"/>
                <w:color w:val="auto"/>
              </w:rPr>
            </w:pPr>
            <w:r>
              <w:rPr>
                <w:rFonts w:ascii="Arial" w:cs="Arial" w:eastAsia="Arial" w:hAnsi="Arial"/>
                <w:sz w:val="14"/>
                <w:szCs w:val="14"/>
                <w:color w:val="auto"/>
              </w:rPr>
              <w:t>Accretion (amortization) of discounts and premium, investments</w:t>
            </w: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(3,602)</w:t>
            </w: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(3,133)</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(2,585)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(994)</w:t>
            </w:r>
          </w:p>
        </w:tc>
        <w:tc>
          <w:tcPr>
            <w:tcW w:w="0" w:type="dxa"/>
            <w:vAlign w:val="bottom"/>
          </w:tcPr>
          <w:p>
            <w:pPr>
              <w:spacing w:after="0"/>
              <w:rPr>
                <w:sz w:val="1"/>
                <w:szCs w:val="1"/>
                <w:color w:val="auto"/>
              </w:rPr>
            </w:pPr>
          </w:p>
        </w:tc>
      </w:tr>
      <w:tr>
        <w:trPr>
          <w:trHeight w:val="162"/>
        </w:trPr>
        <w:tc>
          <w:tcPr>
            <w:tcW w:w="7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3,607</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3,166</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2,269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10,564</w:t>
            </w:r>
          </w:p>
        </w:tc>
        <w:tc>
          <w:tcPr>
            <w:tcW w:w="0" w:type="dxa"/>
            <w:vAlign w:val="bottom"/>
          </w:tcPr>
          <w:p>
            <w:pPr>
              <w:spacing w:after="0"/>
              <w:rPr>
                <w:sz w:val="1"/>
                <w:szCs w:val="1"/>
                <w:color w:val="auto"/>
              </w:rPr>
            </w:pPr>
          </w:p>
        </w:tc>
      </w:tr>
      <w:tr>
        <w:trPr>
          <w:trHeight w:val="162"/>
        </w:trPr>
        <w:tc>
          <w:tcPr>
            <w:tcW w:w="7040" w:type="dxa"/>
            <w:vAlign w:val="bottom"/>
          </w:tcPr>
          <w:p>
            <w:pPr>
              <w:ind w:left="280"/>
              <w:spacing w:after="0"/>
              <w:rPr>
                <w:sz w:val="20"/>
                <w:szCs w:val="20"/>
                <w:color w:val="auto"/>
              </w:rPr>
            </w:pPr>
            <w:r>
              <w:rPr>
                <w:rFonts w:ascii="Arial" w:cs="Arial" w:eastAsia="Arial" w:hAnsi="Arial"/>
                <w:sz w:val="14"/>
                <w:szCs w:val="14"/>
                <w:color w:val="auto"/>
              </w:rPr>
              <w:t>Operating lease right-of-use asset amortization</w:t>
            </w: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62"/>
        </w:trPr>
        <w:tc>
          <w:tcPr>
            <w:tcW w:w="7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Unrealized foreign currency translation</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(199)</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62"/>
        </w:trPr>
        <w:tc>
          <w:tcPr>
            <w:tcW w:w="7040" w:type="dxa"/>
            <w:vAlign w:val="bottom"/>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Prepaid and other assets</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(221)</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(23,902)</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(11,585)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(15,863)</w:t>
            </w:r>
          </w:p>
        </w:tc>
        <w:tc>
          <w:tcPr>
            <w:tcW w:w="0" w:type="dxa"/>
            <w:vAlign w:val="bottom"/>
          </w:tcPr>
          <w:p>
            <w:pPr>
              <w:spacing w:after="0"/>
              <w:rPr>
                <w:sz w:val="1"/>
                <w:szCs w:val="1"/>
                <w:color w:val="auto"/>
              </w:rPr>
            </w:pPr>
          </w:p>
        </w:tc>
      </w:tr>
      <w:tr>
        <w:trPr>
          <w:trHeight w:val="162"/>
        </w:trPr>
        <w:tc>
          <w:tcPr>
            <w:tcW w:w="7040" w:type="dxa"/>
            <w:vAlign w:val="bottom"/>
          </w:tcPr>
          <w:p>
            <w:pPr>
              <w:ind w:left="580"/>
              <w:spacing w:after="0"/>
              <w:rPr>
                <w:sz w:val="20"/>
                <w:szCs w:val="20"/>
                <w:color w:val="auto"/>
              </w:rPr>
            </w:pPr>
            <w:r>
              <w:rPr>
                <w:rFonts w:ascii="Arial" w:cs="Arial" w:eastAsia="Arial" w:hAnsi="Arial"/>
                <w:sz w:val="14"/>
                <w:szCs w:val="14"/>
                <w:color w:val="auto"/>
              </w:rPr>
              <w:t>Other long-term assets</w:t>
            </w: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(378)</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(340)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70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(4,651)</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12,691</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10,026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35,266</w:t>
            </w:r>
          </w:p>
        </w:tc>
        <w:tc>
          <w:tcPr>
            <w:tcW w:w="0" w:type="dxa"/>
            <w:vAlign w:val="bottom"/>
          </w:tcPr>
          <w:p>
            <w:pPr>
              <w:spacing w:after="0"/>
              <w:rPr>
                <w:sz w:val="1"/>
                <w:szCs w:val="1"/>
                <w:color w:val="auto"/>
              </w:rPr>
            </w:pPr>
          </w:p>
        </w:tc>
      </w:tr>
      <w:tr>
        <w:trPr>
          <w:trHeight w:val="162"/>
        </w:trPr>
        <w:tc>
          <w:tcPr>
            <w:tcW w:w="7040" w:type="dxa"/>
            <w:vAlign w:val="bottom"/>
          </w:tcPr>
          <w:p>
            <w:pPr>
              <w:ind w:left="580"/>
              <w:spacing w:after="0"/>
              <w:rPr>
                <w:sz w:val="20"/>
                <w:szCs w:val="20"/>
                <w:color w:val="auto"/>
              </w:rPr>
            </w:pPr>
            <w:r>
              <w:rPr>
                <w:rFonts w:ascii="Arial" w:cs="Arial" w:eastAsia="Arial" w:hAnsi="Arial"/>
                <w:sz w:val="14"/>
                <w:szCs w:val="14"/>
                <w:color w:val="auto"/>
              </w:rPr>
              <w:t>Accounts receivable</w:t>
            </w: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(3,617)</w:t>
            </w: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(13,626)</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(12,580)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(5,636)</w:t>
            </w:r>
          </w:p>
        </w:tc>
        <w:tc>
          <w:tcPr>
            <w:tcW w:w="0" w:type="dxa"/>
            <w:vAlign w:val="bottom"/>
          </w:tcPr>
          <w:p>
            <w:pPr>
              <w:spacing w:after="0"/>
              <w:rPr>
                <w:sz w:val="1"/>
                <w:szCs w:val="1"/>
                <w:color w:val="auto"/>
              </w:rPr>
            </w:pPr>
          </w:p>
        </w:tc>
      </w:tr>
      <w:tr>
        <w:trPr>
          <w:trHeight w:val="162"/>
        </w:trPr>
        <w:tc>
          <w:tcPr>
            <w:tcW w:w="70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Commissions receivable</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(3,772)</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(9,166)</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(9,353)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(11,014)</w:t>
            </w:r>
          </w:p>
        </w:tc>
        <w:tc>
          <w:tcPr>
            <w:tcW w:w="0" w:type="dxa"/>
            <w:vAlign w:val="bottom"/>
          </w:tcPr>
          <w:p>
            <w:pPr>
              <w:spacing w:after="0"/>
              <w:rPr>
                <w:sz w:val="1"/>
                <w:szCs w:val="1"/>
                <w:color w:val="auto"/>
              </w:rPr>
            </w:pPr>
          </w:p>
        </w:tc>
      </w:tr>
      <w:tr>
        <w:trPr>
          <w:trHeight w:val="162"/>
        </w:trPr>
        <w:tc>
          <w:tcPr>
            <w:tcW w:w="7040" w:type="dxa"/>
            <w:vAlign w:val="bottom"/>
          </w:tcPr>
          <w:p>
            <w:pPr>
              <w:ind w:left="580"/>
              <w:spacing w:after="0"/>
              <w:rPr>
                <w:sz w:val="20"/>
                <w:szCs w:val="20"/>
                <w:color w:val="auto"/>
              </w:rPr>
            </w:pPr>
            <w:r>
              <w:rPr>
                <w:rFonts w:ascii="Arial" w:cs="Arial" w:eastAsia="Arial" w:hAnsi="Arial"/>
                <w:sz w:val="14"/>
                <w:szCs w:val="14"/>
                <w:color w:val="auto"/>
              </w:rPr>
              <w:t>Long-term commissions receivable</w:t>
            </w: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(29,055)</w:t>
            </w: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(53,851)</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(39,355)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(35,507)</w:t>
            </w:r>
          </w:p>
        </w:tc>
        <w:tc>
          <w:tcPr>
            <w:tcW w:w="0" w:type="dxa"/>
            <w:vAlign w:val="bottom"/>
          </w:tcPr>
          <w:p>
            <w:pPr>
              <w:spacing w:after="0"/>
              <w:rPr>
                <w:sz w:val="1"/>
                <w:szCs w:val="1"/>
                <w:color w:val="auto"/>
              </w:rPr>
            </w:pPr>
          </w:p>
        </w:tc>
      </w:tr>
      <w:tr>
        <w:trPr>
          <w:trHeight w:val="162"/>
        </w:trPr>
        <w:tc>
          <w:tcPr>
            <w:tcW w:w="70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1,861</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7,298</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2,475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10,517</w:t>
            </w:r>
          </w:p>
        </w:tc>
        <w:tc>
          <w:tcPr>
            <w:tcW w:w="0" w:type="dxa"/>
            <w:vAlign w:val="bottom"/>
          </w:tcPr>
          <w:p>
            <w:pPr>
              <w:spacing w:after="0"/>
              <w:rPr>
                <w:sz w:val="1"/>
                <w:szCs w:val="1"/>
                <w:color w:val="auto"/>
              </w:rPr>
            </w:pPr>
          </w:p>
        </w:tc>
      </w:tr>
      <w:tr>
        <w:trPr>
          <w:trHeight w:val="162"/>
        </w:trPr>
        <w:tc>
          <w:tcPr>
            <w:tcW w:w="7040" w:type="dxa"/>
            <w:vAlign w:val="bottom"/>
          </w:tcPr>
          <w:p>
            <w:pPr>
              <w:ind w:left="580"/>
              <w:spacing w:after="0"/>
              <w:rPr>
                <w:sz w:val="20"/>
                <w:szCs w:val="20"/>
                <w:color w:val="auto"/>
              </w:rPr>
            </w:pPr>
            <w:r>
              <w:rPr>
                <w:rFonts w:ascii="Arial" w:cs="Arial" w:eastAsia="Arial" w:hAnsi="Arial"/>
                <w:sz w:val="14"/>
                <w:szCs w:val="14"/>
                <w:color w:val="auto"/>
              </w:rPr>
              <w:t>Other current liabilities</w:t>
            </w: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(8,344)</w:t>
            </w: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12,378</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4,663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(12,220)</w:t>
            </w:r>
          </w:p>
        </w:tc>
        <w:tc>
          <w:tcPr>
            <w:tcW w:w="0" w:type="dxa"/>
            <w:vAlign w:val="bottom"/>
          </w:tcPr>
          <w:p>
            <w:pPr>
              <w:spacing w:after="0"/>
              <w:rPr>
                <w:sz w:val="1"/>
                <w:szCs w:val="1"/>
                <w:color w:val="auto"/>
              </w:rPr>
            </w:pPr>
          </w:p>
        </w:tc>
      </w:tr>
      <w:tr>
        <w:trPr>
          <w:trHeight w:val="162"/>
        </w:trPr>
        <w:tc>
          <w:tcPr>
            <w:tcW w:w="70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Other long-term liabilities</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2,500</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4"/>
                <w:szCs w:val="14"/>
                <w:color w:val="auto"/>
              </w:rPr>
              <w:t>Net cash provided by (used in) operating activities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(37,124)</w:t>
            </w: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(10,908)</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(13,072)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31,281</w:t>
            </w:r>
          </w:p>
        </w:tc>
        <w:tc>
          <w:tcPr>
            <w:tcW w:w="0" w:type="dxa"/>
            <w:vAlign w:val="bottom"/>
          </w:tcPr>
          <w:p>
            <w:pPr>
              <w:spacing w:after="0"/>
              <w:rPr>
                <w:sz w:val="1"/>
                <w:szCs w:val="1"/>
                <w:color w:val="auto"/>
              </w:rPr>
            </w:pPr>
          </w:p>
        </w:tc>
      </w:tr>
      <w:tr>
        <w:trPr>
          <w:trHeight w:val="115"/>
        </w:trPr>
        <w:tc>
          <w:tcPr>
            <w:tcW w:w="70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Purchase of property and equipment</w:t>
            </w: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(323)</w:t>
            </w: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(776)</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(534)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(1,101)</w:t>
            </w:r>
          </w:p>
        </w:tc>
        <w:tc>
          <w:tcPr>
            <w:tcW w:w="0" w:type="dxa"/>
            <w:vAlign w:val="bottom"/>
          </w:tcPr>
          <w:p>
            <w:pPr>
              <w:spacing w:after="0"/>
              <w:rPr>
                <w:sz w:val="1"/>
                <w:szCs w:val="1"/>
                <w:color w:val="auto"/>
              </w:rPr>
            </w:pPr>
          </w:p>
        </w:tc>
      </w:tr>
      <w:tr>
        <w:trPr>
          <w:trHeight w:val="162"/>
        </w:trPr>
        <w:tc>
          <w:tcPr>
            <w:tcW w:w="7040" w:type="dxa"/>
            <w:vAlign w:val="bottom"/>
            <w:shd w:val="clear" w:color="auto" w:fill="CCEEFF"/>
          </w:tcPr>
          <w:p>
            <w:pPr>
              <w:spacing w:after="0"/>
              <w:rPr>
                <w:sz w:val="20"/>
                <w:szCs w:val="20"/>
                <w:color w:val="auto"/>
              </w:rPr>
            </w:pPr>
            <w:r>
              <w:rPr>
                <w:rFonts w:ascii="Arial" w:cs="Arial" w:eastAsia="Arial" w:hAnsi="Arial"/>
                <w:sz w:val="14"/>
                <w:szCs w:val="14"/>
                <w:color w:val="auto"/>
              </w:rPr>
              <w:t>Purchase of domain name</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(250)</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Purchase of investments</w:t>
            </w: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(154,196)</w:t>
            </w: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(154,675)</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(107,571)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(52,509)</w:t>
            </w:r>
          </w:p>
        </w:tc>
        <w:tc>
          <w:tcPr>
            <w:tcW w:w="0" w:type="dxa"/>
            <w:vAlign w:val="bottom"/>
          </w:tcPr>
          <w:p>
            <w:pPr>
              <w:spacing w:after="0"/>
              <w:rPr>
                <w:sz w:val="1"/>
                <w:szCs w:val="1"/>
                <w:color w:val="auto"/>
              </w:rPr>
            </w:pPr>
          </w:p>
        </w:tc>
      </w:tr>
      <w:tr>
        <w:trPr>
          <w:trHeight w:val="162"/>
        </w:trPr>
        <w:tc>
          <w:tcPr>
            <w:tcW w:w="7040" w:type="dxa"/>
            <w:vAlign w:val="bottom"/>
            <w:shd w:val="clear" w:color="auto" w:fill="CCEEFF"/>
          </w:tcPr>
          <w:p>
            <w:pPr>
              <w:spacing w:after="0"/>
              <w:rPr>
                <w:sz w:val="20"/>
                <w:szCs w:val="20"/>
                <w:color w:val="auto"/>
              </w:rPr>
            </w:pPr>
            <w:r>
              <w:rPr>
                <w:rFonts w:ascii="Arial" w:cs="Arial" w:eastAsia="Arial" w:hAnsi="Arial"/>
                <w:sz w:val="14"/>
                <w:szCs w:val="14"/>
                <w:color w:val="auto"/>
              </w:rPr>
              <w:t>Proceeds from maturity of investments</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140,008</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145,003</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109,023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79,870</w:t>
            </w:r>
          </w:p>
        </w:tc>
        <w:tc>
          <w:tcPr>
            <w:tcW w:w="0" w:type="dxa"/>
            <w:vAlign w:val="bottom"/>
          </w:tcPr>
          <w:p>
            <w:pPr>
              <w:spacing w:after="0"/>
              <w:rPr>
                <w:sz w:val="1"/>
                <w:szCs w:val="1"/>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Sales of investments</w:t>
            </w: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9,937</w:t>
            </w: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13,360</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13,359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40" w:type="dxa"/>
            <w:vAlign w:val="bottom"/>
            <w:shd w:val="clear" w:color="auto" w:fill="CCEEFF"/>
          </w:tcPr>
          <w:p>
            <w:pPr>
              <w:spacing w:after="0"/>
              <w:rPr>
                <w:sz w:val="20"/>
                <w:szCs w:val="20"/>
                <w:color w:val="auto"/>
              </w:rPr>
            </w:pPr>
            <w:r>
              <w:rPr>
                <w:rFonts w:ascii="Arial" w:cs="Arial" w:eastAsia="Arial" w:hAnsi="Arial"/>
                <w:sz w:val="14"/>
                <w:szCs w:val="14"/>
                <w:color w:val="auto"/>
              </w:rPr>
              <w:t>Investment in software development costs</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(4,585)</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(3,558)</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(2,748)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(3,145)</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4"/>
                <w:szCs w:val="14"/>
                <w:color w:val="auto"/>
              </w:rPr>
              <w:t>Net cash provided by (used in) investing activities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(9,159)</w:t>
            </w: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(896)</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11,279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23,115</w:t>
            </w:r>
          </w:p>
        </w:tc>
        <w:tc>
          <w:tcPr>
            <w:tcW w:w="0" w:type="dxa"/>
            <w:vAlign w:val="bottom"/>
          </w:tcPr>
          <w:p>
            <w:pPr>
              <w:spacing w:after="0"/>
              <w:rPr>
                <w:sz w:val="1"/>
                <w:szCs w:val="1"/>
                <w:color w:val="auto"/>
              </w:rPr>
            </w:pPr>
          </w:p>
        </w:tc>
      </w:tr>
      <w:tr>
        <w:trPr>
          <w:trHeight w:val="115"/>
        </w:trPr>
        <w:tc>
          <w:tcPr>
            <w:tcW w:w="70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Proceeds from liabilities related to sale of commissions receivable</w:t>
            </w: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23,550</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62"/>
        </w:trPr>
        <w:tc>
          <w:tcPr>
            <w:tcW w:w="7040" w:type="dxa"/>
            <w:vAlign w:val="bottom"/>
            <w:shd w:val="clear" w:color="auto" w:fill="CCEEFF"/>
          </w:tcPr>
          <w:p>
            <w:pPr>
              <w:spacing w:after="0"/>
              <w:rPr>
                <w:sz w:val="20"/>
                <w:szCs w:val="20"/>
                <w:color w:val="auto"/>
              </w:rPr>
            </w:pPr>
            <w:r>
              <w:rPr>
                <w:rFonts w:ascii="Arial" w:cs="Arial" w:eastAsia="Arial" w:hAnsi="Arial"/>
                <w:sz w:val="14"/>
                <w:szCs w:val="14"/>
                <w:color w:val="auto"/>
              </w:rPr>
              <w:t>Repayment of liabilities related to sale of commissions receivable</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(1,973)</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(1,902)</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(1,440)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(7,802)</w:t>
            </w:r>
          </w:p>
        </w:tc>
        <w:tc>
          <w:tcPr>
            <w:tcW w:w="0" w:type="dxa"/>
            <w:vAlign w:val="bottom"/>
          </w:tcPr>
          <w:p>
            <w:pPr>
              <w:spacing w:after="0"/>
              <w:rPr>
                <w:sz w:val="1"/>
                <w:szCs w:val="1"/>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Proceeds from exercise of stock options</w:t>
            </w: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331</w:t>
            </w: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209</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204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162"/>
        </w:trPr>
        <w:tc>
          <w:tcPr>
            <w:tcW w:w="7040" w:type="dxa"/>
            <w:vAlign w:val="bottom"/>
            <w:shd w:val="clear" w:color="auto" w:fill="CCEEFF"/>
          </w:tcPr>
          <w:p>
            <w:pPr>
              <w:spacing w:after="0"/>
              <w:rPr>
                <w:sz w:val="20"/>
                <w:szCs w:val="20"/>
                <w:color w:val="auto"/>
              </w:rPr>
            </w:pPr>
            <w:r>
              <w:rPr>
                <w:rFonts w:ascii="Arial" w:cs="Arial" w:eastAsia="Arial" w:hAnsi="Arial"/>
                <w:sz w:val="14"/>
                <w:szCs w:val="14"/>
                <w:color w:val="auto"/>
              </w:rPr>
              <w:t>Payment of deferred offering costs</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(3,175)</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4"/>
                <w:szCs w:val="14"/>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(1,642)</w:t>
            </w: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21,857</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(1,236)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(5,183)</w:t>
            </w:r>
          </w:p>
        </w:tc>
        <w:tc>
          <w:tcPr>
            <w:tcW w:w="0" w:type="dxa"/>
            <w:vAlign w:val="bottom"/>
          </w:tcPr>
          <w:p>
            <w:pPr>
              <w:spacing w:after="0"/>
              <w:rPr>
                <w:sz w:val="1"/>
                <w:szCs w:val="1"/>
                <w:color w:val="auto"/>
              </w:rPr>
            </w:pPr>
          </w:p>
        </w:tc>
      </w:tr>
      <w:tr>
        <w:trPr>
          <w:trHeight w:val="115"/>
        </w:trPr>
        <w:tc>
          <w:tcPr>
            <w:tcW w:w="70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CEEFF"/>
          </w:tcPr>
          <w:p>
            <w:pPr>
              <w:spacing w:after="0"/>
              <w:rPr>
                <w:sz w:val="20"/>
                <w:szCs w:val="20"/>
                <w:color w:val="auto"/>
              </w:rPr>
            </w:pPr>
            <w:r>
              <w:rPr>
                <w:rFonts w:ascii="Arial" w:cs="Arial" w:eastAsia="Arial" w:hAnsi="Arial"/>
                <w:sz w:val="14"/>
                <w:szCs w:val="14"/>
                <w:color w:val="auto"/>
              </w:rPr>
              <w:t>Net increase (decrease) in cash and cash equivalents</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(47,925)</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10,053</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(3,029)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49,213</w:t>
            </w:r>
          </w:p>
        </w:tc>
        <w:tc>
          <w:tcPr>
            <w:tcW w:w="0" w:type="dxa"/>
            <w:vAlign w:val="bottom"/>
          </w:tcPr>
          <w:p>
            <w:pPr>
              <w:spacing w:after="0"/>
              <w:rPr>
                <w:sz w:val="1"/>
                <w:szCs w:val="1"/>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Effect of exchange rates on cash</w:t>
            </w: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704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beginning of period</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72,947</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25,020</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25,020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35,075</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4"/>
                <w:szCs w:val="14"/>
                <w:color w:val="auto"/>
              </w:rPr>
              <w:t>Cash and cash equivalents, end of period</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4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25,020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35,075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21,993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84,269</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40" w:type="dxa"/>
            <w:vAlign w:val="bottom"/>
            <w:shd w:val="clear" w:color="auto" w:fill="CCEEFF"/>
          </w:tcPr>
          <w:p>
            <w:pPr>
              <w:ind w:left="280"/>
              <w:spacing w:after="0" w:line="156" w:lineRule="exact"/>
              <w:rPr>
                <w:sz w:val="20"/>
                <w:szCs w:val="20"/>
                <w:color w:val="auto"/>
              </w:rPr>
            </w:pPr>
            <w:r>
              <w:rPr>
                <w:rFonts w:ascii="Arial" w:cs="Arial" w:eastAsia="Arial" w:hAnsi="Arial"/>
                <w:sz w:val="14"/>
                <w:szCs w:val="14"/>
                <w:color w:val="auto"/>
              </w:rPr>
              <w:t>Supplemental disclosure of non-cash items:</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40" w:type="dxa"/>
            <w:vAlign w:val="bottom"/>
          </w:tcPr>
          <w:p>
            <w:pPr>
              <w:ind w:left="280"/>
              <w:spacing w:after="0"/>
              <w:rPr>
                <w:sz w:val="20"/>
                <w:szCs w:val="20"/>
                <w:color w:val="auto"/>
              </w:rPr>
            </w:pPr>
            <w:r>
              <w:rPr>
                <w:rFonts w:ascii="Arial" w:cs="Arial" w:eastAsia="Arial" w:hAnsi="Arial"/>
                <w:sz w:val="14"/>
                <w:szCs w:val="14"/>
                <w:color w:val="auto"/>
              </w:rPr>
              <w:t>Capitalized property and equipment costs in accounts payable at year end</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74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44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103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7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paid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487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517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1,625</w:t>
            </w:r>
          </w:p>
        </w:tc>
        <w:tc>
          <w:tcPr>
            <w:tcW w:w="0" w:type="dxa"/>
            <w:vAlign w:val="bottom"/>
          </w:tcPr>
          <w:p>
            <w:pPr>
              <w:spacing w:after="0"/>
              <w:rPr>
                <w:sz w:val="1"/>
                <w:szCs w:val="1"/>
                <w:color w:val="auto"/>
              </w:rPr>
            </w:pPr>
          </w:p>
        </w:tc>
      </w:tr>
      <w:tr>
        <w:trPr>
          <w:trHeight w:val="162"/>
        </w:trPr>
        <w:tc>
          <w:tcPr>
            <w:tcW w:w="7040" w:type="dxa"/>
            <w:vAlign w:val="bottom"/>
          </w:tcPr>
          <w:p>
            <w:pPr>
              <w:ind w:left="280"/>
              <w:spacing w:after="0"/>
              <w:rPr>
                <w:sz w:val="20"/>
                <w:szCs w:val="20"/>
                <w:color w:val="auto"/>
              </w:rPr>
            </w:pPr>
            <w:r>
              <w:rPr>
                <w:rFonts w:ascii="Arial" w:cs="Arial" w:eastAsia="Arial" w:hAnsi="Arial"/>
                <w:sz w:val="14"/>
                <w:szCs w:val="14"/>
                <w:color w:val="auto"/>
              </w:rPr>
              <w:t>Operating lease liabilities arising from obtaining operating lease right-of-use assets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1,090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2,663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162"/>
        </w:trPr>
        <w:tc>
          <w:tcPr>
            <w:tcW w:w="7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 capitalized as software development costs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227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143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62"/>
        </w:trPr>
        <w:tc>
          <w:tcPr>
            <w:tcW w:w="7040" w:type="dxa"/>
            <w:vAlign w:val="bottom"/>
          </w:tcPr>
          <w:p>
            <w:pPr>
              <w:ind w:left="280"/>
              <w:spacing w:after="0"/>
              <w:rPr>
                <w:sz w:val="20"/>
                <w:szCs w:val="20"/>
                <w:color w:val="auto"/>
              </w:rPr>
            </w:pPr>
            <w:r>
              <w:rPr>
                <w:rFonts w:ascii="Arial" w:cs="Arial" w:eastAsia="Arial" w:hAnsi="Arial"/>
                <w:sz w:val="14"/>
                <w:szCs w:val="14"/>
                <w:color w:val="auto"/>
              </w:rPr>
              <w:t>Deferred offering costs in accounts payable and accrued expenses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2,926</w:t>
            </w:r>
          </w:p>
        </w:tc>
        <w:tc>
          <w:tcPr>
            <w:tcW w:w="0" w:type="dxa"/>
            <w:vAlign w:val="bottom"/>
          </w:tcPr>
          <w:p>
            <w:pPr>
              <w:spacing w:after="0"/>
              <w:rPr>
                <w:sz w:val="1"/>
                <w:szCs w:val="1"/>
                <w:color w:val="auto"/>
              </w:rPr>
            </w:pPr>
          </w:p>
        </w:tc>
      </w:tr>
      <w:tr>
        <w:trPr>
          <w:trHeight w:val="162"/>
        </w:trPr>
        <w:tc>
          <w:tcPr>
            <w:tcW w:w="7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Amounts related to the sale of commissions receivable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5,000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accompanying notes.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5" w:right="4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color w:val="auto"/>
        </w:rPr>
        <w:t>(In Thousands, Except Per Share Data)</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w:t>
      </w:r>
    </w:p>
    <w:p>
      <w:pPr>
        <w:spacing w:after="0" w:line="10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Ethos Technologies Inc., a Delaware corporation, and its wholly owned subsidiaries (collectively referred to as the Company) is a technology-driven, direct-to-consumer platform that makes life insurance accessible and easy to apply for. Through its advanced digital underwriting, data analytics, and proprietary technology, the Company provides a streamlined process for consumers to explore, compare, and purchase life insurance policies entirely online. The Company contracts with top-rated insurance carriers to offer life insurance to families throughout the United States through the use of multi-channel marketing and advertising campaigns and independent third-party agents. The Company is a licensed agent in 49 states and serves as a third-party administrator (TPA). The streamlined application process is achieved through the Company’s full stack technology and predictive modeling platform which simplifies and automates the underwriting process allowing families to obtain same-day coverage. The Company primarily earns revenue in the form of commission payments from the contracted insurance carriers. Commission payments are received both when the initial policy is sold (first year) and when the underlying policyholder renews their policy in subsequent years.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04"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The Company’s consolidated financial statements were prepared in conformity with accounting principles generally accepted in the United States of America (GAAP). The accompanying consolidated financial statements include the wholly owned subsidiary, Ethos Singapore Pte Ltd (Ethos SGP), the wholly owned subsidiary, Ethos Estate Planning, LLC, and the wholly owned subsidiary, Ethos Life Technologies (India) Pvt. Ltd (Ethos India). All intercompany accounts and transactions have been eliminated.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Consolidated Financial Statements</w:t>
      </w:r>
    </w:p>
    <w:p>
      <w:pPr>
        <w:spacing w:after="0" w:line="104" w:lineRule="exact"/>
        <w:rPr>
          <w:sz w:val="20"/>
          <w:szCs w:val="20"/>
          <w:color w:val="auto"/>
        </w:rPr>
      </w:pPr>
    </w:p>
    <w:p>
      <w:pPr>
        <w:ind w:left="120" w:right="200" w:firstLine="551"/>
        <w:spacing w:after="0" w:line="247" w:lineRule="auto"/>
        <w:rPr>
          <w:sz w:val="20"/>
          <w:szCs w:val="20"/>
          <w:color w:val="auto"/>
        </w:rPr>
      </w:pPr>
      <w:r>
        <w:rPr>
          <w:rFonts w:ascii="Arial" w:cs="Arial" w:eastAsia="Arial" w:hAnsi="Arial"/>
          <w:sz w:val="18"/>
          <w:szCs w:val="18"/>
          <w:color w:val="auto"/>
        </w:rPr>
        <w:t>The accompanying interim consolidated balance sheet as of September 30, 2025, the consolidated statements of operations and comprehensive income (loss), consolidated statements of redeemable convertible preferred stock and stockholders’ deficit, and consolidated statements of cash flows for the nine months ended September 30, 2024 and 2025, and the related notes to such interim consolidated financial statements are unaudited.</w:t>
      </w:r>
    </w:p>
    <w:p>
      <w:pPr>
        <w:spacing w:after="0" w:line="17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These unaudited interim consolidated financial statements are presented in accordance with the rules and regulations of the U.S. Securities and Exchange Commission (SEC) and do not include all disclosures normally required in annual consolidated financial statements prepared in accordance with GAAP. Certain information and note disclosures normally included in the consolidated financial statements prepared in accordance with GAAP have been omitted. In the opinion of management, the interim consolidated financial statements reflect all adjustments, consisting of normal recurring adjustments, necessary for a fair presentation of the Company’s financial position for the periods presented. The results for the interim periods presented are not necessarily indicative of future results.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Reverse Stock Split</w:t>
      </w:r>
    </w:p>
    <w:p>
      <w:pPr>
        <w:spacing w:after="0" w:line="104"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On September 25, 2025, a seven-for-one reverse stock split of the Company’s redeemable convertible preferred stock, common stock, stock options, restricted stock units, and common stock warrants was effected without any changes to the par value. All information related to the Company’s redeemable convertible preferred stock, common stock, stock options, restricted stock units, and</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5" w:right="47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common stock warrants, as well as all per share data included in these financial statements have been retrospectively adjusted to reflect the seven-for-one reverse stock split for all periods presented.</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preparation of consolidated financial statements in conformity with GAAP requires management to make certain estimates, judgments, and assumptions that affect the reported amounts of assets and liabilities and the related disclosures at the date of the financial statements, as well as the reported amounts of revenue and expenses during the periods presented. These estimates, judgments and assumptions take into account historical and forward-looking factors that the Company believes are reasonable. Significant items subject to such estimates, judgments, and assumptions include revenue recognition, commissions receivable, liabilities related to sale of commissions receivable, website and software development costs, stock-based compensation, and income taxes. To the extent there are material differences between these estimates, judgments, or assumptions and actual results, the Company’s consolidated financial statements will be affected.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04"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Cash includes demand deposits with banks or financial institutions. Cash equivalents include short-term, highly liquid investments that are both readily convertible to known amounts of cash, and that are so near their maturity that they present minimal risk of changes in value because of changes in interest rates. The Company’s cash equivalents include only investments with original maturities of three months or less. The Company regularly maintains cash in excess of federally insured limits at financial institutions.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Marketable Securities</w:t>
      </w:r>
    </w:p>
    <w:p>
      <w:pPr>
        <w:spacing w:after="0" w:line="104" w:lineRule="exact"/>
        <w:rPr>
          <w:sz w:val="20"/>
          <w:szCs w:val="20"/>
          <w:color w:val="auto"/>
        </w:rPr>
      </w:pPr>
    </w:p>
    <w:p>
      <w:pPr>
        <w:ind w:left="120" w:right="180" w:firstLine="551"/>
        <w:spacing w:after="0" w:line="244" w:lineRule="auto"/>
        <w:rPr>
          <w:sz w:val="20"/>
          <w:szCs w:val="20"/>
          <w:color w:val="auto"/>
        </w:rPr>
      </w:pPr>
      <w:r>
        <w:rPr>
          <w:rFonts w:ascii="Arial" w:cs="Arial" w:eastAsia="Arial" w:hAnsi="Arial"/>
          <w:sz w:val="18"/>
          <w:szCs w:val="18"/>
          <w:color w:val="auto"/>
        </w:rPr>
        <w:t>Marketable securities consist primarily of commercial paper and investment grade debt securities. The Company invests in a diversified portfolio of marketable securities and limits the concentration of its investment in any particular security. Marketable securities with original maturities of three months or less are included in cash and cash equivalents, marketable securities with original maturities greater than three months, but less than one year, are included in short term investments, and marketable securities with maturities greater than one year, are included in long term investments in the consolidated balance sheets.</w:t>
      </w:r>
    </w:p>
    <w:p>
      <w:pPr>
        <w:spacing w:after="0" w:line="176" w:lineRule="exact"/>
        <w:rPr>
          <w:sz w:val="20"/>
          <w:szCs w:val="20"/>
          <w:color w:val="auto"/>
        </w:rPr>
      </w:pPr>
    </w:p>
    <w:p>
      <w:pPr>
        <w:ind w:left="120" w:right="400" w:firstLine="551"/>
        <w:spacing w:after="0" w:line="244" w:lineRule="auto"/>
        <w:rPr>
          <w:sz w:val="20"/>
          <w:szCs w:val="20"/>
          <w:color w:val="auto"/>
        </w:rPr>
      </w:pPr>
      <w:r>
        <w:rPr>
          <w:rFonts w:ascii="Arial" w:cs="Arial" w:eastAsia="Arial" w:hAnsi="Arial"/>
          <w:sz w:val="18"/>
          <w:szCs w:val="18"/>
          <w:color w:val="auto"/>
        </w:rPr>
        <w:t>The Company determines the appropriate classification of its investments in marketable securities at the time of purchase and reevaluates such designation at each balance sheet date. The Company has classified and accounted for its marketable securities as available-for-sale. The investments are adjusted for amortization of premiums and discounts to maturity. After consideration of the Company’s capital preservation objectives, as well as its liquidity requirements, the Company may sell securities prior to their stated maturities.</w:t>
      </w:r>
    </w:p>
    <w:p>
      <w:pPr>
        <w:spacing w:after="0" w:line="176"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color w:val="auto"/>
        </w:rPr>
        <w:t>If an available-for-sale debt security’s fair value declines below its amortized cost basis, the Company evaluates whether it intends to sell the security, or whether it more-likely-than-not will be required to sell the security before the recovery of its amortized cost basis. If either condition is met, the Company records an allowance for credit loss on the security. If neither condition is met, the Company evaluates whether the decline is the result of credit-related factors, in which case the Company records the credit-related portion of the allowance for credit loss. There was no allowance for credit loss for the years ended December 31, 2023 and 2024, and nine months ended September 30, 2024 and 2025 (unaudited).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04" w:lineRule="exact"/>
        <w:rPr>
          <w:sz w:val="20"/>
          <w:szCs w:val="20"/>
          <w:color w:val="auto"/>
        </w:rPr>
      </w:pPr>
    </w:p>
    <w:p>
      <w:pPr>
        <w:ind w:left="120" w:right="40" w:firstLine="551"/>
        <w:spacing w:after="0" w:line="266" w:lineRule="auto"/>
        <w:rPr>
          <w:sz w:val="20"/>
          <w:szCs w:val="20"/>
          <w:color w:val="auto"/>
        </w:rPr>
      </w:pPr>
      <w:r>
        <w:rPr>
          <w:rFonts w:ascii="Arial" w:cs="Arial" w:eastAsia="Arial" w:hAnsi="Arial"/>
          <w:sz w:val="17"/>
          <w:szCs w:val="17"/>
          <w:color w:val="auto"/>
        </w:rPr>
        <w:t>Accumulated other comprehensive loss consists of foreign currency translation adjustments and unrealized gain (loss) on marketable securities. The financial statements of the Company’s foreign subsidiaries are translated from their functional currency into U.S. dollars. Assets and liabilities are translated at period end rates of exchange, and revenue and expenses are translated using average rates of exchange. The resulting gain or loss is included in accumulated other comprehensive loss in the consolidated balance sheets.</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Equipment, Net</w:t>
      </w:r>
    </w:p>
    <w:p>
      <w:pPr>
        <w:spacing w:after="0" w:line="104" w:lineRule="exact"/>
        <w:rPr>
          <w:sz w:val="20"/>
          <w:szCs w:val="20"/>
          <w:color w:val="auto"/>
        </w:rPr>
      </w:pPr>
    </w:p>
    <w:p>
      <w:pPr>
        <w:ind w:left="120" w:right="180" w:firstLine="551"/>
        <w:spacing w:after="0" w:line="271" w:lineRule="auto"/>
        <w:rPr>
          <w:sz w:val="20"/>
          <w:szCs w:val="20"/>
          <w:color w:val="auto"/>
        </w:rPr>
      </w:pPr>
      <w:r>
        <w:rPr>
          <w:rFonts w:ascii="Arial" w:cs="Arial" w:eastAsia="Arial" w:hAnsi="Arial"/>
          <w:sz w:val="18"/>
          <w:szCs w:val="18"/>
          <w:color w:val="auto"/>
        </w:rPr>
        <w:t>Property and equipment are recorded at cost and depreciated using the straight-line method over the estimated useful lives of the related assets. The useful lives are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360" w:type="dxa"/>
            <w:vAlign w:val="bottom"/>
            <w:tcBorders>
              <w:bottom w:val="single" w:sz="8" w:color="CCEEFF"/>
            </w:tcBorders>
          </w:tcPr>
          <w:p>
            <w:pPr>
              <w:spacing w:after="0"/>
              <w:rPr>
                <w:sz w:val="14"/>
                <w:szCs w:val="14"/>
                <w:color w:val="auto"/>
              </w:rPr>
            </w:pP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Estimated Useful Life</w:t>
            </w: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Computer equipment</w:t>
            </w:r>
          </w:p>
        </w:tc>
        <w:tc>
          <w:tcPr>
            <w:tcW w:w="46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2 years</w:t>
            </w: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Developed software</w:t>
            </w:r>
          </w:p>
        </w:tc>
        <w:tc>
          <w:tcPr>
            <w:tcW w:w="4660" w:type="dxa"/>
            <w:vAlign w:val="bottom"/>
          </w:tcPr>
          <w:p>
            <w:pPr>
              <w:jc w:val="center"/>
              <w:spacing w:after="0" w:line="202" w:lineRule="exact"/>
              <w:rPr>
                <w:sz w:val="20"/>
                <w:szCs w:val="20"/>
                <w:color w:val="auto"/>
              </w:rPr>
            </w:pPr>
            <w:r>
              <w:rPr>
                <w:rFonts w:ascii="Arial" w:cs="Arial" w:eastAsia="Arial" w:hAnsi="Arial"/>
                <w:sz w:val="18"/>
                <w:szCs w:val="18"/>
                <w:color w:val="auto"/>
                <w:w w:val="98"/>
              </w:rPr>
              <w:t>3 years</w:t>
            </w: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4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7 years</w:t>
            </w:r>
          </w:p>
        </w:tc>
      </w:tr>
      <w:tr>
        <w:trPr>
          <w:trHeight w:val="239"/>
        </w:trPr>
        <w:tc>
          <w:tcPr>
            <w:tcW w:w="6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660" w:type="dxa"/>
            <w:vAlign w:val="bottom"/>
          </w:tcPr>
          <w:p>
            <w:pPr>
              <w:jc w:val="center"/>
              <w:spacing w:after="0"/>
              <w:rPr>
                <w:sz w:val="20"/>
                <w:szCs w:val="20"/>
                <w:color w:val="auto"/>
              </w:rPr>
            </w:pPr>
            <w:r>
              <w:rPr>
                <w:rFonts w:ascii="Arial" w:cs="Arial" w:eastAsia="Arial" w:hAnsi="Arial"/>
                <w:sz w:val="18"/>
                <w:szCs w:val="18"/>
                <w:color w:val="auto"/>
              </w:rPr>
              <w:t>Shorter of expected useful life or lease term</w:t>
            </w:r>
          </w:p>
        </w:tc>
      </w:tr>
    </w:tbl>
    <w:p>
      <w:pPr>
        <w:spacing w:after="0" w:line="161" w:lineRule="exact"/>
        <w:rPr>
          <w:sz w:val="20"/>
          <w:szCs w:val="20"/>
          <w:color w:val="auto"/>
        </w:rPr>
      </w:pPr>
    </w:p>
    <w:p>
      <w:pPr>
        <w:jc w:val="both"/>
        <w:ind w:left="120" w:right="60" w:firstLine="551"/>
        <w:spacing w:after="0" w:line="253" w:lineRule="auto"/>
        <w:rPr>
          <w:sz w:val="20"/>
          <w:szCs w:val="20"/>
          <w:color w:val="auto"/>
        </w:rPr>
      </w:pPr>
      <w:r>
        <w:rPr>
          <w:rFonts w:ascii="Arial" w:cs="Arial" w:eastAsia="Arial" w:hAnsi="Arial"/>
          <w:sz w:val="18"/>
          <w:szCs w:val="18"/>
          <w:color w:val="auto"/>
        </w:rPr>
        <w:t>Maintenance and repair costs are charged to expenses as incurred. Major improvements, which extend the useful life of the related asset, are capitalized. Upon disposal of a fixed asset, the Company records a gain or loss based on the difference between the proceeds received and the net book value of the disposed asset.</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Accounts Receivable and Commissions Receivable, Net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See Note 3, </w:t>
      </w:r>
      <w:r>
        <w:rPr>
          <w:rFonts w:ascii="Arial" w:cs="Arial" w:eastAsia="Arial" w:hAnsi="Arial"/>
          <w:sz w:val="18"/>
          <w:szCs w:val="18"/>
          <w:i w:val="1"/>
          <w:iCs w:val="1"/>
          <w:color w:val="auto"/>
        </w:rPr>
        <w:t>Revenue</w:t>
      </w:r>
      <w:r>
        <w:rPr>
          <w:rFonts w:ascii="Arial" w:cs="Arial" w:eastAsia="Arial" w:hAnsi="Arial"/>
          <w:sz w:val="18"/>
          <w:szCs w:val="18"/>
          <w:color w:val="auto"/>
        </w:rPr>
        <w:t>, below for a description of the Company’s accounts and commissions receivable accounting policy.</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Advertising Costs</w:t>
      </w:r>
    </w:p>
    <w:p>
      <w:pPr>
        <w:spacing w:after="0" w:line="104"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Advertising costs are generally expensed as incurred in connection with the requisite service period. Certain advertising production costs are capitalized and expensed when the advertisement first takes place. Advertising expenses were approximately $ 55,933 and $63,366 for the years ended December 31, 2023 and 2024, respectively, and approximately $48,650 and $69,533 for the nine months ended September 30, 2024 and 2025 (unaudited), respectively. Advertising costs are recorded in sales and marketing expense in the Company’s consolidated statements of operations.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04" w:lineRule="exact"/>
        <w:rPr>
          <w:sz w:val="20"/>
          <w:szCs w:val="20"/>
          <w:color w:val="auto"/>
        </w:rPr>
      </w:pPr>
    </w:p>
    <w:p>
      <w:pPr>
        <w:ind w:left="120" w:right="60" w:firstLine="551"/>
        <w:spacing w:after="0" w:line="266" w:lineRule="auto"/>
        <w:rPr>
          <w:sz w:val="20"/>
          <w:szCs w:val="20"/>
          <w:color w:val="auto"/>
        </w:rPr>
      </w:pPr>
      <w:r>
        <w:rPr>
          <w:rFonts w:ascii="Arial" w:cs="Arial" w:eastAsia="Arial" w:hAnsi="Arial"/>
          <w:sz w:val="17"/>
          <w:szCs w:val="17"/>
          <w:color w:val="auto"/>
        </w:rPr>
        <w:t>The Company measures compensation expense for all share-based awards based on the estimated fair value of the award on the grant date. The Company’s equity incentive plan provides for the granting of stock options, restricted stock units, and restricted stock awards to employees, consultants, officers, and directors. Stock-based compensation expense is recognized on a straight-line basis over the period during which an employee is required to provide services in exchange for the award (generally the vesting period of the award).</w:t>
      </w:r>
    </w:p>
    <w:p>
      <w:pPr>
        <w:spacing w:after="0" w:line="159" w:lineRule="exact"/>
        <w:rPr>
          <w:sz w:val="20"/>
          <w:szCs w:val="20"/>
          <w:color w:val="auto"/>
        </w:rPr>
      </w:pPr>
    </w:p>
    <w:p>
      <w:pPr>
        <w:ind w:left="120" w:right="220" w:firstLine="551"/>
        <w:spacing w:after="0" w:line="253" w:lineRule="auto"/>
        <w:rPr>
          <w:sz w:val="20"/>
          <w:szCs w:val="20"/>
          <w:color w:val="auto"/>
        </w:rPr>
      </w:pPr>
      <w:r>
        <w:rPr>
          <w:rFonts w:ascii="Arial" w:cs="Arial" w:eastAsia="Arial" w:hAnsi="Arial"/>
          <w:sz w:val="18"/>
          <w:szCs w:val="18"/>
          <w:color w:val="auto"/>
        </w:rPr>
        <w:t>The Company determines the fair value of stock options issued to employees on the date of grant using the Black-Scholes option pricing model which is impacted by the estimated fair value of the Company’s common stock, as well as changes in assumptions regarding a number of highly complex and subjective variables.</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5" w:right="4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1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variables are summarized as follows:</w:t>
      </w:r>
    </w:p>
    <w:p>
      <w:pPr>
        <w:spacing w:after="0" w:line="117" w:lineRule="exact"/>
        <w:rPr>
          <w:sz w:val="20"/>
          <w:szCs w:val="20"/>
          <w:color w:val="auto"/>
        </w:rPr>
      </w:pPr>
    </w:p>
    <w:p>
      <w:pPr>
        <w:ind w:left="880" w:hanging="224"/>
        <w:spacing w:after="0" w:line="237" w:lineRule="auto"/>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 Due to the absence of an active market for the Company’s common stock,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underlying the Company’s share-based awards is determined by the Company’s board of directors, with input from management and the assistance of a third-party valuation firm. Because there is no public market for the Company’s stock, the independent third-party valuations have generally been performed annually in accordance with the guidance outlined in the AICPA Practice Aid, Valuation of Privately-Held-Company Equity Securities Issued as compensation (AICPA’s Practice Aid). In conducting the valuations, the independent third-party valuation specialist considered all objective and subjective factors that it believed to be relevant for each valuation conducted in accordance with AICPA’s Practice Aid, including the price paid by investors for the Company’s common and redeemable convertible preferred stock, actual and forecasted operating and financial performance, market conditions, performance of comparable publicly traded companies and transactions of comparable companies, developments and milestones within the Company, the rights, preferences, and privileges of the Company’s common and redeemable convertible preferred stock, and the likelihood and timing of achieving a liquidity event. In determining the fair value of the Company’s common stock, the fair value of the Company’s business was determined using various valuation methods, including combinations of the income approach (discounted cash flow method) and the market approach (public company market-multiple method) with input from the Company. The income approach involves applying an appropriate risk-adjusted discount rate to projected cash flows based on forecasted revenue and costs. The market approach estimates value based on a comparison of the Company to comparable public companies in a similar line of business.</w:t>
      </w:r>
    </w:p>
    <w:p>
      <w:pPr>
        <w:spacing w:after="0" w:line="186"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From the comparable companies, a representative market-value multiple was determined, which was applied to the Company’s operating results to estimate the enterprise value of the Company. Once the enterprise value was determined under the market approach, the Company derived the equity value of the Company and used the option-pricing model to allocate that value across the various classes of securities to arrive at the fair value of the common stock.</w:t>
      </w:r>
    </w:p>
    <w:p>
      <w:pPr>
        <w:spacing w:after="0" w:line="79" w:lineRule="exact"/>
        <w:rPr>
          <w:sz w:val="20"/>
          <w:szCs w:val="20"/>
          <w:color w:val="auto"/>
        </w:rPr>
      </w:pPr>
    </w:p>
    <w:p>
      <w:pPr>
        <w:ind w:left="880" w:right="220" w:hanging="224"/>
        <w:spacing w:after="0" w:line="247"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Expected volatility is a measure of the amount by which the stock price is expected to fluctuate. Since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does not have sufficient trading history of its common stock, it estimates the expected volatility of its stock options at their grant date by taking the weighted-average historical volatility of a group of comparable publicly traded companies over a period equal to the expected life of the options.</w:t>
      </w:r>
    </w:p>
    <w:p>
      <w:pPr>
        <w:spacing w:after="0" w:line="79" w:lineRule="exact"/>
        <w:rPr>
          <w:rFonts w:ascii="Arial" w:cs="Arial" w:eastAsia="Arial" w:hAnsi="Arial"/>
          <w:sz w:val="18"/>
          <w:szCs w:val="18"/>
          <w:color w:val="auto"/>
        </w:rPr>
      </w:pPr>
    </w:p>
    <w:p>
      <w:pPr>
        <w:ind w:left="880" w:right="60" w:hanging="224"/>
        <w:spacing w:after="0" w:line="242"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Expected term represents the period over which the Company anticipates share-based awards to be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For awards with the standard 90-day exercise period, the Company uses the simplified method to calculate the expected term estimate based on the options’ vesting term and contractual terms. Under the simplified method, the expected life is equal to the average of the share-based award’s weighted-average vesting period and its contractual term. For those awards with an extended post-termination exercise period, the Company calculates the expected term based on the options’ vesting term, tenure of the employee upon grant, and contractual terms.</w:t>
      </w:r>
    </w:p>
    <w:p>
      <w:pPr>
        <w:spacing w:after="0" w:line="84" w:lineRule="exact"/>
        <w:rPr>
          <w:rFonts w:ascii="Arial" w:cs="Arial" w:eastAsia="Arial" w:hAnsi="Arial"/>
          <w:sz w:val="18"/>
          <w:szCs w:val="18"/>
          <w:color w:val="auto"/>
        </w:rPr>
      </w:pPr>
    </w:p>
    <w:p>
      <w:pPr>
        <w:ind w:left="880" w:right="740" w:hanging="224"/>
        <w:spacing w:after="0" w:line="271"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used is based on the implied yield in effect at the time of grant of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securities with maturities similar to the expected term of the stock options.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880" w:right="220" w:hanging="224"/>
        <w:spacing w:after="0" w:line="271" w:lineRule="auto"/>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The dividend yield is zero as the Company has not declared or paid any dividends to date and does</w:t>
      </w:r>
      <w:r>
        <w:rPr>
          <w:rFonts w:ascii="Arial" w:cs="Arial" w:eastAsia="Arial" w:hAnsi="Arial"/>
          <w:sz w:val="18"/>
          <w:szCs w:val="18"/>
          <w:i w:val="1"/>
          <w:iCs w:val="1"/>
          <w:color w:val="auto"/>
        </w:rPr>
        <w:t xml:space="preserve"> </w:t>
      </w:r>
      <w:r>
        <w:rPr>
          <w:rFonts w:ascii="Arial" w:cs="Arial" w:eastAsia="Arial" w:hAnsi="Arial"/>
          <w:sz w:val="18"/>
          <w:szCs w:val="18"/>
          <w:color w:val="auto"/>
        </w:rPr>
        <w:t>not currently expect to do so in the future.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accounts for forfeitures when they occur.</w:t>
      </w:r>
    </w:p>
    <w:p>
      <w:pPr>
        <w:spacing w:after="0" w:line="212"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Stock-Based Compensation,</w:t>
      </w:r>
      <w:r>
        <w:rPr>
          <w:rFonts w:ascii="Arial" w:cs="Arial" w:eastAsia="Arial" w:hAnsi="Arial"/>
          <w:sz w:val="18"/>
          <w:szCs w:val="18"/>
          <w:color w:val="auto"/>
        </w:rPr>
        <w:t xml:space="preserve"> for the weighted-average assumptions used to estimate the fair value of options granted during the years ended December 31, 2023 and 2024, and nine months ended September 30, 2024 and 2025 (unaudited).</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 Warrants</w:t>
      </w:r>
    </w:p>
    <w:p>
      <w:pPr>
        <w:spacing w:after="0" w:line="10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 xml:space="preserve">The Company accounts for warrants as either equity-classified or liability-classified instruments based on an assessment of the warrant’s specific terms and applicable authoritative guidance in Accounting Standards Codification (ASC 480), </w:t>
      </w:r>
      <w:r>
        <w:rPr>
          <w:rFonts w:ascii="Arial" w:cs="Arial" w:eastAsia="Arial" w:hAnsi="Arial"/>
          <w:sz w:val="18"/>
          <w:szCs w:val="18"/>
          <w:i w:val="1"/>
          <w:iCs w:val="1"/>
          <w:color w:val="auto"/>
        </w:rPr>
        <w:t>Distinguishing Liabilities</w:t>
      </w:r>
      <w:r>
        <w:rPr>
          <w:rFonts w:ascii="Arial" w:cs="Arial" w:eastAsia="Arial" w:hAnsi="Arial"/>
          <w:sz w:val="18"/>
          <w:szCs w:val="18"/>
          <w:color w:val="auto"/>
        </w:rPr>
        <w:t xml:space="preserve"> </w:t>
      </w:r>
      <w:r>
        <w:rPr>
          <w:rFonts w:ascii="Arial" w:cs="Arial" w:eastAsia="Arial" w:hAnsi="Arial"/>
          <w:sz w:val="18"/>
          <w:szCs w:val="18"/>
          <w:i w:val="1"/>
          <w:iCs w:val="1"/>
          <w:color w:val="auto"/>
        </w:rPr>
        <w:t>from Equity</w:t>
      </w:r>
      <w:r>
        <w:rPr>
          <w:rFonts w:ascii="Arial" w:cs="Arial" w:eastAsia="Arial" w:hAnsi="Arial"/>
          <w:sz w:val="18"/>
          <w:szCs w:val="18"/>
          <w:color w:val="auto"/>
        </w:rPr>
        <w:t>, and ASC 815,</w:t>
      </w:r>
      <w:r>
        <w:rPr>
          <w:rFonts w:ascii="Arial" w:cs="Arial" w:eastAsia="Arial" w:hAnsi="Arial"/>
          <w:sz w:val="18"/>
          <w:szCs w:val="18"/>
          <w:i w:val="1"/>
          <w:iCs w:val="1"/>
          <w:color w:val="auto"/>
        </w:rPr>
        <w:t xml:space="preserve"> Derivatives and Hedging</w:t>
      </w:r>
      <w:r>
        <w:rPr>
          <w:rFonts w:ascii="Arial" w:cs="Arial" w:eastAsia="Arial" w:hAnsi="Arial"/>
          <w:sz w:val="18"/>
          <w:szCs w:val="18"/>
          <w:color w:val="auto"/>
        </w:rPr>
        <w:t>. The Company has issued common stock warrants which are equity classified and</w:t>
      </w:r>
      <w:r>
        <w:rPr>
          <w:rFonts w:ascii="Arial" w:cs="Arial" w:eastAsia="Arial" w:hAnsi="Arial"/>
          <w:sz w:val="18"/>
          <w:szCs w:val="18"/>
          <w:i w:val="1"/>
          <w:iCs w:val="1"/>
          <w:color w:val="auto"/>
        </w:rPr>
        <w:t xml:space="preserve"> </w:t>
      </w:r>
      <w:r>
        <w:rPr>
          <w:rFonts w:ascii="Arial" w:cs="Arial" w:eastAsia="Arial" w:hAnsi="Arial"/>
          <w:sz w:val="18"/>
          <w:szCs w:val="18"/>
          <w:color w:val="auto"/>
        </w:rPr>
        <w:t>are recorded at fair value upon the issuance. The Company uses the Black-Scholes option-pricing model, which incorporates assumptions and estimates, to value the common stock warrants. Stock volatility is estimated based on the historical volatility of publicly traded peer companies for a term equal to the remaining contractual term of the warrants. The risk-free interest rate is determined by reference to the U.S. Treasury yield curve for time periods approximately equal to the remaining contractual term of the warrants. The dividend yield is estimated at 0% based on the expected dividend yield as the Company does not anticipate paying any cash dividends in the foreseeable future.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 Expense</w:t>
      </w:r>
    </w:p>
    <w:p>
      <w:pPr>
        <w:spacing w:after="0" w:line="104" w:lineRule="exact"/>
        <w:rPr>
          <w:sz w:val="20"/>
          <w:szCs w:val="20"/>
          <w:color w:val="auto"/>
        </w:rPr>
      </w:pPr>
    </w:p>
    <w:p>
      <w:pPr>
        <w:jc w:val="both"/>
        <w:ind w:left="120" w:right="180" w:firstLine="551"/>
        <w:spacing w:after="0" w:line="242" w:lineRule="auto"/>
        <w:rPr>
          <w:sz w:val="20"/>
          <w:szCs w:val="20"/>
          <w:color w:val="auto"/>
        </w:rPr>
      </w:pPr>
      <w:r>
        <w:rPr>
          <w:rFonts w:ascii="Arial" w:cs="Arial" w:eastAsia="Arial" w:hAnsi="Arial"/>
          <w:sz w:val="18"/>
          <w:szCs w:val="18"/>
          <w:color w:val="auto"/>
        </w:rPr>
        <w:t>Income tax expense is determined using the liability method. Under this method, deferred tax assets and liabilities are calculated based upon the temporary differences between the financial statement and income tax bases of assets and liabilities using the enacted tax rates that are applicable in a given year. The utilization of deferred tax assets is limited by the amount of taxable income expected to be generated within the allowable carryforward period and other factors. Management also considers the scheduled reversal of deferred tax liabilities, projected future taxable income, and tax planning strategies in making this assessment. The Company records a valuation allowance to reduce deferred tax assets to the amount management believes is more likely than not to be realized.</w:t>
      </w:r>
    </w:p>
    <w:p>
      <w:pPr>
        <w:spacing w:after="0" w:line="179" w:lineRule="exact"/>
        <w:rPr>
          <w:sz w:val="20"/>
          <w:szCs w:val="20"/>
          <w:color w:val="auto"/>
        </w:rPr>
      </w:pPr>
    </w:p>
    <w:p>
      <w:pPr>
        <w:ind w:left="120" w:right="180" w:firstLine="551"/>
        <w:spacing w:after="0" w:line="242" w:lineRule="auto"/>
        <w:rPr>
          <w:sz w:val="20"/>
          <w:szCs w:val="20"/>
          <w:color w:val="auto"/>
        </w:rPr>
      </w:pPr>
      <w:r>
        <w:rPr>
          <w:rFonts w:ascii="Arial" w:cs="Arial" w:eastAsia="Arial" w:hAnsi="Arial"/>
          <w:sz w:val="18"/>
          <w:szCs w:val="18"/>
          <w:color w:val="auto"/>
        </w:rPr>
        <w:t xml:space="preserve">As of December 31, 2023 and 2024, a valuation allowance of $(50,302) and $(39,699), respectively, was recorded in the Company’s consolidated balance sheets. See Note 14, </w:t>
      </w:r>
      <w:r>
        <w:rPr>
          <w:rFonts w:ascii="Arial" w:cs="Arial" w:eastAsia="Arial" w:hAnsi="Arial"/>
          <w:sz w:val="18"/>
          <w:szCs w:val="18"/>
          <w:i w:val="1"/>
          <w:iCs w:val="1"/>
          <w:color w:val="auto"/>
        </w:rPr>
        <w:t>Income Taxes</w:t>
      </w:r>
      <w:r>
        <w:rPr>
          <w:rFonts w:ascii="Arial" w:cs="Arial" w:eastAsia="Arial" w:hAnsi="Arial"/>
          <w:sz w:val="18"/>
          <w:szCs w:val="18"/>
          <w:color w:val="auto"/>
        </w:rPr>
        <w:t>, for additional information. Adjustments to the valuation allowance are recognized as benefit (expense) in the period in which such determination is made. The calculation of income tax liabilities involves judgment in estimating the impact of uncertainties and complex tax laws. In addition, the Company’s tax returns are subject to audit by various U.S. and foreign tax authorities. Resolution of these uncertainties in a manner inconsistent with our expectations could have a material impact on the Company’s financial position and results of operations.</w:t>
      </w:r>
    </w:p>
    <w:p>
      <w:pPr>
        <w:spacing w:after="0" w:line="179"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The Company utilizes a two-step approach to recognizing and measuring uncertain tax positions (tax contingencies). The first step is to evaluate the tax position for recognition by determining if the weight of available evidence indicates it is more likely than not that the position will be sustained on audit, including resolution of related appeals or litigation processes. The second step is to measure the tax benefit as the largest amount which is more than 50% likely to be realized upon ultimate settlement. The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5" w:right="47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1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right="920"/>
        <w:spacing w:after="0" w:line="271" w:lineRule="auto"/>
        <w:rPr>
          <w:sz w:val="20"/>
          <w:szCs w:val="20"/>
          <w:color w:val="auto"/>
        </w:rPr>
      </w:pPr>
      <w:r>
        <w:rPr>
          <w:rFonts w:ascii="Arial" w:cs="Arial" w:eastAsia="Arial" w:hAnsi="Arial"/>
          <w:sz w:val="18"/>
          <w:szCs w:val="18"/>
          <w:color w:val="auto"/>
        </w:rPr>
        <w:t>Company considers many factors when evaluating and estimating its tax positions and tax benefits, which may require periodic adjustments, and which may not accurately forecast actual outcomes.</w:t>
      </w:r>
    </w:p>
    <w:p>
      <w:pPr>
        <w:spacing w:after="0" w:line="154" w:lineRule="exact"/>
        <w:rPr>
          <w:sz w:val="20"/>
          <w:szCs w:val="20"/>
          <w:color w:val="auto"/>
        </w:rPr>
      </w:pPr>
    </w:p>
    <w:p>
      <w:pPr>
        <w:ind w:left="120" w:right="120" w:firstLine="551"/>
        <w:spacing w:after="0" w:line="253" w:lineRule="auto"/>
        <w:rPr>
          <w:sz w:val="20"/>
          <w:szCs w:val="20"/>
          <w:color w:val="auto"/>
        </w:rPr>
      </w:pPr>
      <w:r>
        <w:rPr>
          <w:rFonts w:ascii="Arial" w:cs="Arial" w:eastAsia="Arial" w:hAnsi="Arial"/>
          <w:sz w:val="18"/>
          <w:szCs w:val="18"/>
          <w:color w:val="auto"/>
        </w:rPr>
        <w:t>The Company includes interest and penalties related to tax contingencies in the provision for income taxes in the consolidated statements of operations. There was no such expense recorded during 2023 and 2024, and nine months ended September 30, 2024 and 2025 (unaudited).</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Intangible assets with finite useful lives are amortized using the straight-line method over their useful lives and are reviewed for impairment. The Company evaluates intangible assets with finite and indefinite useful lives and other long-lived assets for impairment whenever events or circumstances indicate that they may not be recoverable, or at least annually. Recoverability of finite and other long-lived assets is measured by comparing the carrying amount of an asset group to the future undiscounted net cash flows expected to be generated by that asset group. The amount of impairment to be recognized for finite and indefinite-lived intangible assets and other long-lived assets is calculated as the difference between the carrying value and the fair value of the asset group, generally measured by discounting estimated future cash flows. There were no impairment indicators present during the years ended December 31, 2023 and 2024, and nine months ended September 30, 2024 and 2025 (unaudited).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Website and Software Development Costs</w:t>
      </w:r>
    </w:p>
    <w:p>
      <w:pPr>
        <w:spacing w:after="0" w:line="10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costs incurred in the preliminary stages of website and software development are expensed as incurred. Once an application has reached the development stage, internal and external costs, if direct and incremental and deemed by management to be significant, are capitalized and amortized on a straight-line basis over the estimated useful life of the application. Capitalized website and software development costs are included in property and equipment, net in the consolidated balance sheets. Maintenance and enhancement costs, including those costs in the post-implementation stages, are typically expensed as incurred, unless such costs relate to substantial upgrades and enhancements to the website or software that result in added functionality, in which case the costs are capitalized and amortized on a straight-line basis over the estimated remaining useful lives. Amortization expense related to capitalized website and software development costs is included in depreciation and amortization in the consolidated statements of operations. The Company capitalized website and software development costs of $4,585 and $3,558 for the years ended December 31, 2023 and 2024, respectively, and $2,748 and $3,145 for the nine months ended September 30, 2024 and 2025 (unaudited),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w:t>
      </w:r>
    </w:p>
    <w:p>
      <w:pPr>
        <w:spacing w:after="0" w:line="104"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color w:val="auto"/>
        </w:rPr>
        <w:t xml:space="preserve">Accounting standards define fair value as the price that would be received to sell an asset or paid to transfer a liability (an exit price) in the principal or most advantageous market in an orderly transaction between market participants on the measurement date. The standards also establish a fair value hierarchy, which requires an entity to maximize the use of observable inputs and minimize the use of unobservable inputs when measuring fair value. See Note 5,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for details of the fair value hierarchy and the related inputs used by the Company.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Concentration of Credit Risk</w:t>
      </w:r>
    </w:p>
    <w:p>
      <w:pPr>
        <w:spacing w:after="0" w:line="104" w:lineRule="exact"/>
        <w:rPr>
          <w:sz w:val="20"/>
          <w:szCs w:val="20"/>
          <w:color w:val="auto"/>
        </w:rPr>
      </w:pPr>
    </w:p>
    <w:p>
      <w:pPr>
        <w:ind w:left="120" w:right="420" w:firstLine="551"/>
        <w:spacing w:after="0" w:line="271"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accounts and commissions receivable. The Company believes the potential for</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7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collection issues with any of its customers is minimal as of December 31, 2023 and 2024, and as of September 30, 2024 and 2025 (unaudited) based on the lack of collection issues in the past and high financial standards the Company requires of its customers. The Company does not require collateral to secure trade receivable balances. For the year ended December 31, 2023, two insurance carrier customers accounted for 60% and 24% of total revenue. As of December 31, 2023, two insurance carrier customers accounted for 76% and 16% of total accounts and commissions receivable. For the year ended December 31, 2024, three insurance carrier customers accounted for 54%, 25% and 19% of total revenue. As of December 31, 2024, three insurance carrier customers accounted for 63%, 19% and 11% of total accounts and commissions receivable. For the nine months ended September 30, 2024 (unaudited), three insurance carrier customers accounted for 57%, 23% and 18% of total revenue. As of September 30, 2024 (unaudited), two insurance carrier customers accounted for 74% and 15% of total accounts and commissions receivable. For the nine months ended September 30, 2025 (unaudited), three insurance carrier customers accounted for 39%, 34% and 14% of total revenue. As of September 30, 2025 (unaudited), two insurance carrier customers accounted for 73% and 14% of total accounts and commissions receivable.</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Redeemable Convertible Preferred Stock</w:t>
      </w:r>
    </w:p>
    <w:p>
      <w:pPr>
        <w:spacing w:after="0" w:line="10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 xml:space="preserve">The Company applied the guidance in ASC Topic 480-10 -S99-3A, </w:t>
      </w:r>
      <w:r>
        <w:rPr>
          <w:rFonts w:ascii="Arial" w:cs="Arial" w:eastAsia="Arial" w:hAnsi="Arial"/>
          <w:sz w:val="18"/>
          <w:szCs w:val="18"/>
          <w:i w:val="1"/>
          <w:iCs w:val="1"/>
          <w:color w:val="auto"/>
        </w:rPr>
        <w:t>SEC Staff Announcement: Classification and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Redeemable Securities </w:t>
      </w:r>
      <w:r>
        <w:rPr>
          <w:rFonts w:ascii="Arial" w:cs="Arial" w:eastAsia="Arial" w:hAnsi="Arial"/>
          <w:sz w:val="18"/>
          <w:szCs w:val="18"/>
          <w:color w:val="auto"/>
        </w:rPr>
        <w:t>and therefore classified the redeemable convertible preferred stock (Note 12), as temporary equity. The</w:t>
      </w:r>
      <w:r>
        <w:rPr>
          <w:rFonts w:ascii="Arial" w:cs="Arial" w:eastAsia="Arial" w:hAnsi="Arial"/>
          <w:sz w:val="18"/>
          <w:szCs w:val="18"/>
          <w:i w:val="1"/>
          <w:iCs w:val="1"/>
          <w:color w:val="auto"/>
        </w:rPr>
        <w:t xml:space="preserve"> </w:t>
      </w:r>
      <w:r>
        <w:rPr>
          <w:rFonts w:ascii="Arial" w:cs="Arial" w:eastAsia="Arial" w:hAnsi="Arial"/>
          <w:sz w:val="18"/>
          <w:szCs w:val="18"/>
          <w:color w:val="auto"/>
        </w:rPr>
        <w:t>redeemable convertible preferred stock was recorded outside of stockholders’ deficit because it includes a redemption provision upon a change of control, which is a deemed liquidation event that is considered outside the Company’s control. The redeemable convertible preferred stock was recorded at its original issue price, net of issuance costs. The Company did not adjust the carrying values to the liquidation price associated with a change of control because a change of control of the Company was not considered probable at the measurement dates. Subsequent adjustments to increase or decrease the carrying values to their respective liquidation prices were to be made only if and when it became probable that such a change of control will occur.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w:t>
      </w:r>
    </w:p>
    <w:p>
      <w:pPr>
        <w:spacing w:after="0" w:line="104" w:lineRule="exact"/>
        <w:rPr>
          <w:sz w:val="20"/>
          <w:szCs w:val="20"/>
          <w:color w:val="auto"/>
        </w:rPr>
      </w:pPr>
    </w:p>
    <w:p>
      <w:pPr>
        <w:ind w:left="120" w:right="180" w:firstLine="551"/>
        <w:spacing w:after="0" w:line="247" w:lineRule="auto"/>
        <w:rPr>
          <w:sz w:val="20"/>
          <w:szCs w:val="20"/>
          <w:color w:val="auto"/>
        </w:rPr>
      </w:pPr>
      <w:r>
        <w:rPr>
          <w:rFonts w:ascii="Arial" w:cs="Arial" w:eastAsia="Arial" w:hAnsi="Arial"/>
          <w:sz w:val="18"/>
          <w:szCs w:val="18"/>
          <w:color w:val="auto"/>
        </w:rPr>
        <w:t xml:space="preserve">Goodwill represents the future economic benefits arising from assets acquired in a business combination that are not individually identified and separately recognized. Goodwill is tested for impairment at the reporting unit level, which is defined as an operating segment or one level below, and the test is performed annually, or more frequently if circumstances indicate an impairment may have occurred. See Note 16,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for additional information about the Company’s goodwill.</w:t>
      </w:r>
    </w:p>
    <w:p>
      <w:pPr>
        <w:spacing w:after="0" w:line="174" w:lineRule="exact"/>
        <w:rPr>
          <w:sz w:val="20"/>
          <w:szCs w:val="20"/>
          <w:color w:val="auto"/>
        </w:rPr>
      </w:pPr>
    </w:p>
    <w:p>
      <w:pPr>
        <w:ind w:left="120" w:right="80" w:firstLine="551"/>
        <w:spacing w:after="0" w:line="266" w:lineRule="auto"/>
        <w:rPr>
          <w:sz w:val="20"/>
          <w:szCs w:val="20"/>
          <w:color w:val="auto"/>
        </w:rPr>
      </w:pPr>
      <w:r>
        <w:rPr>
          <w:rFonts w:ascii="Arial" w:cs="Arial" w:eastAsia="Arial" w:hAnsi="Arial"/>
          <w:sz w:val="17"/>
          <w:szCs w:val="17"/>
          <w:color w:val="auto"/>
        </w:rPr>
        <w:t>The impairment assessment involves an option to first assess qualitative factors to determine whether events or circumstances exist that lead to a determination that it is more likely than not that the fair value of a reporting unit is less than its carrying amount. If the qualitative assessment is not performed, or after assessing the totality of the events or circumstances, we determine it is more likely than not that the fair value of a reporting unit is less than its carrying amount, a quantitative assessment for potential impairment is performed.</w:t>
      </w:r>
    </w:p>
    <w:p>
      <w:pPr>
        <w:spacing w:after="0" w:line="159" w:lineRule="exact"/>
        <w:rPr>
          <w:sz w:val="20"/>
          <w:szCs w:val="20"/>
          <w:color w:val="auto"/>
        </w:rPr>
      </w:pPr>
    </w:p>
    <w:p>
      <w:pPr>
        <w:ind w:left="120" w:right="320" w:firstLine="551"/>
        <w:spacing w:after="0" w:line="271" w:lineRule="auto"/>
        <w:rPr>
          <w:sz w:val="20"/>
          <w:szCs w:val="20"/>
          <w:color w:val="auto"/>
        </w:rPr>
      </w:pPr>
      <w:r>
        <w:rPr>
          <w:rFonts w:ascii="Arial" w:cs="Arial" w:eastAsia="Arial" w:hAnsi="Arial"/>
          <w:sz w:val="18"/>
          <w:szCs w:val="18"/>
          <w:color w:val="auto"/>
        </w:rPr>
        <w:t>In reviewing goodwill, the Company performed the qualitative assessment, and determined that it is not necessary to perform a more detailed assessment, as it is more likely than not that the fair value of the reporting unit is greater than its carrying amount.</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60"/>
          </w:cols>
          <w:pgMar w:left="320" w:top="455" w:right="51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Recognition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See Note 3,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below for a description of the Company’s revenue recognition policy.</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Liabilities Related to Sale of Commissions Receivable</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 xml:space="preserve">The Company accounts for the sale of future rights to commissions from insurance carriers as debt under ASC 470, </w:t>
      </w:r>
      <w:r>
        <w:rPr>
          <w:rFonts w:ascii="Arial" w:cs="Arial" w:eastAsia="Arial" w:hAnsi="Arial"/>
          <w:sz w:val="18"/>
          <w:szCs w:val="18"/>
          <w:i w:val="1"/>
          <w:iCs w:val="1"/>
          <w:color w:val="auto"/>
        </w:rPr>
        <w:t>Debt</w:t>
      </w:r>
      <w:r>
        <w:rPr>
          <w:rFonts w:ascii="Arial" w:cs="Arial" w:eastAsia="Arial" w:hAnsi="Arial"/>
          <w:sz w:val="18"/>
          <w:szCs w:val="18"/>
          <w:color w:val="auto"/>
        </w:rPr>
        <w:t xml:space="preserve">, amortized under the effective interest method as discussed further in Note 11, </w:t>
      </w:r>
      <w:r>
        <w:rPr>
          <w:rFonts w:ascii="Arial" w:cs="Arial" w:eastAsia="Arial" w:hAnsi="Arial"/>
          <w:sz w:val="18"/>
          <w:szCs w:val="18"/>
          <w:i w:val="1"/>
          <w:iCs w:val="1"/>
          <w:color w:val="auto"/>
        </w:rPr>
        <w:t>Liabilities Related to Sale of Commissions Receivable</w:t>
      </w:r>
      <w:r>
        <w:rPr>
          <w:rFonts w:ascii="Arial" w:cs="Arial" w:eastAsia="Arial" w:hAnsi="Arial"/>
          <w:sz w:val="18"/>
          <w:szCs w:val="18"/>
          <w:color w:val="auto"/>
        </w:rPr>
        <w:t>. The Company has elected to use the prospective method in its calculation of its effective interest rate and will update this calculation quarterly when there are changes in the projected cash flows. The amortization of the liabilities related to the future rights to commissions is based on our current estimates of future commission payments. Payments made will be recorded as a reduction of the liabilities when paid. The debt is allocated on the balance sheet as current and non-current, and the current portion represents amounts estimated to be paid over the next twelve months.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Prepaids and Other Assets</w:t>
      </w:r>
    </w:p>
    <w:p>
      <w:pPr>
        <w:spacing w:after="0" w:line="104" w:lineRule="exact"/>
        <w:rPr>
          <w:sz w:val="20"/>
          <w:szCs w:val="20"/>
          <w:color w:val="auto"/>
        </w:rPr>
      </w:pPr>
    </w:p>
    <w:p>
      <w:pPr>
        <w:ind w:left="120" w:right="460" w:firstLine="551"/>
        <w:spacing w:after="0" w:line="271" w:lineRule="auto"/>
        <w:rPr>
          <w:sz w:val="20"/>
          <w:szCs w:val="20"/>
          <w:color w:val="auto"/>
        </w:rPr>
      </w:pPr>
      <w:r>
        <w:rPr>
          <w:rFonts w:ascii="Arial" w:cs="Arial" w:eastAsia="Arial" w:hAnsi="Arial"/>
          <w:sz w:val="18"/>
          <w:szCs w:val="18"/>
          <w:color w:val="auto"/>
        </w:rPr>
        <w:t>Prepaids and other current assets consist of prepayments on consulting services, prepaid insurance expenses, and amounts expected to be recovered from agent advances.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Lease Obligations</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Under ASC Topic 842 Leases, the Company determines if an arrangement is a lease at inception of a contract. Leases with an initial term of 12 months or less are not recorded in the balance sheet. Non-lease components associated with lease components in the Company’s lease contracts are treated as a single lease component. Operating lease right-of-use assets and liabilities are recognized at commencement date based on the present value of lease payments over the lease term. The operating lease right-of-use assets also include any lease payments made prior to commencement and are recorded net of any lease incentives received. Because the rate implicit in each lease is not readily determinable, the Company uses its incremental borrowing rate to determine the present value of the lease payments. To determine the incremental borrowing rate, the Company uses information including the risk-free interest rate for the remaining lease term, the Company’s implied credit rating, and interest rates of similar debt instruments of entities with comparable credit ratings. The Company recognizes rent expense on a straight-line basis over the lease term, which is allocated on a headcount basis to sales and marketing, technology (exclusive of amortization), and general and administrative costs and expenses in the consolidated statements of operations.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Reporting</w:t>
      </w:r>
    </w:p>
    <w:p>
      <w:pPr>
        <w:spacing w:after="0" w:line="10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The Company has one reportable segment, which has been identified based on how the chief operating decision maker (CODM), manages the business, makes operating decisions and evaluates operating performance. The Company’s CODM is the Chief Executive Officer. The CODM reviews the Company’s revenue, expenses and net income as reported under GAAP, which is the primary measure of segment profit or loss. While the Company’s CODM also reviews the revenue streams attributable to individual products, operations are managed, resources are allocated, and financial performance is evaluated on a consolidated basis.</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40"/>
          </w:cols>
          <w:pgMar w:left="320" w:top="455" w:right="5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1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Offering Costs (unaudited)</w:t>
      </w:r>
    </w:p>
    <w:p>
      <w:pPr>
        <w:spacing w:after="0" w:line="104"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Deferred offering costs, consisting of legal, accounting, and other fees and costs relating to the Company’s planned initial public offering (IPO) are capitalized within prepaid and other assets on the consolidated balance sheets. The deferred offering costs will be offset against the proceeds received by the Company upon the closing of the planned IPO. In the event the planned IPO is terminated, all of the deferred offering costs will be expensed within operating loss. The Company had deferred $6,101 of planned IPO costs as of September 30, 2025 (unaudited).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 Adopted</w:t>
      </w:r>
    </w:p>
    <w:p>
      <w:pPr>
        <w:spacing w:after="0" w:line="10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 xml:space="preserve">In November 2023, the FASB issued ASU No. 2023-07, </w:t>
      </w:r>
      <w:r>
        <w:rPr>
          <w:rFonts w:ascii="Arial" w:cs="Arial" w:eastAsia="Arial" w:hAnsi="Arial"/>
          <w:sz w:val="18"/>
          <w:szCs w:val="18"/>
          <w:i w:val="1"/>
          <w:iCs w:val="1"/>
          <w:color w:val="auto"/>
        </w:rPr>
        <w:t>Segment Reporting (Topic 280): Improvements to Reportable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which is intended to improve reportable segment disclosure requirements, primarily through enhanced disclosures about</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segment expenses, allowing financial statement users to better understand the components of a segment’s profit or loss to assess potential future cash flows for each reportable segment and the entity as a whole. The amendments expand a public entity’s segment disclosures by requiring disclosure of significant segment expenses that are regularly provided to the chief operating decision maker (CODM), clarifying when an entity may report one or more additional measures to assess segment performance, requiring enhanced interim disclosures, providing new disclosure requirements for entities with a single reportable segment, and requiring other new disclosures. ASU 2023-07 is effective for fiscal years beginning after December 15, 2023, and interim periods within fiscal years beginning after December 15, 2024. The Company adopted this guidance beginning January 1, 2024, and the adoption did not have a significant impact to the Company’s required disclosures.</w:t>
      </w:r>
    </w:p>
    <w:p>
      <w:pPr>
        <w:spacing w:after="0" w:line="18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ASU 2016-13 replaces the incurred loss impairment methodology in current U.S. GAAP with a methodology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expected credit losses and requires consideration of a broader range of reasonable and supportable information to inform credit loss estimates. For trade receivables, loans, and other financial instruments, the ASU requires a forward-looking expected loss model rather than the incurred loss model for recognizing credit losses which reflects losses that are probable. Credit losses relating to available-for-sale debt securities will also be recorded through an allowance for credit losses, with the amount of the allowance limited to the amount by which fair value is below amortized cost. The Company adopted ASU 2016-13 on January 1, 2023, which resulted in immaterial impact to the consolidated financial statements.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104" w:lineRule="exact"/>
        <w:rPr>
          <w:sz w:val="20"/>
          <w:szCs w:val="20"/>
          <w:color w:val="auto"/>
        </w:rPr>
      </w:pPr>
    </w:p>
    <w:p>
      <w:pPr>
        <w:ind w:left="120" w:right="140" w:firstLine="551"/>
        <w:spacing w:after="0" w:line="242" w:lineRule="auto"/>
        <w:rPr>
          <w:sz w:val="20"/>
          <w:szCs w:val="20"/>
          <w:color w:val="auto"/>
        </w:rPr>
      </w:pPr>
      <w:r>
        <w:rPr>
          <w:rFonts w:ascii="Arial" w:cs="Arial" w:eastAsia="Arial" w:hAnsi="Arial"/>
          <w:sz w:val="18"/>
          <w:szCs w:val="18"/>
          <w:color w:val="auto"/>
        </w:rPr>
        <w:t xml:space="preserve">In December 2023, the Financial Accounting Standards Board (FASB) issued Accounting Standards Update (ASU) 2023-09, Income Taxes (Topic 740):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xml:space="preserve"> (ASU 2023-09). ASU 2023-09 requires disaggregated information about a reporting entity’s effective tax rate reconciliation as well as information on income taxes paid. The updates in this ASU may be applied on a prospective or retrospective application basis and are effective for annual periods beginning after December 15, 2025. Early adoption is permitted. The Company is currently evaluating the impact of the new standard on its condensed consolidated financial statements.</w:t>
      </w:r>
    </w:p>
    <w:p>
      <w:pPr>
        <w:spacing w:after="0" w:line="179" w:lineRule="exact"/>
        <w:rPr>
          <w:sz w:val="20"/>
          <w:szCs w:val="20"/>
          <w:color w:val="auto"/>
        </w:rPr>
      </w:pPr>
    </w:p>
    <w:p>
      <w:pPr>
        <w:ind w:left="120" w:right="340" w:firstLine="551"/>
        <w:spacing w:after="0" w:line="271"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Disaggregation of Income Statement Expenses</w:t>
      </w:r>
      <w:r>
        <w:rPr>
          <w:rFonts w:ascii="Arial" w:cs="Arial" w:eastAsia="Arial" w:hAnsi="Arial"/>
          <w:sz w:val="18"/>
          <w:szCs w:val="18"/>
          <w:color w:val="auto"/>
        </w:rPr>
        <w:t>, which requires disclosures about specific types of expenses included in the expense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jc w:val="both"/>
        <w:ind w:left="120" w:right="200"/>
        <w:spacing w:after="0" w:line="247" w:lineRule="auto"/>
        <w:rPr>
          <w:sz w:val="20"/>
          <w:szCs w:val="20"/>
          <w:color w:val="auto"/>
        </w:rPr>
      </w:pPr>
      <w:r>
        <w:rPr>
          <w:rFonts w:ascii="Arial" w:cs="Arial" w:eastAsia="Arial" w:hAnsi="Arial"/>
          <w:sz w:val="18"/>
          <w:szCs w:val="18"/>
          <w:color w:val="auto"/>
        </w:rPr>
        <w:t>captions presented on the face of the income statement as well as disclosures about selling expenses. The updates in this ASU may be applied on a prospective or retrospective application basis and are effective for annual periods beginning after December 15, 2026 and interim reporting beginning after December 15, 2027. Early adoption is permitted. The Company is currently evaluating the impact of the new standard on its condensed consolidated financial statement disclosures.</w:t>
      </w:r>
    </w:p>
    <w:p>
      <w:pPr>
        <w:spacing w:after="0" w:line="17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 xml:space="preserve">In July 2025, the FASB issued ASU 2025-05, </w:t>
      </w:r>
      <w:r>
        <w:rPr>
          <w:rFonts w:ascii="Arial" w:cs="Arial" w:eastAsia="Arial" w:hAnsi="Arial"/>
          <w:sz w:val="18"/>
          <w:szCs w:val="18"/>
          <w:i w:val="1"/>
          <w:iCs w:val="1"/>
          <w:color w:val="auto"/>
        </w:rPr>
        <w:t>Financial Instruments-Credit Losses (Topic 326): Measurement of Credit Losses for</w:t>
      </w:r>
      <w:r>
        <w:rPr>
          <w:rFonts w:ascii="Arial" w:cs="Arial" w:eastAsia="Arial" w:hAnsi="Arial"/>
          <w:sz w:val="18"/>
          <w:szCs w:val="18"/>
          <w:color w:val="auto"/>
        </w:rPr>
        <w:t xml:space="preserve"> </w:t>
      </w:r>
      <w:r>
        <w:rPr>
          <w:rFonts w:ascii="Arial" w:cs="Arial" w:eastAsia="Arial" w:hAnsi="Arial"/>
          <w:sz w:val="18"/>
          <w:szCs w:val="18"/>
          <w:i w:val="1"/>
          <w:iCs w:val="1"/>
          <w:color w:val="auto"/>
        </w:rPr>
        <w:t>Accounts Receivable and Contract Assets</w:t>
      </w:r>
      <w:r>
        <w:rPr>
          <w:rFonts w:ascii="Arial" w:cs="Arial" w:eastAsia="Arial" w:hAnsi="Arial"/>
          <w:sz w:val="18"/>
          <w:szCs w:val="18"/>
          <w:color w:val="auto"/>
        </w:rPr>
        <w:t>, which provides guidance on measuring expected credit losses using a probabilistic method</w:t>
      </w:r>
      <w:r>
        <w:rPr>
          <w:rFonts w:ascii="Arial" w:cs="Arial" w:eastAsia="Arial" w:hAnsi="Arial"/>
          <w:sz w:val="18"/>
          <w:szCs w:val="18"/>
          <w:i w:val="1"/>
          <w:iCs w:val="1"/>
          <w:color w:val="auto"/>
        </w:rPr>
        <w:t xml:space="preserve"> </w:t>
      </w:r>
      <w:r>
        <w:rPr>
          <w:rFonts w:ascii="Arial" w:cs="Arial" w:eastAsia="Arial" w:hAnsi="Arial"/>
          <w:sz w:val="18"/>
          <w:szCs w:val="18"/>
          <w:color w:val="auto"/>
        </w:rPr>
        <w:t>and a practical expedient for all entities that simplifies the estimation of expected credit losses for current trade accounts receivable and contract assets arising from revenue transactions. The new guidance is effective for public business entities for fiscal years beginning after December 15, 2025, including interim periods within those fiscal years. Early adoption is permitted. The Company is currently evaluating the impact of the new standard on its condensed consolidated financial statement disclosures.</w:t>
      </w:r>
    </w:p>
    <w:p>
      <w:pPr>
        <w:spacing w:after="0" w:line="179" w:lineRule="exact"/>
        <w:rPr>
          <w:sz w:val="20"/>
          <w:szCs w:val="20"/>
          <w:color w:val="auto"/>
        </w:rPr>
      </w:pPr>
    </w:p>
    <w:p>
      <w:pPr>
        <w:ind w:left="120" w:right="140" w:firstLine="551"/>
        <w:spacing w:after="0" w:line="244" w:lineRule="auto"/>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Intangibles-Goodwill and Other-Internal-Use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Targeted Improvements to the Accounting for Internal-Use Software</w:t>
      </w:r>
      <w:r>
        <w:rPr>
          <w:rFonts w:ascii="Arial" w:cs="Arial" w:eastAsia="Arial" w:hAnsi="Arial"/>
          <w:sz w:val="18"/>
          <w:szCs w:val="18"/>
          <w:color w:val="auto"/>
        </w:rPr>
        <w:t>, which clarifies and expands the existing guidance on capitalizing</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for cloud computing arrangements that are service contracts. The new guidance is effective for public business entities for fiscal years beginning after December 15, 2027, and interim periods within those fiscal years. Early adoption is permitted. The Company is currently evaluating the impact of the new standard on its condensed consolidated financial statement disclosures.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Revenue</w:t>
      </w:r>
    </w:p>
    <w:p>
      <w:pPr>
        <w:spacing w:after="0" w:line="104" w:lineRule="exact"/>
        <w:rPr>
          <w:sz w:val="20"/>
          <w:szCs w:val="20"/>
          <w:color w:val="auto"/>
        </w:rPr>
      </w:pPr>
    </w:p>
    <w:p>
      <w:pPr>
        <w:ind w:left="120" w:right="260" w:firstLine="551"/>
        <w:spacing w:after="0" w:line="271" w:lineRule="auto"/>
        <w:rPr>
          <w:sz w:val="20"/>
          <w:szCs w:val="20"/>
          <w:color w:val="auto"/>
        </w:rPr>
      </w:pPr>
      <w:r>
        <w:rPr>
          <w:rFonts w:ascii="Arial" w:cs="Arial" w:eastAsia="Arial" w:hAnsi="Arial"/>
          <w:sz w:val="18"/>
          <w:szCs w:val="18"/>
          <w:color w:val="auto"/>
        </w:rPr>
        <w:t>Revenue is recognized when control of the promised goods or services is transferred to the customer, in the amount that reflects the consideration the Company expects to receive in exchange for those goods or services.</w:t>
      </w:r>
    </w:p>
    <w:p>
      <w:pPr>
        <w:spacing w:after="0" w:line="154" w:lineRule="exact"/>
        <w:rPr>
          <w:sz w:val="20"/>
          <w:szCs w:val="20"/>
          <w:color w:val="auto"/>
        </w:rPr>
      </w:pPr>
    </w:p>
    <w:p>
      <w:pPr>
        <w:ind w:left="120" w:right="440" w:firstLine="551"/>
        <w:spacing w:after="0" w:line="254" w:lineRule="auto"/>
        <w:rPr>
          <w:sz w:val="20"/>
          <w:szCs w:val="20"/>
          <w:color w:val="auto"/>
        </w:rPr>
      </w:pPr>
      <w:r>
        <w:rPr>
          <w:rFonts w:ascii="Arial" w:cs="Arial" w:eastAsia="Arial" w:hAnsi="Arial"/>
          <w:sz w:val="17"/>
          <w:szCs w:val="17"/>
          <w:color w:val="auto"/>
        </w:rPr>
        <w:t>The Company’s revenue comes in the form of commissions paid to the Company by insurance carriers for the provision of placement and TPA services. The Company recognizes revenue when a customer obtains control of promised goods or services and recognizes an amount that reflects the consideration that an entity expects to receive in exchange for those goods or services. The Company applies the following five-step model in order to determine this amount: (i) identification of the contract with a customer;</w:t>
      </w:r>
    </w:p>
    <w:p>
      <w:pPr>
        <w:ind w:left="360" w:hanging="244"/>
        <w:spacing w:after="0" w:line="235" w:lineRule="auto"/>
        <w:tabs>
          <w:tab w:leader="none" w:pos="3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 including whether they are distinct in the context of the contract;</w:t>
      </w:r>
    </w:p>
    <w:p>
      <w:pPr>
        <w:ind w:left="120" w:right="220" w:hanging="4"/>
        <w:spacing w:after="0" w:line="250" w:lineRule="auto"/>
        <w:tabs>
          <w:tab w:leader="none" w:pos="41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172"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The Company’s primary customers are the insurance carriers that it contracts with to provide placement and/or TPA services through direct and indirect sales channels, related to consumers and partnerships with insurance agencies, respectively. The Company earns commissions for first year and renewal policies from the insurance carriers for both placement and TPA services. The contracts with the insurance carriers are non-exclusive and can typically be terminated unilaterally by either party. The Company reviews individual contracts to determine the Company’s legal and enforceable rights to renewal commissions upon contract termination when determining variable consideration.</w:t>
      </w:r>
    </w:p>
    <w:p>
      <w:pPr>
        <w:spacing w:after="0" w:line="3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7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right="280" w:firstLine="551"/>
        <w:spacing w:after="0" w:line="247" w:lineRule="auto"/>
        <w:rPr>
          <w:sz w:val="20"/>
          <w:szCs w:val="20"/>
          <w:color w:val="auto"/>
        </w:rPr>
      </w:pPr>
      <w:r>
        <w:rPr>
          <w:rFonts w:ascii="Arial" w:cs="Arial" w:eastAsia="Arial" w:hAnsi="Arial"/>
          <w:sz w:val="18"/>
          <w:szCs w:val="18"/>
          <w:color w:val="auto"/>
        </w:rPr>
        <w:t>The Company reviews each contract with customers to determine what promises the Company must deliver and which of these promises are capable of being distinct and are distinct in the context of the contract. The delivery of new policyholders to the insurance carriers is the only material promise specified within the contracts. After a policy is sold, the Company has no material additional or recurring obligations to the policyholder or the insurance carrier.</w:t>
      </w:r>
    </w:p>
    <w:p>
      <w:pPr>
        <w:spacing w:after="0" w:line="17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The Company’s contracts do not include downstream policyholder activities such as claims support or payment collection services. While the primary promise is the sale of policies, some contracts include the promise to provide TPA services to policyholders on behalf of the insurance carrier such as responding to policyholder inquiries regarding coverage or providing proof of insurance. The Company has reviewed and does not have any material ongoing costs for the provision of insurance placement or TPA services. As a result, for a given policy, the Company’s performance obligation to insurance carriers is met upon the issuance and activation of an insurance policy.</w:t>
      </w:r>
    </w:p>
    <w:p>
      <w:pPr>
        <w:spacing w:after="0" w:line="176"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The transaction price is the amount of consideration the Company expects to be entitled to in exchange for transferring promised goods or services to a customer. The transaction price is identified as the first year commission due upon the initial sale of a policy as well as an estimate of renewal commissions. The estimates of renewal commissions are considered variable consideration and require significant judgment including determining the number of periods in which a renewal will occur and the value of those renewal commissions to be received if renewed.</w:t>
      </w:r>
    </w:p>
    <w:p>
      <w:pPr>
        <w:spacing w:after="0" w:line="176" w:lineRule="exact"/>
        <w:rPr>
          <w:sz w:val="20"/>
          <w:szCs w:val="20"/>
          <w:color w:val="auto"/>
        </w:rPr>
      </w:pPr>
    </w:p>
    <w:p>
      <w:pPr>
        <w:ind w:left="120" w:right="140" w:firstLine="551"/>
        <w:spacing w:after="0" w:line="242" w:lineRule="auto"/>
        <w:rPr>
          <w:sz w:val="20"/>
          <w:szCs w:val="20"/>
          <w:color w:val="auto"/>
        </w:rPr>
      </w:pPr>
      <w:r>
        <w:rPr>
          <w:rFonts w:ascii="Arial" w:cs="Arial" w:eastAsia="Arial" w:hAnsi="Arial"/>
          <w:sz w:val="18"/>
          <w:szCs w:val="18"/>
          <w:color w:val="auto"/>
        </w:rPr>
        <w:t>For renewal commissions, the Company utilizes the expected value approach. This approach incorporates a combination of historical lapse and performance of the placed policy, available insurance carrier experience data, historical payment data by distribution channel and insurance carrier to estimate forecasted renewal consideration and constrain revenue recognized to the extent that it is probable that a significant reversal in the amount of cumulative revenue recognized will not occur. The uncertainty associated with the variable consideration related to each periodic policy renewal is subsequently resolved when the policy renews, and adjustments in variable consideration are recognized in the period incurred.</w:t>
      </w:r>
    </w:p>
    <w:p>
      <w:pPr>
        <w:spacing w:after="0" w:line="179"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The Company recognizes all commissions expected to be received over the expected life of the insurance policy at the policy effective date which is when it has completed its performance obligation for both placement and TPA services. At the policy effective date, the Company applies its management estimate of policyholder persistency; the attrition rate of policy holders who cease to maintain their insurance policy, due to cancellation or mortality, and accrues a persistency reserve based on industry data and our experience in the industry and with different carriers.</w:t>
      </w:r>
    </w:p>
    <w:p>
      <w:pPr>
        <w:spacing w:after="0" w:line="176"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The Company continuously evaluates the assumptions and inputs into its calculation of renewal commissions. As a result of these continuous evaluations, the Company recognizes adjustments for revenue from prior periods when the cash collections are different from the estimated constrained renewal commissions. These adjustments are a result of a change in estimate of expected cash collections when actual cash collections differ from the estimated constrained renewal commissions for the revenue recognized at the time of approval. These adjustments can be positive or negative and are recognized using actual experience from policy renewals.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80"/>
          </w:cols>
          <w:pgMar w:left="320" w:top="455" w:right="4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revenue disaggregated by product: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4"/>
                <w:szCs w:val="14"/>
                <w:color w:val="auto"/>
              </w:rPr>
            </w:pPr>
          </w:p>
        </w:tc>
        <w:tc>
          <w:tcPr>
            <w:tcW w:w="2700" w:type="dxa"/>
            <w:vAlign w:val="bottom"/>
            <w:gridSpan w:val="7"/>
          </w:tcPr>
          <w:p>
            <w:pPr>
              <w:ind w:left="14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5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auto"/>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  2023 </w:t>
            </w: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w w:val="95"/>
              </w:rPr>
              <w:t>  2024 </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xml:space="preserve">   </w:t>
            </w:r>
          </w:p>
        </w:tc>
        <w:tc>
          <w:tcPr>
            <w:tcW w:w="980" w:type="dxa"/>
            <w:vAlign w:val="bottom"/>
            <w:tcBorders>
              <w:top w:val="single" w:sz="8" w:color="auto"/>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 xml:space="preserve">2024   </w:t>
            </w:r>
          </w:p>
        </w:tc>
        <w:tc>
          <w:tcPr>
            <w:tcW w:w="2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 xml:space="preserve">    2025   </w:t>
            </w:r>
          </w:p>
        </w:tc>
        <w:tc>
          <w:tcPr>
            <w:tcW w:w="60" w:type="dxa"/>
            <w:vAlign w:val="bottom"/>
          </w:tcPr>
          <w:p>
            <w:pPr>
              <w:spacing w:after="0"/>
              <w:rPr>
                <w:sz w:val="13"/>
                <w:szCs w:val="13"/>
                <w:color w:val="auto"/>
              </w:rPr>
            </w:pPr>
          </w:p>
        </w:tc>
      </w:tr>
      <w:tr>
        <w:trPr>
          <w:trHeight w:val="146"/>
        </w:trPr>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4"/>
          </w:tcPr>
          <w:p>
            <w:pPr>
              <w:jc w:val="right"/>
              <w:spacing w:after="0" w:line="147" w:lineRule="exact"/>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Commission revenue</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760" w:type="dxa"/>
            <w:vAlign w:val="bottom"/>
          </w:tcPr>
          <w:p>
            <w:pPr>
              <w:ind w:left="360"/>
              <w:spacing w:after="0" w:line="202" w:lineRule="exact"/>
              <w:rPr>
                <w:sz w:val="20"/>
                <w:szCs w:val="20"/>
                <w:color w:val="auto"/>
              </w:rPr>
            </w:pPr>
            <w:r>
              <w:rPr>
                <w:rFonts w:ascii="Arial" w:cs="Arial" w:eastAsia="Arial" w:hAnsi="Arial"/>
                <w:sz w:val="18"/>
                <w:szCs w:val="18"/>
                <w:color w:val="auto"/>
              </w:rPr>
              <w:t>Term life insurance</w:t>
            </w:r>
          </w:p>
        </w:tc>
        <w:tc>
          <w:tcPr>
            <w:tcW w:w="8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w w:val="97"/>
              </w:rPr>
              <w:t>$ 147,490</w:t>
            </w:r>
          </w:p>
        </w:tc>
        <w:tc>
          <w:tcPr>
            <w:tcW w:w="220" w:type="dxa"/>
            <w:vAlign w:val="bottom"/>
          </w:tcPr>
          <w:p>
            <w:pPr>
              <w:spacing w:after="0"/>
              <w:rPr>
                <w:sz w:val="17"/>
                <w:szCs w:val="17"/>
                <w:color w:val="auto"/>
              </w:rPr>
            </w:pPr>
          </w:p>
        </w:tc>
        <w:tc>
          <w:tcPr>
            <w:tcW w:w="10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$ 204,301</w:t>
            </w:r>
          </w:p>
        </w:tc>
        <w:tc>
          <w:tcPr>
            <w:tcW w:w="780" w:type="dxa"/>
            <w:vAlign w:val="bottom"/>
            <w:gridSpan w:val="2"/>
          </w:tcPr>
          <w:p>
            <w:pPr>
              <w:jc w:val="right"/>
              <w:ind w:right="142"/>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156,043</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184,423</w:t>
            </w:r>
          </w:p>
        </w:tc>
      </w:tr>
      <w:tr>
        <w:trPr>
          <w:trHeight w:val="203"/>
        </w:trPr>
        <w:tc>
          <w:tcPr>
            <w:tcW w:w="57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products</w:t>
            </w:r>
          </w:p>
        </w:tc>
        <w:tc>
          <w:tcPr>
            <w:tcW w:w="1040" w:type="dxa"/>
            <w:vAlign w:val="bottom"/>
            <w:gridSpan w:val="4"/>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12,264</w:t>
            </w:r>
          </w:p>
        </w:tc>
        <w:tc>
          <w:tcPr>
            <w:tcW w:w="10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50,625</w:t>
            </w: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32,359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93,108</w:t>
            </w:r>
          </w:p>
        </w:tc>
      </w:tr>
      <w:tr>
        <w:trPr>
          <w:trHeight w:val="209"/>
        </w:trPr>
        <w:tc>
          <w:tcPr>
            <w:tcW w:w="5760" w:type="dxa"/>
            <w:vAlign w:val="bottom"/>
          </w:tcPr>
          <w:p>
            <w:pPr>
              <w:spacing w:after="0"/>
              <w:rPr>
                <w:sz w:val="20"/>
                <w:szCs w:val="20"/>
                <w:color w:val="auto"/>
              </w:rPr>
            </w:pPr>
            <w:r>
              <w:rPr>
                <w:rFonts w:ascii="Arial" w:cs="Arial" w:eastAsia="Arial" w:hAnsi="Arial"/>
                <w:sz w:val="18"/>
                <w:szCs w:val="18"/>
                <w:color w:val="auto"/>
              </w:rPr>
              <w:t>Total commission revenue</w:t>
            </w: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$ 159,754</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$ 254,926</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188,402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277,531</w:t>
            </w:r>
          </w:p>
        </w:tc>
        <w:tc>
          <w:tcPr>
            <w:tcW w:w="6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Accounts Receivable, Net</w:t>
      </w:r>
    </w:p>
    <w:p>
      <w:pPr>
        <w:spacing w:after="0" w:line="104"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Accounts receivable represents either first year or renewal commissions expected to be received on policies that have already been sold or renewed that has been earned but not received from the insurance carrier. Typically, the Company receives commission payments as the insurance carriers receive payments from the underlying policyholders. As these can be on various payment terms such as monthly or quarterly, a receivable is recorded to account for the commission payments where the company has an unconditional right to cash, but has yet to be received from the insurance carriers. The balances of allowance for credit losses were not material as of December 31, 2023 and 2024, and the changes in allowance for credit losses were not material for the years ended December 31, 2023 and 2024.</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balances are summarized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Receivable</w:t>
            </w:r>
          </w:p>
        </w:tc>
        <w:tc>
          <w:tcPr>
            <w:tcW w:w="2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Balance as of December 31, 2022</w:t>
            </w:r>
          </w:p>
        </w:tc>
        <w:tc>
          <w:tcPr>
            <w:tcW w:w="3060" w:type="dxa"/>
            <w:vAlign w:val="bottom"/>
            <w:gridSpan w:val="2"/>
          </w:tcPr>
          <w:p>
            <w:pPr>
              <w:ind w:left="28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8,200</w:t>
            </w: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 from commissions receivable</w:t>
            </w:r>
          </w:p>
        </w:tc>
        <w:tc>
          <w:tcPr>
            <w:tcW w:w="2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124,141</w:t>
            </w:r>
          </w:p>
        </w:tc>
        <w:tc>
          <w:tcPr>
            <w:tcW w:w="0" w:type="dxa"/>
            <w:vAlign w:val="bottom"/>
          </w:tcPr>
          <w:p>
            <w:pPr>
              <w:spacing w:after="0"/>
              <w:rPr>
                <w:sz w:val="1"/>
                <w:szCs w:val="1"/>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6"/>
                <w:szCs w:val="16"/>
                <w:color w:val="auto"/>
              </w:rPr>
              <w:t>Other additions</w:t>
            </w:r>
            <w:r>
              <w:rPr>
                <w:rFonts w:ascii="Arial" w:cs="Arial" w:eastAsia="Arial" w:hAnsi="Arial"/>
                <w:sz w:val="23"/>
                <w:szCs w:val="23"/>
                <w:color w:val="auto"/>
                <w:vertAlign w:val="superscript"/>
              </w:rPr>
              <w:t>(1)</w:t>
            </w:r>
          </w:p>
        </w:tc>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Collections</w:t>
            </w:r>
          </w:p>
        </w:tc>
        <w:tc>
          <w:tcPr>
            <w:tcW w:w="2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(123,755)</w:t>
            </w:r>
          </w:p>
        </w:tc>
        <w:tc>
          <w:tcPr>
            <w:tcW w:w="0" w:type="dxa"/>
            <w:vAlign w:val="bottom"/>
          </w:tcPr>
          <w:p>
            <w:pPr>
              <w:spacing w:after="0"/>
              <w:rPr>
                <w:sz w:val="1"/>
                <w:szCs w:val="1"/>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Change in allowance for doubtful accounts</w:t>
            </w:r>
          </w:p>
        </w:tc>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2023</w:t>
            </w:r>
          </w:p>
        </w:tc>
        <w:tc>
          <w:tcPr>
            <w:tcW w:w="3060" w:type="dxa"/>
            <w:vAlign w:val="bottom"/>
            <w:gridSpan w:val="2"/>
            <w:shd w:val="clear" w:color="auto" w:fill="CCEEFF"/>
          </w:tcPr>
          <w:p>
            <w:pPr>
              <w:ind w:left="28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11,817</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Additions from commissions receivable</w:t>
            </w:r>
          </w:p>
        </w:tc>
        <w:tc>
          <w:tcPr>
            <w:tcW w:w="2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vMerge w:val="continue"/>
          </w:tcPr>
          <w:p>
            <w:pPr>
              <w:spacing w:after="0"/>
              <w:rPr>
                <w:sz w:val="17"/>
                <w:szCs w:val="17"/>
                <w:color w:val="auto"/>
              </w:rPr>
            </w:pPr>
          </w:p>
        </w:tc>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188,684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Other additions</w:t>
            </w:r>
            <w:r>
              <w:rPr>
                <w:rFonts w:ascii="Arial" w:cs="Arial" w:eastAsia="Arial" w:hAnsi="Arial"/>
                <w:sz w:val="23"/>
                <w:szCs w:val="23"/>
                <w:color w:val="auto"/>
                <w:vertAlign w:val="superscript"/>
              </w:rPr>
              <w:t>(1)</w:t>
            </w:r>
          </w:p>
        </w:tc>
        <w:tc>
          <w:tcPr>
            <w:tcW w:w="2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Collections</w:t>
            </w:r>
          </w:p>
        </w:tc>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(180,677)</w:t>
            </w: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Accounts receivable from the sale of commissions</w:t>
            </w:r>
            <w:r>
              <w:rPr>
                <w:rFonts w:ascii="Arial" w:cs="Arial" w:eastAsia="Arial" w:hAnsi="Arial"/>
                <w:sz w:val="23"/>
                <w:szCs w:val="23"/>
                <w:color w:val="auto"/>
                <w:vertAlign w:val="superscript"/>
              </w:rPr>
              <w:t>(2)</w:t>
            </w:r>
          </w:p>
        </w:tc>
        <w:tc>
          <w:tcPr>
            <w:tcW w:w="2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0"/>
        </w:trPr>
        <w:tc>
          <w:tcPr>
            <w:tcW w:w="7020" w:type="dxa"/>
            <w:vAlign w:val="bottom"/>
          </w:tcPr>
          <w:p>
            <w:pPr>
              <w:spacing w:after="0" w:line="202" w:lineRule="exact"/>
              <w:rPr>
                <w:sz w:val="20"/>
                <w:szCs w:val="20"/>
                <w:color w:val="auto"/>
              </w:rPr>
            </w:pPr>
            <w:r>
              <w:rPr>
                <w:rFonts w:ascii="Arial" w:cs="Arial" w:eastAsia="Arial" w:hAnsi="Arial"/>
                <w:sz w:val="18"/>
                <w:szCs w:val="18"/>
                <w:color w:val="auto"/>
              </w:rPr>
              <w:t>Change in allowance for doubtful accounts</w:t>
            </w:r>
          </w:p>
        </w:tc>
        <w:tc>
          <w:tcPr>
            <w:tcW w:w="2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2024</w:t>
            </w:r>
          </w:p>
        </w:tc>
        <w:tc>
          <w:tcPr>
            <w:tcW w:w="3060" w:type="dxa"/>
            <w:vAlign w:val="bottom"/>
            <w:gridSpan w:val="2"/>
            <w:shd w:val="clear" w:color="auto" w:fill="CCEEFF"/>
          </w:tcPr>
          <w:p>
            <w:pPr>
              <w:ind w:left="28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30,303</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660" w:right="360" w:hanging="544"/>
        <w:spacing w:after="0" w:line="245"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Other additions is primarily comprised of amounts arising from revenue that does not flow through commission receivable along with other partnership related amounts.</w:t>
      </w:r>
    </w:p>
    <w:p>
      <w:pPr>
        <w:ind w:left="660" w:hanging="544"/>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Refer to Footnote 11 for additional discussion.</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5" w:right="4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balances for the nine months ended September 30, 2025 are summarized as follows (unaudited):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Receivable</w:t>
            </w:r>
          </w:p>
        </w:tc>
        <w:tc>
          <w:tcPr>
            <w:tcW w:w="3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Balance as of December 31, 2024</w:t>
            </w:r>
          </w:p>
        </w:tc>
        <w:tc>
          <w:tcPr>
            <w:tcW w:w="3280" w:type="dxa"/>
            <w:vAlign w:val="bottom"/>
            <w:gridSpan w:val="2"/>
          </w:tcPr>
          <w:p>
            <w:pPr>
              <w:ind w:left="31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30,303</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 from commissions receivable</w:t>
            </w:r>
          </w:p>
        </w:tc>
        <w:tc>
          <w:tcPr>
            <w:tcW w:w="3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225,043</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6"/>
                <w:szCs w:val="16"/>
                <w:color w:val="auto"/>
              </w:rPr>
              <w:t>Other additions</w:t>
            </w:r>
            <w:r>
              <w:rPr>
                <w:rFonts w:ascii="Arial" w:cs="Arial" w:eastAsia="Arial" w:hAnsi="Arial"/>
                <w:sz w:val="23"/>
                <w:szCs w:val="23"/>
                <w:color w:val="auto"/>
                <w:vertAlign w:val="superscript"/>
              </w:rPr>
              <w:t>(1)</w:t>
            </w:r>
          </w:p>
        </w:tc>
        <w:tc>
          <w:tcPr>
            <w:tcW w:w="3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9,342</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Collections</w:t>
            </w:r>
          </w:p>
        </w:tc>
        <w:tc>
          <w:tcPr>
            <w:tcW w:w="3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(233,730)</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Change in allowance for doubtful accounts</w:t>
            </w:r>
          </w:p>
        </w:tc>
        <w:tc>
          <w:tcPr>
            <w:tcW w:w="3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w:t>
            </w:r>
          </w:p>
        </w:tc>
      </w:tr>
      <w:tr>
        <w:trPr>
          <w:trHeight w:val="27"/>
        </w:trPr>
        <w:tc>
          <w:tcPr>
            <w:tcW w:w="68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September 30, 2025 (unaudited)</w:t>
            </w:r>
          </w:p>
        </w:tc>
        <w:tc>
          <w:tcPr>
            <w:tcW w:w="3280" w:type="dxa"/>
            <w:vAlign w:val="bottom"/>
            <w:gridSpan w:val="2"/>
            <w:shd w:val="clear" w:color="auto" w:fill="CCEEFF"/>
          </w:tcPr>
          <w:p>
            <w:pPr>
              <w:ind w:left="31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30,939</w:t>
            </w:r>
          </w:p>
        </w:tc>
      </w:tr>
      <w:tr>
        <w:trPr>
          <w:trHeight w:val="20"/>
        </w:trPr>
        <w:tc>
          <w:tcPr>
            <w:tcW w:w="6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660" w:right="280" w:hanging="544"/>
        <w:spacing w:after="0" w:line="271"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Other additions is primarily comprised of amounts arising from revenue that does not flow through commissions receivable along with other partnership related amounts.</w:t>
      </w:r>
    </w:p>
    <w:p>
      <w:pPr>
        <w:spacing w:after="0" w:line="154" w:lineRule="exact"/>
        <w:rPr>
          <w:sz w:val="20"/>
          <w:szCs w:val="20"/>
          <w:color w:val="auto"/>
        </w:rPr>
      </w:pPr>
    </w:p>
    <w:p>
      <w:pPr>
        <w:ind w:left="120" w:right="140" w:firstLine="551"/>
        <w:spacing w:after="0" w:line="275" w:lineRule="auto"/>
        <w:rPr>
          <w:sz w:val="20"/>
          <w:szCs w:val="20"/>
          <w:color w:val="auto"/>
        </w:rPr>
      </w:pPr>
      <w:r>
        <w:rPr>
          <w:rFonts w:ascii="Arial" w:cs="Arial" w:eastAsia="Arial" w:hAnsi="Arial"/>
          <w:sz w:val="17"/>
          <w:szCs w:val="17"/>
          <w:color w:val="auto"/>
        </w:rPr>
        <w:t>For the fiscal year ended December 31, 2024, the change in accounts receivable presented in the cash flow statement is a net cash outflow of $13.6 million. The change in accounts receivable from December 31, 2023 to December 31, 2024 represents an increase (or net cash outflow) of $18.5 million, which included a non-cash increase of $5.0 million related to the sale of commissions receivable.</w:t>
      </w:r>
    </w:p>
    <w:p>
      <w:pPr>
        <w:spacing w:after="0" w:line="152" w:lineRule="exact"/>
        <w:rPr>
          <w:sz w:val="20"/>
          <w:szCs w:val="20"/>
          <w:color w:val="auto"/>
        </w:rPr>
      </w:pPr>
    </w:p>
    <w:p>
      <w:pPr>
        <w:ind w:left="120" w:right="240" w:firstLine="551"/>
        <w:spacing w:after="0" w:line="253" w:lineRule="auto"/>
        <w:rPr>
          <w:sz w:val="20"/>
          <w:szCs w:val="20"/>
          <w:color w:val="auto"/>
        </w:rPr>
      </w:pPr>
      <w:r>
        <w:rPr>
          <w:rFonts w:ascii="Arial" w:cs="Arial" w:eastAsia="Arial" w:hAnsi="Arial"/>
          <w:sz w:val="18"/>
          <w:szCs w:val="18"/>
          <w:color w:val="auto"/>
        </w:rPr>
        <w:t>For the fiscal year ended December 31, 2023, the change in accounts receivable presented in the cash flow statement is a net cash outflow of $3.6 million. The change in accounts receivable from December 31, 2022 to December 31, 2023 represents an increase (or net cash outflow) of $3.6 million.</w:t>
      </w:r>
    </w:p>
    <w:p>
      <w:pPr>
        <w:spacing w:after="0" w:line="169" w:lineRule="exact"/>
        <w:rPr>
          <w:sz w:val="20"/>
          <w:szCs w:val="20"/>
          <w:color w:val="auto"/>
        </w:rPr>
      </w:pPr>
    </w:p>
    <w:p>
      <w:pPr>
        <w:jc w:val="both"/>
        <w:ind w:left="120" w:right="180" w:firstLine="551"/>
        <w:spacing w:after="0" w:line="247" w:lineRule="auto"/>
        <w:rPr>
          <w:sz w:val="20"/>
          <w:szCs w:val="20"/>
          <w:color w:val="auto"/>
        </w:rPr>
      </w:pPr>
      <w:r>
        <w:rPr>
          <w:rFonts w:ascii="Arial" w:cs="Arial" w:eastAsia="Arial" w:hAnsi="Arial"/>
          <w:sz w:val="18"/>
          <w:szCs w:val="18"/>
          <w:color w:val="auto"/>
        </w:rPr>
        <w:t>For the nine months ended September 30, 2025, the change in accounts receivable presented in the cash flow statement is a net cash outflow of $5.6 million. The change in accounts receivable from December 31, 2024 to September 30, 2025 represents an increase (or net cash outflow) of $0.6 million, which included a cash inflow of $5.0 million related to the sale of commissions receivable which was received in the nine months ended September 30, 2025.</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Receivable, Net</w:t>
      </w:r>
    </w:p>
    <w:p>
      <w:pPr>
        <w:spacing w:after="0" w:line="104" w:lineRule="exact"/>
        <w:rPr>
          <w:sz w:val="20"/>
          <w:szCs w:val="20"/>
          <w:color w:val="auto"/>
        </w:rPr>
      </w:pPr>
    </w:p>
    <w:p>
      <w:pPr>
        <w:ind w:left="120" w:right="140" w:firstLine="551"/>
        <w:spacing w:after="0" w:line="244" w:lineRule="auto"/>
        <w:rPr>
          <w:sz w:val="20"/>
          <w:szCs w:val="20"/>
          <w:color w:val="auto"/>
        </w:rPr>
      </w:pPr>
      <w:r>
        <w:rPr>
          <w:rFonts w:ascii="Arial" w:cs="Arial" w:eastAsia="Arial" w:hAnsi="Arial"/>
          <w:sz w:val="18"/>
          <w:szCs w:val="18"/>
          <w:color w:val="auto"/>
        </w:rPr>
        <w:t>Commissions receivable are contract assets that represent estimated variable consideration for performance obligations that have been satisfied but payment is not due as the underlying policy has not renewed yet. The current portion of commissions receivable are future renewal commissions expected to be renewed within one year, while the non-current portion of commissions receivable are expected to be renewed beyond one year. Contract assets are reclassified as accounts receivable when the rights to the renewal commissions become unconditional, which is primarily upon renewal of the underlying policy.</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5" w:right="4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Commissions receivable activities (current and long-term) are summarized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2022</w:t>
            </w:r>
          </w:p>
        </w:tc>
        <w:tc>
          <w:tcPr>
            <w:tcW w:w="2300" w:type="dxa"/>
            <w:vAlign w:val="bottom"/>
            <w:gridSpan w:val="2"/>
            <w:shd w:val="clear" w:color="auto" w:fill="CCEEFF"/>
          </w:tcPr>
          <w:p>
            <w:pPr>
              <w:ind w:left="21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92,332</w:t>
            </w:r>
          </w:p>
        </w:tc>
      </w:tr>
      <w:tr>
        <w:trPr>
          <w:trHeight w:val="203"/>
        </w:trPr>
        <w:tc>
          <w:tcPr>
            <w:tcW w:w="7780" w:type="dxa"/>
            <w:vAlign w:val="bottom"/>
          </w:tcPr>
          <w:p>
            <w:pPr>
              <w:ind w:left="360"/>
              <w:spacing w:after="0" w:line="202" w:lineRule="exact"/>
              <w:rPr>
                <w:sz w:val="20"/>
                <w:szCs w:val="20"/>
                <w:color w:val="auto"/>
              </w:rPr>
            </w:pPr>
            <w:r>
              <w:rPr>
                <w:rFonts w:ascii="Arial" w:cs="Arial" w:eastAsia="Arial" w:hAnsi="Arial"/>
                <w:sz w:val="18"/>
                <w:szCs w:val="18"/>
                <w:color w:val="auto"/>
              </w:rPr>
              <w:t>Commission revenue from activated policies during the period</w:t>
            </w:r>
          </w:p>
        </w:tc>
        <w:tc>
          <w:tcPr>
            <w:tcW w:w="2300" w:type="dxa"/>
            <w:vAlign w:val="bottom"/>
            <w:gridSpan w:val="2"/>
          </w:tcPr>
          <w:p>
            <w:pPr>
              <w:ind w:left="21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149,100</w:t>
            </w:r>
          </w:p>
        </w:tc>
      </w:tr>
      <w:tr>
        <w:trPr>
          <w:trHeight w:val="203"/>
        </w:trPr>
        <w:tc>
          <w:tcPr>
            <w:tcW w:w="778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Net Commission Revenue from activated policies in prior periods</w:t>
            </w:r>
            <w:r>
              <w:rPr>
                <w:rFonts w:ascii="Arial" w:cs="Arial" w:eastAsia="Arial" w:hAnsi="Arial"/>
                <w:sz w:val="23"/>
                <w:szCs w:val="23"/>
                <w:color w:val="auto"/>
                <w:vertAlign w:val="superscript"/>
              </w:rPr>
              <w:t>(1)</w:t>
            </w:r>
          </w:p>
        </w:tc>
        <w:tc>
          <w:tcPr>
            <w:tcW w:w="2300" w:type="dxa"/>
            <w:vAlign w:val="bottom"/>
            <w:gridSpan w:val="2"/>
            <w:shd w:val="clear" w:color="auto" w:fill="CCEEFF"/>
          </w:tcPr>
          <w:p>
            <w:pPr>
              <w:ind w:left="21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7,867</w:t>
            </w:r>
          </w:p>
        </w:tc>
      </w:tr>
      <w:tr>
        <w:trPr>
          <w:trHeight w:val="203"/>
        </w:trPr>
        <w:tc>
          <w:tcPr>
            <w:tcW w:w="7780" w:type="dxa"/>
            <w:vAlign w:val="bottom"/>
          </w:tcPr>
          <w:p>
            <w:pPr>
              <w:ind w:left="360"/>
              <w:spacing w:after="0" w:line="202" w:lineRule="exact"/>
              <w:rPr>
                <w:sz w:val="20"/>
                <w:szCs w:val="20"/>
                <w:color w:val="auto"/>
              </w:rPr>
            </w:pPr>
            <w:r>
              <w:rPr>
                <w:rFonts w:ascii="Arial" w:cs="Arial" w:eastAsia="Arial" w:hAnsi="Arial"/>
                <w:sz w:val="18"/>
                <w:szCs w:val="18"/>
                <w:color w:val="auto"/>
              </w:rPr>
              <w:t>Amounts recognized as accounts receivable</w:t>
            </w:r>
          </w:p>
        </w:tc>
        <w:tc>
          <w:tcPr>
            <w:tcW w:w="2300" w:type="dxa"/>
            <w:vAlign w:val="bottom"/>
            <w:gridSpan w:val="2"/>
          </w:tcPr>
          <w:p>
            <w:pPr>
              <w:ind w:left="21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(124,141)</w:t>
            </w:r>
          </w:p>
        </w:tc>
      </w:tr>
      <w:tr>
        <w:trPr>
          <w:trHeight w:val="27"/>
        </w:trPr>
        <w:tc>
          <w:tcPr>
            <w:tcW w:w="7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2023</w:t>
            </w:r>
          </w:p>
        </w:tc>
        <w:tc>
          <w:tcPr>
            <w:tcW w:w="2300" w:type="dxa"/>
            <w:vAlign w:val="bottom"/>
            <w:gridSpan w:val="2"/>
            <w:shd w:val="clear" w:color="auto" w:fill="CCEEFF"/>
          </w:tcPr>
          <w:p>
            <w:pPr>
              <w:ind w:left="21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125,158</w:t>
            </w:r>
          </w:p>
        </w:tc>
      </w:tr>
      <w:tr>
        <w:trPr>
          <w:trHeight w:val="203"/>
        </w:trPr>
        <w:tc>
          <w:tcPr>
            <w:tcW w:w="7780" w:type="dxa"/>
            <w:vAlign w:val="bottom"/>
          </w:tcPr>
          <w:p>
            <w:pPr>
              <w:ind w:left="360"/>
              <w:spacing w:after="0" w:line="202" w:lineRule="exact"/>
              <w:rPr>
                <w:sz w:val="20"/>
                <w:szCs w:val="20"/>
                <w:color w:val="auto"/>
              </w:rPr>
            </w:pPr>
            <w:r>
              <w:rPr>
                <w:rFonts w:ascii="Arial" w:cs="Arial" w:eastAsia="Arial" w:hAnsi="Arial"/>
                <w:sz w:val="18"/>
                <w:szCs w:val="18"/>
                <w:color w:val="auto"/>
              </w:rPr>
              <w:t>Commission revenue from activated policies during the period</w:t>
            </w:r>
          </w:p>
        </w:tc>
        <w:tc>
          <w:tcPr>
            <w:tcW w:w="2300" w:type="dxa"/>
            <w:vAlign w:val="bottom"/>
            <w:gridSpan w:val="2"/>
          </w:tcPr>
          <w:p>
            <w:pPr>
              <w:ind w:left="21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246,268</w:t>
            </w:r>
          </w:p>
        </w:tc>
      </w:tr>
      <w:tr>
        <w:trPr>
          <w:trHeight w:val="203"/>
        </w:trPr>
        <w:tc>
          <w:tcPr>
            <w:tcW w:w="778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Net Commission Revenue from activated policies in prior periods</w:t>
            </w:r>
            <w:r>
              <w:rPr>
                <w:rFonts w:ascii="Arial" w:cs="Arial" w:eastAsia="Arial" w:hAnsi="Arial"/>
                <w:sz w:val="23"/>
                <w:szCs w:val="23"/>
                <w:color w:val="auto"/>
                <w:vertAlign w:val="superscript"/>
              </w:rPr>
              <w:t>(1)</w:t>
            </w:r>
          </w:p>
        </w:tc>
        <w:tc>
          <w:tcPr>
            <w:tcW w:w="2300" w:type="dxa"/>
            <w:vAlign w:val="bottom"/>
            <w:gridSpan w:val="2"/>
            <w:shd w:val="clear" w:color="auto" w:fill="CCEEFF"/>
          </w:tcPr>
          <w:p>
            <w:pPr>
              <w:ind w:left="21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5,433</w:t>
            </w:r>
          </w:p>
        </w:tc>
      </w:tr>
      <w:tr>
        <w:trPr>
          <w:trHeight w:val="203"/>
        </w:trPr>
        <w:tc>
          <w:tcPr>
            <w:tcW w:w="7780" w:type="dxa"/>
            <w:vAlign w:val="bottom"/>
          </w:tcPr>
          <w:p>
            <w:pPr>
              <w:ind w:left="360"/>
              <w:spacing w:after="0" w:line="202" w:lineRule="exact"/>
              <w:rPr>
                <w:sz w:val="20"/>
                <w:szCs w:val="20"/>
                <w:color w:val="auto"/>
              </w:rPr>
            </w:pPr>
            <w:r>
              <w:rPr>
                <w:rFonts w:ascii="Arial" w:cs="Arial" w:eastAsia="Arial" w:hAnsi="Arial"/>
                <w:sz w:val="18"/>
                <w:szCs w:val="18"/>
                <w:color w:val="auto"/>
              </w:rPr>
              <w:t>Amounts recognized as accounts receivable</w:t>
            </w:r>
          </w:p>
        </w:tc>
        <w:tc>
          <w:tcPr>
            <w:tcW w:w="2300" w:type="dxa"/>
            <w:vAlign w:val="bottom"/>
            <w:gridSpan w:val="2"/>
          </w:tcPr>
          <w:p>
            <w:pPr>
              <w:ind w:left="21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(188,684)</w:t>
            </w:r>
          </w:p>
        </w:tc>
      </w:tr>
      <w:tr>
        <w:trPr>
          <w:trHeight w:val="27"/>
        </w:trPr>
        <w:tc>
          <w:tcPr>
            <w:tcW w:w="7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2024</w:t>
            </w:r>
          </w:p>
        </w:tc>
        <w:tc>
          <w:tcPr>
            <w:tcW w:w="2300" w:type="dxa"/>
            <w:vAlign w:val="bottom"/>
            <w:gridSpan w:val="2"/>
            <w:shd w:val="clear" w:color="auto" w:fill="CCEEFF"/>
          </w:tcPr>
          <w:p>
            <w:pPr>
              <w:ind w:left="21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188,175</w:t>
            </w:r>
          </w:p>
        </w:tc>
      </w:tr>
      <w:tr>
        <w:trPr>
          <w:trHeight w:val="20"/>
        </w:trPr>
        <w:tc>
          <w:tcPr>
            <w:tcW w:w="7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660" w:right="240" w:hanging="544"/>
        <w:spacing w:after="0" w:line="247"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These amounts reflect our revised estimates of cash collections for certain activated policies prior to the relevant reporting period that are recognized as adjustments to revenue within the relevant reporting period. The net commission revenue from activated policies in prior periods, or the net adjustment revenue, includes both increases as well as reductions in revenue for certain prior period cohorts.</w:t>
      </w:r>
    </w:p>
    <w:p>
      <w:pPr>
        <w:spacing w:after="0" w:line="174" w:lineRule="exact"/>
        <w:rPr>
          <w:sz w:val="20"/>
          <w:szCs w:val="20"/>
          <w:color w:val="auto"/>
        </w:rPr>
      </w:pPr>
    </w:p>
    <w:p>
      <w:pPr>
        <w:ind w:left="120" w:right="200" w:firstLine="551"/>
        <w:spacing w:after="0" w:line="271" w:lineRule="auto"/>
        <w:rPr>
          <w:sz w:val="20"/>
          <w:szCs w:val="20"/>
          <w:color w:val="auto"/>
        </w:rPr>
      </w:pPr>
      <w:r>
        <w:rPr>
          <w:rFonts w:ascii="Arial" w:cs="Arial" w:eastAsia="Arial" w:hAnsi="Arial"/>
          <w:sz w:val="18"/>
          <w:szCs w:val="18"/>
          <w:color w:val="auto"/>
        </w:rPr>
        <w:t>Commissions receivable activities (current and long-term) during the nine months ended September 30, 2025 are summarized as follows (unaudited):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2024</w:t>
            </w:r>
          </w:p>
        </w:tc>
        <w:tc>
          <w:tcPr>
            <w:tcW w:w="2300" w:type="dxa"/>
            <w:vAlign w:val="bottom"/>
            <w:gridSpan w:val="2"/>
            <w:shd w:val="clear" w:color="auto" w:fill="CCEEFF"/>
          </w:tcPr>
          <w:p>
            <w:pPr>
              <w:ind w:left="21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188,175</w:t>
            </w:r>
          </w:p>
        </w:tc>
      </w:tr>
      <w:tr>
        <w:trPr>
          <w:trHeight w:val="203"/>
        </w:trPr>
        <w:tc>
          <w:tcPr>
            <w:tcW w:w="7780" w:type="dxa"/>
            <w:vAlign w:val="bottom"/>
          </w:tcPr>
          <w:p>
            <w:pPr>
              <w:ind w:left="360"/>
              <w:spacing w:after="0" w:line="202" w:lineRule="exact"/>
              <w:rPr>
                <w:sz w:val="20"/>
                <w:szCs w:val="20"/>
                <w:color w:val="auto"/>
              </w:rPr>
            </w:pPr>
            <w:r>
              <w:rPr>
                <w:rFonts w:ascii="Arial" w:cs="Arial" w:eastAsia="Arial" w:hAnsi="Arial"/>
                <w:sz w:val="18"/>
                <w:szCs w:val="18"/>
                <w:color w:val="auto"/>
              </w:rPr>
              <w:t>Commission revenue from activated policies during the period</w:t>
            </w:r>
          </w:p>
        </w:tc>
        <w:tc>
          <w:tcPr>
            <w:tcW w:w="2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274,034</w:t>
            </w:r>
          </w:p>
        </w:tc>
      </w:tr>
      <w:tr>
        <w:trPr>
          <w:trHeight w:val="203"/>
        </w:trPr>
        <w:tc>
          <w:tcPr>
            <w:tcW w:w="778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Net Commission Revenue from activated policies in prior periods</w:t>
            </w:r>
            <w:r>
              <w:rPr>
                <w:rFonts w:ascii="Arial" w:cs="Arial" w:eastAsia="Arial" w:hAnsi="Arial"/>
                <w:sz w:val="23"/>
                <w:szCs w:val="23"/>
                <w:color w:val="auto"/>
                <w:vertAlign w:val="superscript"/>
              </w:rPr>
              <w:t>(1)</w:t>
            </w:r>
          </w:p>
        </w:tc>
        <w:tc>
          <w:tcPr>
            <w:tcW w:w="2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(2,470)</w:t>
            </w:r>
          </w:p>
        </w:tc>
      </w:tr>
      <w:tr>
        <w:trPr>
          <w:trHeight w:val="203"/>
        </w:trPr>
        <w:tc>
          <w:tcPr>
            <w:tcW w:w="7780" w:type="dxa"/>
            <w:vAlign w:val="bottom"/>
          </w:tcPr>
          <w:p>
            <w:pPr>
              <w:ind w:left="360"/>
              <w:spacing w:after="0" w:line="202" w:lineRule="exact"/>
              <w:rPr>
                <w:sz w:val="20"/>
                <w:szCs w:val="20"/>
                <w:color w:val="auto"/>
              </w:rPr>
            </w:pPr>
            <w:r>
              <w:rPr>
                <w:rFonts w:ascii="Arial" w:cs="Arial" w:eastAsia="Arial" w:hAnsi="Arial"/>
                <w:sz w:val="18"/>
                <w:szCs w:val="18"/>
                <w:color w:val="auto"/>
              </w:rPr>
              <w:t>Amounts recognized as accounts receivable</w:t>
            </w:r>
          </w:p>
        </w:tc>
        <w:tc>
          <w:tcPr>
            <w:tcW w:w="2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(225,043)</w:t>
            </w:r>
          </w:p>
        </w:tc>
      </w:tr>
      <w:tr>
        <w:trPr>
          <w:trHeight w:val="27"/>
        </w:trPr>
        <w:tc>
          <w:tcPr>
            <w:tcW w:w="7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September 30, 2025 (unaudited)</w:t>
            </w:r>
          </w:p>
        </w:tc>
        <w:tc>
          <w:tcPr>
            <w:tcW w:w="2300" w:type="dxa"/>
            <w:vAlign w:val="bottom"/>
            <w:gridSpan w:val="2"/>
            <w:shd w:val="clear" w:color="auto" w:fill="CCEEFF"/>
          </w:tcPr>
          <w:p>
            <w:pPr>
              <w:ind w:left="21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234,696</w:t>
            </w:r>
          </w:p>
        </w:tc>
      </w:tr>
      <w:tr>
        <w:trPr>
          <w:trHeight w:val="20"/>
        </w:trPr>
        <w:tc>
          <w:tcPr>
            <w:tcW w:w="7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660" w:right="240" w:hanging="544"/>
        <w:spacing w:after="0" w:line="247"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These amounts reflect our revised estimates of cash collections for certain activated policies prior to the relevant reporting period that are recognized as adjustments to revenue within the relevant reporting period. The net commission revenue from activated policies in prior periods, or the net adjustment revenue, includes both increases as well as reductions in revenue for certain prior period cohorts.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Balances</w:t>
      </w:r>
    </w:p>
    <w:p>
      <w:pPr>
        <w:spacing w:after="0" w:line="104"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color w:val="auto"/>
        </w:rPr>
        <w:t>After a policy is sold, the Company has no material additional or recurring obligations to the policyholder or the insurance carrier. As such, there are no contract liabilities recorded in the consolidated balance sheets.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Marketable Securities</w:t>
      </w:r>
    </w:p>
    <w:p>
      <w:pPr>
        <w:spacing w:after="0" w:line="104" w:lineRule="exact"/>
        <w:rPr>
          <w:sz w:val="20"/>
          <w:szCs w:val="20"/>
          <w:color w:val="auto"/>
        </w:rPr>
      </w:pPr>
    </w:p>
    <w:p>
      <w:pPr>
        <w:ind w:left="120" w:right="200" w:firstLine="551"/>
        <w:spacing w:after="0" w:line="275" w:lineRule="auto"/>
        <w:rPr>
          <w:sz w:val="20"/>
          <w:szCs w:val="20"/>
          <w:color w:val="auto"/>
        </w:rPr>
      </w:pPr>
      <w:r>
        <w:rPr>
          <w:rFonts w:ascii="Arial" w:cs="Arial" w:eastAsia="Arial" w:hAnsi="Arial"/>
          <w:sz w:val="17"/>
          <w:szCs w:val="17"/>
          <w:color w:val="auto"/>
        </w:rPr>
        <w:t>The Company invests surplus cash in short-term and long-term investments to generate a return until the cash is required to fund the Company’s ongoing operations. As of December 31, 2023, the Company held investments of $114,093, of which $103,957 were classified as short-term investments with $10,136 classified as cash and cash equivalents. As of December 31, 2024, the Company held</w:t>
      </w:r>
    </w:p>
    <w:p>
      <w:pPr>
        <w:spacing w:after="0" w:line="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5" w:right="4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investments of $103,873, of which $68,279 were classified as short-term investments and $35,002 were classified as long-term investments with $592 classified as cash and cash equivalents. As of September 30, 2025 (unaudited), the Company held investments of $92,558, of which $45,470 were classified as short-term investments and $31,452 were classified as long-term investments with $15,636 classified as cash and cash equivalents. For the years ended December 31, 2023 and 2024, and nine months ended September 30, 2024 and 2025 (unaudited), the Company generated $ 5,792, $5,599, $4,277 and $4,472, respectively, in interest income. The Company has classified these investments as available for sale and has reported the investments at fair value.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 or amortized cost and estimated fair value of debt securities was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Cost or</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rPr>
              <w:t>Gross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Allowance</w:t>
            </w:r>
          </w:p>
        </w:tc>
        <w:tc>
          <w:tcPr>
            <w:tcW w:w="220" w:type="dxa"/>
            <w:vAlign w:val="bottom"/>
          </w:tcPr>
          <w:p>
            <w:pPr>
              <w:spacing w:after="0"/>
              <w:rPr>
                <w:sz w:val="14"/>
                <w:szCs w:val="14"/>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2023</w:t>
            </w:r>
          </w:p>
        </w:tc>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7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rPr>
              <w:t>Unrealized</w:t>
            </w:r>
          </w:p>
        </w:tc>
        <w:tc>
          <w:tcPr>
            <w:tcW w:w="9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for Credit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160" w:type="dxa"/>
            <w:vAlign w:val="bottom"/>
            <w:gridSpan w:val="2"/>
            <w:vMerge w:val="continue"/>
          </w:tcPr>
          <w:p>
            <w:pPr>
              <w:spacing w:after="0"/>
              <w:rPr>
                <w:sz w:val="12"/>
                <w:szCs w:val="12"/>
                <w:color w:val="auto"/>
              </w:rPr>
            </w:pPr>
          </w:p>
        </w:tc>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560"/>
              <w:spacing w:after="0" w:line="142" w:lineRule="exact"/>
              <w:rPr>
                <w:sz w:val="20"/>
                <w:szCs w:val="20"/>
                <w:color w:val="auto"/>
              </w:rPr>
            </w:pPr>
            <w:r>
              <w:rPr>
                <w:rFonts w:ascii="Arial" w:cs="Arial" w:eastAsia="Arial" w:hAnsi="Arial"/>
                <w:sz w:val="14"/>
                <w:szCs w:val="14"/>
                <w:b w:val="1"/>
                <w:bCs w:val="1"/>
                <w:color w:val="auto"/>
              </w:rPr>
              <w:t>Cost</w:t>
            </w:r>
          </w:p>
        </w:tc>
        <w:tc>
          <w:tcPr>
            <w:tcW w:w="4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Gains</w:t>
            </w: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Losses</w:t>
            </w:r>
          </w:p>
        </w:tc>
        <w:tc>
          <w:tcPr>
            <w:tcW w:w="460" w:type="dxa"/>
            <w:vAlign w:val="bottom"/>
          </w:tcPr>
          <w:p>
            <w:pPr>
              <w:spacing w:after="0"/>
              <w:rPr>
                <w:sz w:val="12"/>
                <w:szCs w:val="12"/>
                <w:color w:val="auto"/>
              </w:rPr>
            </w:pPr>
          </w:p>
        </w:tc>
        <w:tc>
          <w:tcPr>
            <w:tcW w:w="520" w:type="dxa"/>
            <w:vAlign w:val="bottom"/>
          </w:tcPr>
          <w:p>
            <w:pPr>
              <w:jc w:val="center"/>
              <w:ind w:left="100"/>
              <w:spacing w:after="0" w:line="142" w:lineRule="exact"/>
              <w:rPr>
                <w:sz w:val="20"/>
                <w:szCs w:val="20"/>
                <w:color w:val="auto"/>
              </w:rPr>
            </w:pPr>
            <w:r>
              <w:rPr>
                <w:rFonts w:ascii="Arial" w:cs="Arial" w:eastAsia="Arial" w:hAnsi="Arial"/>
                <w:sz w:val="14"/>
                <w:szCs w:val="14"/>
                <w:b w:val="1"/>
                <w:bCs w:val="1"/>
                <w:color w:val="auto"/>
              </w:rPr>
              <w:t>Loss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2"/>
        </w:trPr>
        <w:tc>
          <w:tcPr>
            <w:tcW w:w="1300" w:type="dxa"/>
            <w:vAlign w:val="bottom"/>
            <w:tcBorders>
              <w:top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Government bonds</w:t>
            </w:r>
          </w:p>
        </w:tc>
        <w:tc>
          <w:tcPr>
            <w:tcW w:w="3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68,576</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53</w:t>
            </w:r>
          </w:p>
        </w:tc>
        <w:tc>
          <w:tcPr>
            <w:tcW w:w="140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 (19)</w:t>
            </w:r>
          </w:p>
        </w:tc>
        <w:tc>
          <w:tcPr>
            <w:tcW w:w="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68,610</w:t>
            </w:r>
          </w:p>
        </w:tc>
        <w:tc>
          <w:tcPr>
            <w:tcW w:w="0" w:type="dxa"/>
            <w:vAlign w:val="bottom"/>
          </w:tcPr>
          <w:p>
            <w:pPr>
              <w:spacing w:after="0"/>
              <w:rPr>
                <w:sz w:val="1"/>
                <w:szCs w:val="1"/>
                <w:color w:val="auto"/>
              </w:rPr>
            </w:pPr>
          </w:p>
        </w:tc>
      </w:tr>
      <w:tr>
        <w:trPr>
          <w:trHeight w:val="184"/>
        </w:trPr>
        <w:tc>
          <w:tcPr>
            <w:tcW w:w="2160" w:type="dxa"/>
            <w:vAlign w:val="bottom"/>
            <w:gridSpan w:val="2"/>
          </w:tcPr>
          <w:p>
            <w:pPr>
              <w:spacing w:after="0" w:line="183" w:lineRule="exact"/>
              <w:rPr>
                <w:sz w:val="20"/>
                <w:szCs w:val="20"/>
                <w:color w:val="auto"/>
              </w:rPr>
            </w:pPr>
            <w:r>
              <w:rPr>
                <w:rFonts w:ascii="Arial" w:cs="Arial" w:eastAsia="Arial" w:hAnsi="Arial"/>
                <w:sz w:val="18"/>
                <w:szCs w:val="18"/>
                <w:color w:val="auto"/>
              </w:rPr>
              <w:t>Corporate debt securities</w:t>
            </w:r>
          </w:p>
        </w:tc>
        <w:tc>
          <w:tcPr>
            <w:tcW w:w="3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gridSpan w:val="2"/>
          </w:tcPr>
          <w:p>
            <w:pPr>
              <w:ind w:left="320"/>
              <w:spacing w:after="0" w:line="183" w:lineRule="exact"/>
              <w:rPr>
                <w:sz w:val="20"/>
                <w:szCs w:val="20"/>
                <w:color w:val="auto"/>
              </w:rPr>
            </w:pPr>
            <w:r>
              <w:rPr>
                <w:rFonts w:ascii="Arial" w:cs="Arial" w:eastAsia="Arial" w:hAnsi="Arial"/>
                <w:sz w:val="18"/>
                <w:szCs w:val="18"/>
                <w:color w:val="auto"/>
              </w:rPr>
              <w:t> </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32,327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1400" w:type="dxa"/>
            <w:vAlign w:val="bottom"/>
            <w:gridSpan w:val="3"/>
          </w:tcPr>
          <w:p>
            <w:pPr>
              <w:jc w:val="right"/>
              <w:ind w:right="460"/>
              <w:spacing w:after="0"/>
              <w:rPr>
                <w:sz w:val="20"/>
                <w:szCs w:val="20"/>
                <w:color w:val="auto"/>
              </w:rPr>
            </w:pPr>
            <w:r>
              <w:rPr>
                <w:rFonts w:ascii="Arial" w:cs="Arial" w:eastAsia="Arial" w:hAnsi="Arial"/>
                <w:sz w:val="18"/>
                <w:szCs w:val="18"/>
                <w:color w:val="auto"/>
              </w:rPr>
              <w:t>(21)</w:t>
            </w:r>
          </w:p>
        </w:tc>
        <w:tc>
          <w:tcPr>
            <w:tcW w:w="520" w:type="dxa"/>
            <w:vAlign w:val="bottom"/>
          </w:tcPr>
          <w:p>
            <w:pPr>
              <w:ind w:left="160"/>
              <w:spacing w:after="0"/>
              <w:rPr>
                <w:sz w:val="20"/>
                <w:szCs w:val="20"/>
                <w:color w:val="auto"/>
              </w:rPr>
            </w:pPr>
            <w:r>
              <w:rPr>
                <w:rFonts w:ascii="Arial" w:cs="Arial" w:eastAsia="Arial" w:hAnsi="Arial"/>
                <w:sz w:val="18"/>
                <w:szCs w:val="18"/>
                <w:color w:val="auto"/>
              </w:rPr>
              <w:t xml:space="preserve">    </w:t>
            </w: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32,353</w:t>
            </w: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Agency bond</w:t>
            </w:r>
          </w:p>
        </w:tc>
        <w:tc>
          <w:tcPr>
            <w:tcW w:w="3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3,000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10"/>
        </w:trPr>
        <w:tc>
          <w:tcPr>
            <w:tcW w:w="2160" w:type="dxa"/>
            <w:vAlign w:val="bottom"/>
            <w:gridSpan w:val="2"/>
          </w:tcPr>
          <w:p>
            <w:pPr>
              <w:ind w:left="360"/>
              <w:spacing w:after="0"/>
              <w:rPr>
                <w:sz w:val="20"/>
                <w:szCs w:val="20"/>
                <w:color w:val="auto"/>
              </w:rPr>
            </w:pPr>
            <w:r>
              <w:rPr>
                <w:rFonts w:ascii="Arial" w:cs="Arial" w:eastAsia="Arial" w:hAnsi="Arial"/>
                <w:sz w:val="18"/>
                <w:szCs w:val="18"/>
                <w:color w:val="auto"/>
              </w:rPr>
              <w:t>Total investments</w:t>
            </w: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103,903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100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(46)</w:t>
            </w:r>
          </w:p>
        </w:tc>
        <w:tc>
          <w:tcPr>
            <w:tcW w:w="46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Cost or</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rPr>
              <w:t>Gross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Allowance</w:t>
            </w:r>
          </w:p>
        </w:tc>
        <w:tc>
          <w:tcPr>
            <w:tcW w:w="220" w:type="dxa"/>
            <w:vAlign w:val="bottom"/>
          </w:tcPr>
          <w:p>
            <w:pPr>
              <w:spacing w:after="0"/>
              <w:rPr>
                <w:sz w:val="24"/>
                <w:szCs w:val="24"/>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2024</w:t>
            </w:r>
          </w:p>
        </w:tc>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7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rPr>
              <w:t>Unrealized</w:t>
            </w:r>
          </w:p>
        </w:tc>
        <w:tc>
          <w:tcPr>
            <w:tcW w:w="9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for Credit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160" w:type="dxa"/>
            <w:vAlign w:val="bottom"/>
            <w:gridSpan w:val="2"/>
            <w:vMerge w:val="continue"/>
          </w:tcPr>
          <w:p>
            <w:pPr>
              <w:spacing w:after="0"/>
              <w:rPr>
                <w:sz w:val="12"/>
                <w:szCs w:val="12"/>
                <w:color w:val="auto"/>
              </w:rPr>
            </w:pPr>
          </w:p>
        </w:tc>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560"/>
              <w:spacing w:after="0" w:line="142" w:lineRule="exact"/>
              <w:rPr>
                <w:sz w:val="20"/>
                <w:szCs w:val="20"/>
                <w:color w:val="auto"/>
              </w:rPr>
            </w:pPr>
            <w:r>
              <w:rPr>
                <w:rFonts w:ascii="Arial" w:cs="Arial" w:eastAsia="Arial" w:hAnsi="Arial"/>
                <w:sz w:val="14"/>
                <w:szCs w:val="14"/>
                <w:b w:val="1"/>
                <w:bCs w:val="1"/>
                <w:color w:val="auto"/>
              </w:rPr>
              <w:t>Cost</w:t>
            </w:r>
          </w:p>
        </w:tc>
        <w:tc>
          <w:tcPr>
            <w:tcW w:w="4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Gains</w:t>
            </w: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Losses</w:t>
            </w:r>
          </w:p>
        </w:tc>
        <w:tc>
          <w:tcPr>
            <w:tcW w:w="460" w:type="dxa"/>
            <w:vAlign w:val="bottom"/>
          </w:tcPr>
          <w:p>
            <w:pPr>
              <w:spacing w:after="0"/>
              <w:rPr>
                <w:sz w:val="12"/>
                <w:szCs w:val="12"/>
                <w:color w:val="auto"/>
              </w:rPr>
            </w:pPr>
          </w:p>
        </w:tc>
        <w:tc>
          <w:tcPr>
            <w:tcW w:w="520" w:type="dxa"/>
            <w:vAlign w:val="bottom"/>
          </w:tcPr>
          <w:p>
            <w:pPr>
              <w:jc w:val="center"/>
              <w:ind w:left="100"/>
              <w:spacing w:after="0" w:line="142" w:lineRule="exact"/>
              <w:rPr>
                <w:sz w:val="20"/>
                <w:szCs w:val="20"/>
                <w:color w:val="auto"/>
              </w:rPr>
            </w:pPr>
            <w:r>
              <w:rPr>
                <w:rFonts w:ascii="Arial" w:cs="Arial" w:eastAsia="Arial" w:hAnsi="Arial"/>
                <w:sz w:val="14"/>
                <w:szCs w:val="14"/>
                <w:b w:val="1"/>
                <w:bCs w:val="1"/>
                <w:color w:val="auto"/>
              </w:rPr>
              <w:t>Loss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2"/>
        </w:trPr>
        <w:tc>
          <w:tcPr>
            <w:tcW w:w="1300" w:type="dxa"/>
            <w:vAlign w:val="bottom"/>
            <w:tcBorders>
              <w:top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Government bonds</w:t>
            </w:r>
          </w:p>
        </w:tc>
        <w:tc>
          <w:tcPr>
            <w:tcW w:w="3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32,564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w:t>
            </w:r>
          </w:p>
        </w:tc>
        <w:tc>
          <w:tcPr>
            <w:tcW w:w="140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 (12)</w:t>
            </w:r>
          </w:p>
        </w:tc>
        <w:tc>
          <w:tcPr>
            <w:tcW w:w="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32,564</w:t>
            </w:r>
          </w:p>
        </w:tc>
        <w:tc>
          <w:tcPr>
            <w:tcW w:w="0" w:type="dxa"/>
            <w:vAlign w:val="bottom"/>
          </w:tcPr>
          <w:p>
            <w:pPr>
              <w:spacing w:after="0"/>
              <w:rPr>
                <w:sz w:val="1"/>
                <w:szCs w:val="1"/>
                <w:color w:val="auto"/>
              </w:rPr>
            </w:pPr>
          </w:p>
        </w:tc>
      </w:tr>
      <w:tr>
        <w:trPr>
          <w:trHeight w:val="202"/>
        </w:trPr>
        <w:tc>
          <w:tcPr>
            <w:tcW w:w="2160" w:type="dxa"/>
            <w:vAlign w:val="bottom"/>
            <w:gridSpan w:val="2"/>
          </w:tcPr>
          <w:p>
            <w:pPr>
              <w:spacing w:after="0" w:line="202" w:lineRule="exact"/>
              <w:rPr>
                <w:sz w:val="20"/>
                <w:szCs w:val="20"/>
                <w:color w:val="auto"/>
              </w:rPr>
            </w:pPr>
            <w:r>
              <w:rPr>
                <w:rFonts w:ascii="Arial" w:cs="Arial" w:eastAsia="Arial" w:hAnsi="Arial"/>
                <w:sz w:val="18"/>
                <w:szCs w:val="18"/>
                <w:color w:val="auto"/>
              </w:rPr>
              <w:t>Corporate debt securities</w:t>
            </w:r>
          </w:p>
        </w:tc>
        <w:tc>
          <w:tcPr>
            <w:tcW w:w="3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48,400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w:t>
            </w:r>
          </w:p>
        </w:tc>
        <w:tc>
          <w:tcPr>
            <w:tcW w:w="140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(67)</w:t>
            </w:r>
          </w:p>
        </w:tc>
        <w:tc>
          <w:tcPr>
            <w:tcW w:w="520" w:type="dxa"/>
            <w:vAlign w:val="bottom"/>
          </w:tcPr>
          <w:p>
            <w:pPr>
              <w:spacing w:after="0"/>
              <w:rPr>
                <w:sz w:val="17"/>
                <w:szCs w:val="17"/>
                <w:color w:val="auto"/>
              </w:rPr>
            </w:pPr>
          </w:p>
        </w:tc>
        <w:tc>
          <w:tcPr>
            <w:tcW w:w="42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48,352</w:t>
            </w: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Agency bond</w:t>
            </w:r>
          </w:p>
        </w:tc>
        <w:tc>
          <w:tcPr>
            <w:tcW w:w="3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18,405</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140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(18)</w:t>
            </w:r>
          </w:p>
        </w:tc>
        <w:tc>
          <w:tcPr>
            <w:tcW w:w="5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18,388</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line="202" w:lineRule="exact"/>
              <w:rPr>
                <w:sz w:val="20"/>
                <w:szCs w:val="20"/>
                <w:color w:val="auto"/>
              </w:rPr>
            </w:pPr>
            <w:r>
              <w:rPr>
                <w:rFonts w:ascii="Arial" w:cs="Arial" w:eastAsia="Arial" w:hAnsi="Arial"/>
                <w:sz w:val="18"/>
                <w:szCs w:val="18"/>
                <w:color w:val="auto"/>
              </w:rPr>
              <w:t>Municipal bond</w:t>
            </w:r>
          </w:p>
        </w:tc>
        <w:tc>
          <w:tcPr>
            <w:tcW w:w="3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3,978</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1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investments</w:t>
            </w:r>
          </w:p>
        </w:tc>
        <w:tc>
          <w:tcPr>
            <w:tcW w:w="458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103,347</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32</w:t>
            </w:r>
          </w:p>
        </w:tc>
        <w:tc>
          <w:tcPr>
            <w:tcW w:w="140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 (98)</w:t>
            </w:r>
          </w:p>
        </w:tc>
        <w:tc>
          <w:tcPr>
            <w:tcW w:w="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103,281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Cost or</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rPr>
              <w:t>Gross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Allowance</w:t>
            </w:r>
          </w:p>
        </w:tc>
        <w:tc>
          <w:tcPr>
            <w:tcW w:w="220" w:type="dxa"/>
            <w:vAlign w:val="bottom"/>
          </w:tcPr>
          <w:p>
            <w:pPr>
              <w:spacing w:after="0"/>
              <w:rPr>
                <w:sz w:val="24"/>
                <w:szCs w:val="24"/>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September 30, 2025 (unaudited)</w:t>
            </w:r>
          </w:p>
        </w:tc>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7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rPr>
              <w:t>Unrealized</w:t>
            </w:r>
          </w:p>
        </w:tc>
        <w:tc>
          <w:tcPr>
            <w:tcW w:w="9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for Credit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160" w:type="dxa"/>
            <w:vAlign w:val="bottom"/>
            <w:gridSpan w:val="2"/>
            <w:vMerge w:val="continue"/>
          </w:tcPr>
          <w:p>
            <w:pPr>
              <w:spacing w:after="0"/>
              <w:rPr>
                <w:sz w:val="12"/>
                <w:szCs w:val="12"/>
                <w:color w:val="auto"/>
              </w:rPr>
            </w:pPr>
          </w:p>
        </w:tc>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560"/>
              <w:spacing w:after="0" w:line="142" w:lineRule="exact"/>
              <w:rPr>
                <w:sz w:val="20"/>
                <w:szCs w:val="20"/>
                <w:color w:val="auto"/>
              </w:rPr>
            </w:pPr>
            <w:r>
              <w:rPr>
                <w:rFonts w:ascii="Arial" w:cs="Arial" w:eastAsia="Arial" w:hAnsi="Arial"/>
                <w:sz w:val="14"/>
                <w:szCs w:val="14"/>
                <w:b w:val="1"/>
                <w:bCs w:val="1"/>
                <w:color w:val="auto"/>
              </w:rPr>
              <w:t>Cost</w:t>
            </w:r>
          </w:p>
        </w:tc>
        <w:tc>
          <w:tcPr>
            <w:tcW w:w="4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Gains</w:t>
            </w: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Losses</w:t>
            </w:r>
          </w:p>
        </w:tc>
        <w:tc>
          <w:tcPr>
            <w:tcW w:w="460" w:type="dxa"/>
            <w:vAlign w:val="bottom"/>
          </w:tcPr>
          <w:p>
            <w:pPr>
              <w:spacing w:after="0"/>
              <w:rPr>
                <w:sz w:val="12"/>
                <w:szCs w:val="12"/>
                <w:color w:val="auto"/>
              </w:rPr>
            </w:pPr>
          </w:p>
        </w:tc>
        <w:tc>
          <w:tcPr>
            <w:tcW w:w="520" w:type="dxa"/>
            <w:vAlign w:val="bottom"/>
          </w:tcPr>
          <w:p>
            <w:pPr>
              <w:jc w:val="center"/>
              <w:ind w:left="100"/>
              <w:spacing w:after="0" w:line="142" w:lineRule="exact"/>
              <w:rPr>
                <w:sz w:val="20"/>
                <w:szCs w:val="20"/>
                <w:color w:val="auto"/>
              </w:rPr>
            </w:pPr>
            <w:r>
              <w:rPr>
                <w:rFonts w:ascii="Arial" w:cs="Arial" w:eastAsia="Arial" w:hAnsi="Arial"/>
                <w:sz w:val="14"/>
                <w:szCs w:val="14"/>
                <w:b w:val="1"/>
                <w:bCs w:val="1"/>
                <w:color w:val="auto"/>
              </w:rPr>
              <w:t>Loss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2"/>
        </w:trPr>
        <w:tc>
          <w:tcPr>
            <w:tcW w:w="13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Government bonds</w:t>
            </w:r>
          </w:p>
        </w:tc>
        <w:tc>
          <w:tcPr>
            <w:tcW w:w="3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9,942</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140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line="202" w:lineRule="exact"/>
              <w:rPr>
                <w:sz w:val="20"/>
                <w:szCs w:val="20"/>
                <w:color w:val="auto"/>
              </w:rPr>
            </w:pPr>
            <w:r>
              <w:rPr>
                <w:rFonts w:ascii="Arial" w:cs="Arial" w:eastAsia="Arial" w:hAnsi="Arial"/>
                <w:sz w:val="18"/>
                <w:szCs w:val="18"/>
                <w:color w:val="auto"/>
              </w:rPr>
              <w:t>Corporate debt securities</w:t>
            </w:r>
          </w:p>
        </w:tc>
        <w:tc>
          <w:tcPr>
            <w:tcW w:w="3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54,875</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9"/>
              </w:rPr>
              <w:t>177</w:t>
            </w:r>
          </w:p>
        </w:tc>
        <w:tc>
          <w:tcPr>
            <w:tcW w:w="140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(8)</w:t>
            </w:r>
          </w:p>
        </w:tc>
        <w:tc>
          <w:tcPr>
            <w:tcW w:w="520" w:type="dxa"/>
            <w:vAlign w:val="bottom"/>
          </w:tcPr>
          <w:p>
            <w:pPr>
              <w:spacing w:after="0"/>
              <w:rPr>
                <w:sz w:val="17"/>
                <w:szCs w:val="17"/>
                <w:color w:val="auto"/>
              </w:rPr>
            </w:pPr>
          </w:p>
        </w:tc>
        <w:tc>
          <w:tcPr>
            <w:tcW w:w="42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55,044</w:t>
            </w: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Agency bond</w:t>
            </w:r>
          </w:p>
        </w:tc>
        <w:tc>
          <w:tcPr>
            <w:tcW w:w="3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11,928</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w:t>
            </w:r>
          </w:p>
        </w:tc>
        <w:tc>
          <w:tcPr>
            <w:tcW w:w="140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11,933</w:t>
            </w:r>
          </w:p>
        </w:tc>
        <w:tc>
          <w:tcPr>
            <w:tcW w:w="0" w:type="dxa"/>
            <w:vAlign w:val="bottom"/>
          </w:tcPr>
          <w:p>
            <w:pPr>
              <w:spacing w:after="0"/>
              <w:rPr>
                <w:sz w:val="1"/>
                <w:szCs w:val="1"/>
                <w:color w:val="auto"/>
              </w:rPr>
            </w:pPr>
          </w:p>
        </w:tc>
      </w:tr>
      <w:tr>
        <w:trPr>
          <w:trHeight w:val="210"/>
        </w:trPr>
        <w:tc>
          <w:tcPr>
            <w:tcW w:w="2160" w:type="dxa"/>
            <w:vAlign w:val="bottom"/>
            <w:gridSpan w:val="2"/>
          </w:tcPr>
          <w:p>
            <w:pPr>
              <w:ind w:left="360"/>
              <w:spacing w:after="0"/>
              <w:rPr>
                <w:sz w:val="20"/>
                <w:szCs w:val="20"/>
                <w:color w:val="auto"/>
              </w:rPr>
            </w:pPr>
            <w:r>
              <w:rPr>
                <w:rFonts w:ascii="Arial" w:cs="Arial" w:eastAsia="Arial" w:hAnsi="Arial"/>
                <w:sz w:val="18"/>
                <w:szCs w:val="18"/>
                <w:color w:val="auto"/>
              </w:rPr>
              <w:t>Total investments</w:t>
            </w:r>
          </w:p>
        </w:tc>
        <w:tc>
          <w:tcPr>
            <w:tcW w:w="37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76,745</w:t>
            </w: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188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(11)</w:t>
            </w:r>
          </w:p>
        </w:tc>
        <w:tc>
          <w:tcPr>
            <w:tcW w:w="46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The Company examined the securities in question at each balance sheet date to determine if there was a need to recognize an allowance for credit loss pertaining to these securities. Upon review of all holdings, it was concluded that the unrealized losses on the fixed maturity securities were chiefly attributable to the interest rate environment, rather than the credit quality of the issuers. The Company has no plans to offload these investments, and it is unlikely for a necessary sale to occur before the recovery of their amortized cost basis. Hence, no allowance for credit loss was recognized as of December 31, 2023 and 2024, and as of September 30, 2024 and 2025 (unaudited).</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5" w:right="4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right="240" w:firstLine="551"/>
        <w:spacing w:after="0" w:line="271" w:lineRule="auto"/>
        <w:rPr>
          <w:sz w:val="20"/>
          <w:szCs w:val="20"/>
          <w:color w:val="auto"/>
        </w:rPr>
      </w:pPr>
      <w:r>
        <w:rPr>
          <w:rFonts w:ascii="Arial" w:cs="Arial" w:eastAsia="Arial" w:hAnsi="Arial"/>
          <w:sz w:val="18"/>
          <w:szCs w:val="18"/>
          <w:color w:val="auto"/>
        </w:rPr>
        <w:t>The gross unrealized losses and estimated fair values on investments aggregated by investment category and length of time that the individual securities have been in a continuous unrealized loss position were as follows:</w:t>
      </w:r>
    </w:p>
    <w:p>
      <w:pPr>
        <w:spacing w:after="0" w:line="6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ind w:left="180"/>
              <w:spacing w:after="0"/>
              <w:rPr>
                <w:sz w:val="20"/>
                <w:szCs w:val="20"/>
                <w:color w:val="auto"/>
              </w:rPr>
            </w:pPr>
            <w:r>
              <w:rPr>
                <w:rFonts w:ascii="Arial" w:cs="Arial" w:eastAsia="Arial" w:hAnsi="Arial"/>
                <w:sz w:val="14"/>
                <w:szCs w:val="14"/>
                <w:b w:val="1"/>
                <w:bCs w:val="1"/>
                <w:color w:val="auto"/>
              </w:rPr>
              <w:t>12 months or greater</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ind w:left="200"/>
              <w:spacing w:after="0"/>
              <w:rPr>
                <w:sz w:val="20"/>
                <w:szCs w:val="20"/>
                <w:color w:val="auto"/>
              </w:rPr>
            </w:pPr>
            <w:r>
              <w:rPr>
                <w:rFonts w:ascii="Arial" w:cs="Arial" w:eastAsia="Arial" w:hAnsi="Arial"/>
                <w:sz w:val="14"/>
                <w:szCs w:val="14"/>
                <w:b w:val="1"/>
                <w:bCs w:val="1"/>
                <w:color w:val="auto"/>
              </w:rPr>
              <w:t>Less than 12 months</w:t>
            </w:r>
          </w:p>
        </w:tc>
        <w:tc>
          <w:tcPr>
            <w:tcW w:w="0" w:type="dxa"/>
            <w:vAlign w:val="bottom"/>
          </w:tcPr>
          <w:p>
            <w:pPr>
              <w:spacing w:after="0"/>
              <w:rPr>
                <w:sz w:val="1"/>
                <w:szCs w:val="1"/>
                <w:color w:val="auto"/>
              </w:rPr>
            </w:pPr>
          </w:p>
        </w:tc>
      </w:tr>
      <w:tr>
        <w:trPr>
          <w:trHeight w:val="146"/>
        </w:trPr>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2023</w:t>
            </w:r>
          </w:p>
        </w:tc>
        <w:tc>
          <w:tcPr>
            <w:tcW w:w="4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Borders>
              <w:top w:val="single" w:sz="8" w:color="auto"/>
            </w:tcBorders>
            <w:gridSpan w:val="4"/>
          </w:tcPr>
          <w:p>
            <w:pPr>
              <w:spacing w:after="0" w:line="147" w:lineRule="exact"/>
              <w:rPr>
                <w:sz w:val="20"/>
                <w:szCs w:val="20"/>
                <w:color w:val="auto"/>
              </w:rPr>
            </w:pPr>
            <w:r>
              <w:rPr>
                <w:rFonts w:ascii="Arial" w:cs="Arial" w:eastAsia="Arial" w:hAnsi="Arial"/>
                <w:sz w:val="14"/>
                <w:szCs w:val="14"/>
                <w:b w:val="1"/>
                <w:bCs w:val="1"/>
                <w:color w:val="auto"/>
              </w:rPr>
              <w:t>Unrealized</w:t>
            </w:r>
          </w:p>
        </w:tc>
        <w:tc>
          <w:tcPr>
            <w:tcW w:w="68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b w:val="1"/>
                <w:bCs w:val="1"/>
                <w:color w:val="auto"/>
                <w:w w:val="98"/>
              </w:rPr>
              <w:t>Estimated</w:t>
            </w:r>
          </w:p>
        </w:tc>
        <w:tc>
          <w:tcPr>
            <w:tcW w:w="58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Unrealized</w:t>
            </w: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w w:val="98"/>
              </w:rPr>
              <w:t>Estimated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160" w:type="dxa"/>
            <w:vAlign w:val="bottom"/>
            <w:gridSpan w:val="2"/>
            <w:vMerge w:val="continue"/>
          </w:tcPr>
          <w:p>
            <w:pPr>
              <w:spacing w:after="0"/>
              <w:rPr>
                <w:sz w:val="14"/>
                <w:szCs w:val="14"/>
                <w:color w:val="auto"/>
              </w:rPr>
            </w:pPr>
          </w:p>
        </w:tc>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Losses</w:t>
            </w:r>
          </w:p>
        </w:tc>
        <w:tc>
          <w:tcPr>
            <w:tcW w:w="12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96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w w:val="99"/>
              </w:rPr>
              <w:t>Losses</w:t>
            </w:r>
          </w:p>
        </w:tc>
        <w:tc>
          <w:tcPr>
            <w:tcW w:w="280" w:type="dxa"/>
            <w:vAlign w:val="bottom"/>
          </w:tcPr>
          <w:p>
            <w:pPr>
              <w:spacing w:after="0"/>
              <w:rPr>
                <w:sz w:val="14"/>
                <w:szCs w:val="14"/>
                <w:color w:val="auto"/>
              </w:rPr>
            </w:pPr>
          </w:p>
        </w:tc>
        <w:tc>
          <w:tcPr>
            <w:tcW w:w="7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1300" w:type="dxa"/>
            <w:vAlign w:val="bottom"/>
            <w:tcBorders>
              <w:top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Government bonds</w:t>
            </w:r>
          </w:p>
        </w:tc>
        <w:tc>
          <w:tcPr>
            <w:tcW w:w="4280" w:type="dxa"/>
            <w:vAlign w:val="bottom"/>
            <w:gridSpan w:val="3"/>
            <w:shd w:val="clear" w:color="auto" w:fill="CCEEFF"/>
          </w:tcPr>
          <w:p>
            <w:pPr>
              <w:ind w:left="416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(19)</w:t>
            </w:r>
          </w:p>
        </w:tc>
        <w:tc>
          <w:tcPr>
            <w:tcW w:w="10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$ 23,540</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line="202" w:lineRule="exact"/>
              <w:rPr>
                <w:sz w:val="20"/>
                <w:szCs w:val="20"/>
                <w:color w:val="auto"/>
              </w:rPr>
            </w:pPr>
            <w:r>
              <w:rPr>
                <w:rFonts w:ascii="Arial" w:cs="Arial" w:eastAsia="Arial" w:hAnsi="Arial"/>
                <w:sz w:val="18"/>
                <w:szCs w:val="18"/>
                <w:color w:val="auto"/>
              </w:rPr>
              <w:t>Corporate debt securities</w:t>
            </w:r>
          </w:p>
        </w:tc>
        <w:tc>
          <w:tcPr>
            <w:tcW w:w="4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23,100</w:t>
            </w: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Agency bond</w:t>
            </w:r>
          </w:p>
        </w:tc>
        <w:tc>
          <w:tcPr>
            <w:tcW w:w="4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10"/>
        </w:trPr>
        <w:tc>
          <w:tcPr>
            <w:tcW w:w="2160" w:type="dxa"/>
            <w:vAlign w:val="bottom"/>
            <w:gridSpan w:val="2"/>
          </w:tcPr>
          <w:p>
            <w:pPr>
              <w:ind w:left="360"/>
              <w:spacing w:after="0"/>
              <w:rPr>
                <w:sz w:val="20"/>
                <w:szCs w:val="20"/>
                <w:color w:val="auto"/>
              </w:rPr>
            </w:pPr>
            <w:r>
              <w:rPr>
                <w:rFonts w:ascii="Arial" w:cs="Arial" w:eastAsia="Arial" w:hAnsi="Arial"/>
                <w:sz w:val="18"/>
                <w:szCs w:val="18"/>
                <w:color w:val="auto"/>
              </w:rPr>
              <w:t>Total investments</w:t>
            </w: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5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$ 49,634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4"/>
          </w:tcPr>
          <w:p>
            <w:pPr>
              <w:ind w:left="180"/>
              <w:spacing w:after="0"/>
              <w:rPr>
                <w:sz w:val="20"/>
                <w:szCs w:val="20"/>
                <w:color w:val="auto"/>
              </w:rPr>
            </w:pPr>
            <w:r>
              <w:rPr>
                <w:rFonts w:ascii="Arial" w:cs="Arial" w:eastAsia="Arial" w:hAnsi="Arial"/>
                <w:sz w:val="14"/>
                <w:szCs w:val="14"/>
                <w:b w:val="1"/>
                <w:bCs w:val="1"/>
                <w:color w:val="auto"/>
              </w:rPr>
              <w:t>12 months or greater</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6"/>
          </w:tcPr>
          <w:p>
            <w:pPr>
              <w:ind w:left="200"/>
              <w:spacing w:after="0"/>
              <w:rPr>
                <w:sz w:val="20"/>
                <w:szCs w:val="20"/>
                <w:color w:val="auto"/>
              </w:rPr>
            </w:pPr>
            <w:r>
              <w:rPr>
                <w:rFonts w:ascii="Arial" w:cs="Arial" w:eastAsia="Arial" w:hAnsi="Arial"/>
                <w:sz w:val="14"/>
                <w:szCs w:val="14"/>
                <w:b w:val="1"/>
                <w:bCs w:val="1"/>
                <w:color w:val="auto"/>
              </w:rPr>
              <w:t>Less than 12 months</w:t>
            </w:r>
          </w:p>
        </w:tc>
        <w:tc>
          <w:tcPr>
            <w:tcW w:w="0" w:type="dxa"/>
            <w:vAlign w:val="bottom"/>
          </w:tcPr>
          <w:p>
            <w:pPr>
              <w:spacing w:after="0"/>
              <w:rPr>
                <w:sz w:val="1"/>
                <w:szCs w:val="1"/>
                <w:color w:val="auto"/>
              </w:rPr>
            </w:pPr>
          </w:p>
        </w:tc>
      </w:tr>
      <w:tr>
        <w:trPr>
          <w:trHeight w:val="146"/>
        </w:trPr>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2024</w:t>
            </w:r>
          </w:p>
        </w:tc>
        <w:tc>
          <w:tcPr>
            <w:tcW w:w="4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Borders>
              <w:top w:val="single" w:sz="8" w:color="auto"/>
            </w:tcBorders>
            <w:gridSpan w:val="4"/>
          </w:tcPr>
          <w:p>
            <w:pPr>
              <w:spacing w:after="0" w:line="147" w:lineRule="exact"/>
              <w:rPr>
                <w:sz w:val="20"/>
                <w:szCs w:val="20"/>
                <w:color w:val="auto"/>
              </w:rPr>
            </w:pPr>
            <w:r>
              <w:rPr>
                <w:rFonts w:ascii="Arial" w:cs="Arial" w:eastAsia="Arial" w:hAnsi="Arial"/>
                <w:sz w:val="14"/>
                <w:szCs w:val="14"/>
                <w:b w:val="1"/>
                <w:bCs w:val="1"/>
                <w:color w:val="auto"/>
              </w:rPr>
              <w:t>Unrealized</w:t>
            </w:r>
          </w:p>
        </w:tc>
        <w:tc>
          <w:tcPr>
            <w:tcW w:w="68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b w:val="1"/>
                <w:bCs w:val="1"/>
                <w:color w:val="auto"/>
                <w:w w:val="98"/>
              </w:rPr>
              <w:t>Estimated</w:t>
            </w:r>
          </w:p>
        </w:tc>
        <w:tc>
          <w:tcPr>
            <w:tcW w:w="58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Unrealized</w:t>
            </w: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w w:val="98"/>
              </w:rPr>
              <w:t>Estimated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160" w:type="dxa"/>
            <w:vAlign w:val="bottom"/>
            <w:gridSpan w:val="2"/>
            <w:vMerge w:val="continue"/>
          </w:tcPr>
          <w:p>
            <w:pPr>
              <w:spacing w:after="0"/>
              <w:rPr>
                <w:sz w:val="14"/>
                <w:szCs w:val="14"/>
                <w:color w:val="auto"/>
              </w:rPr>
            </w:pPr>
          </w:p>
        </w:tc>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Losses</w:t>
            </w:r>
          </w:p>
        </w:tc>
        <w:tc>
          <w:tcPr>
            <w:tcW w:w="12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96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w w:val="99"/>
              </w:rPr>
              <w:t>Losses</w:t>
            </w:r>
          </w:p>
        </w:tc>
        <w:tc>
          <w:tcPr>
            <w:tcW w:w="280" w:type="dxa"/>
            <w:vAlign w:val="bottom"/>
          </w:tcPr>
          <w:p>
            <w:pPr>
              <w:spacing w:after="0"/>
              <w:rPr>
                <w:sz w:val="14"/>
                <w:szCs w:val="14"/>
                <w:color w:val="auto"/>
              </w:rPr>
            </w:pPr>
          </w:p>
        </w:tc>
        <w:tc>
          <w:tcPr>
            <w:tcW w:w="7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1300" w:type="dxa"/>
            <w:vAlign w:val="bottom"/>
            <w:tcBorders>
              <w:top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Government bonds</w:t>
            </w:r>
          </w:p>
        </w:tc>
        <w:tc>
          <w:tcPr>
            <w:tcW w:w="4280" w:type="dxa"/>
            <w:vAlign w:val="bottom"/>
            <w:gridSpan w:val="3"/>
            <w:shd w:val="clear" w:color="auto" w:fill="CCEEFF"/>
          </w:tcPr>
          <w:p>
            <w:pPr>
              <w:ind w:left="416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(12)</w:t>
            </w:r>
          </w:p>
        </w:tc>
        <w:tc>
          <w:tcPr>
            <w:tcW w:w="10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$ 16,184</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line="202" w:lineRule="exact"/>
              <w:rPr>
                <w:sz w:val="20"/>
                <w:szCs w:val="20"/>
                <w:color w:val="auto"/>
              </w:rPr>
            </w:pPr>
            <w:r>
              <w:rPr>
                <w:rFonts w:ascii="Arial" w:cs="Arial" w:eastAsia="Arial" w:hAnsi="Arial"/>
                <w:sz w:val="18"/>
                <w:szCs w:val="18"/>
                <w:color w:val="auto"/>
              </w:rPr>
              <w:t>Corporate debt securities</w:t>
            </w:r>
          </w:p>
        </w:tc>
        <w:tc>
          <w:tcPr>
            <w:tcW w:w="4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32,852</w:t>
            </w: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Agency bond</w:t>
            </w:r>
          </w:p>
        </w:tc>
        <w:tc>
          <w:tcPr>
            <w:tcW w:w="4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16,139</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line="202" w:lineRule="exact"/>
              <w:rPr>
                <w:sz w:val="20"/>
                <w:szCs w:val="20"/>
                <w:color w:val="auto"/>
              </w:rPr>
            </w:pPr>
            <w:r>
              <w:rPr>
                <w:rFonts w:ascii="Arial" w:cs="Arial" w:eastAsia="Arial" w:hAnsi="Arial"/>
                <w:sz w:val="18"/>
                <w:szCs w:val="18"/>
                <w:color w:val="auto"/>
              </w:rPr>
              <w:t>Municipal bond</w:t>
            </w:r>
          </w:p>
        </w:tc>
        <w:tc>
          <w:tcPr>
            <w:tcW w:w="4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440"/>
              <w:spacing w:after="0" w:line="202" w:lineRule="exact"/>
              <w:rPr>
                <w:sz w:val="20"/>
                <w:szCs w:val="20"/>
                <w:color w:val="auto"/>
              </w:rPr>
            </w:pPr>
            <w:r>
              <w:rPr>
                <w:rFonts w:ascii="Arial" w:cs="Arial" w:eastAsia="Arial" w:hAnsi="Arial"/>
                <w:sz w:val="18"/>
                <w:szCs w:val="18"/>
                <w:color w:val="auto"/>
                <w:w w:val="88"/>
              </w:rPr>
              <w:t>—</w:t>
            </w:r>
          </w:p>
        </w:tc>
        <w:tc>
          <w:tcPr>
            <w:tcW w:w="58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1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investments</w:t>
            </w:r>
          </w:p>
        </w:tc>
        <w:tc>
          <w:tcPr>
            <w:tcW w:w="4280" w:type="dxa"/>
            <w:vAlign w:val="bottom"/>
            <w:gridSpan w:val="3"/>
            <w:shd w:val="clear" w:color="auto" w:fill="CCEEFF"/>
          </w:tcPr>
          <w:p>
            <w:pPr>
              <w:ind w:left="416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(98)</w:t>
            </w:r>
          </w:p>
        </w:tc>
        <w:tc>
          <w:tcPr>
            <w:tcW w:w="10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$ 69,152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4"/>
          </w:tcPr>
          <w:p>
            <w:pPr>
              <w:ind w:left="180"/>
              <w:spacing w:after="0"/>
              <w:rPr>
                <w:sz w:val="20"/>
                <w:szCs w:val="20"/>
                <w:color w:val="auto"/>
              </w:rPr>
            </w:pPr>
            <w:r>
              <w:rPr>
                <w:rFonts w:ascii="Arial" w:cs="Arial" w:eastAsia="Arial" w:hAnsi="Arial"/>
                <w:sz w:val="14"/>
                <w:szCs w:val="14"/>
                <w:b w:val="1"/>
                <w:bCs w:val="1"/>
                <w:color w:val="auto"/>
              </w:rPr>
              <w:t>12 months or greater</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6"/>
          </w:tcPr>
          <w:p>
            <w:pPr>
              <w:ind w:left="200"/>
              <w:spacing w:after="0"/>
              <w:rPr>
                <w:sz w:val="20"/>
                <w:szCs w:val="20"/>
                <w:color w:val="auto"/>
              </w:rPr>
            </w:pPr>
            <w:r>
              <w:rPr>
                <w:rFonts w:ascii="Arial" w:cs="Arial" w:eastAsia="Arial" w:hAnsi="Arial"/>
                <w:sz w:val="14"/>
                <w:szCs w:val="14"/>
                <w:b w:val="1"/>
                <w:bCs w:val="1"/>
                <w:color w:val="auto"/>
              </w:rPr>
              <w:t>Less than 12 months</w:t>
            </w:r>
          </w:p>
        </w:tc>
        <w:tc>
          <w:tcPr>
            <w:tcW w:w="0" w:type="dxa"/>
            <w:vAlign w:val="bottom"/>
          </w:tcPr>
          <w:p>
            <w:pPr>
              <w:spacing w:after="0"/>
              <w:rPr>
                <w:sz w:val="1"/>
                <w:szCs w:val="1"/>
                <w:color w:val="auto"/>
              </w:rPr>
            </w:pPr>
          </w:p>
        </w:tc>
      </w:tr>
      <w:tr>
        <w:trPr>
          <w:trHeight w:val="146"/>
        </w:trPr>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September 30, 2025 (unaudited)</w:t>
            </w:r>
          </w:p>
        </w:tc>
        <w:tc>
          <w:tcPr>
            <w:tcW w:w="4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Borders>
              <w:top w:val="single" w:sz="8" w:color="auto"/>
            </w:tcBorders>
            <w:gridSpan w:val="4"/>
          </w:tcPr>
          <w:p>
            <w:pPr>
              <w:spacing w:after="0" w:line="147" w:lineRule="exact"/>
              <w:rPr>
                <w:sz w:val="20"/>
                <w:szCs w:val="20"/>
                <w:color w:val="auto"/>
              </w:rPr>
            </w:pPr>
            <w:r>
              <w:rPr>
                <w:rFonts w:ascii="Arial" w:cs="Arial" w:eastAsia="Arial" w:hAnsi="Arial"/>
                <w:sz w:val="14"/>
                <w:szCs w:val="14"/>
                <w:b w:val="1"/>
                <w:bCs w:val="1"/>
                <w:color w:val="auto"/>
              </w:rPr>
              <w:t>Unrealized</w:t>
            </w:r>
          </w:p>
        </w:tc>
        <w:tc>
          <w:tcPr>
            <w:tcW w:w="68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b w:val="1"/>
                <w:bCs w:val="1"/>
                <w:color w:val="auto"/>
                <w:w w:val="98"/>
              </w:rPr>
              <w:t>Estimated</w:t>
            </w:r>
          </w:p>
        </w:tc>
        <w:tc>
          <w:tcPr>
            <w:tcW w:w="58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Unrealized</w:t>
            </w: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w w:val="98"/>
              </w:rPr>
              <w:t>Estimated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160" w:type="dxa"/>
            <w:vAlign w:val="bottom"/>
            <w:gridSpan w:val="2"/>
            <w:vMerge w:val="continue"/>
          </w:tcPr>
          <w:p>
            <w:pPr>
              <w:spacing w:after="0"/>
              <w:rPr>
                <w:sz w:val="14"/>
                <w:szCs w:val="14"/>
                <w:color w:val="auto"/>
              </w:rPr>
            </w:pPr>
          </w:p>
        </w:tc>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Losses</w:t>
            </w:r>
          </w:p>
        </w:tc>
        <w:tc>
          <w:tcPr>
            <w:tcW w:w="12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96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w w:val="99"/>
              </w:rPr>
              <w:t>Losses</w:t>
            </w:r>
          </w:p>
        </w:tc>
        <w:tc>
          <w:tcPr>
            <w:tcW w:w="280" w:type="dxa"/>
            <w:vAlign w:val="bottom"/>
          </w:tcPr>
          <w:p>
            <w:pPr>
              <w:spacing w:after="0"/>
              <w:rPr>
                <w:sz w:val="14"/>
                <w:szCs w:val="14"/>
                <w:color w:val="auto"/>
              </w:rPr>
            </w:pPr>
          </w:p>
        </w:tc>
        <w:tc>
          <w:tcPr>
            <w:tcW w:w="7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13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Government bonds</w:t>
            </w:r>
          </w:p>
        </w:tc>
        <w:tc>
          <w:tcPr>
            <w:tcW w:w="4280" w:type="dxa"/>
            <w:vAlign w:val="bottom"/>
            <w:gridSpan w:val="3"/>
            <w:shd w:val="clear" w:color="auto" w:fill="CCEEFF"/>
          </w:tcPr>
          <w:p>
            <w:pPr>
              <w:ind w:left="416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line="202" w:lineRule="exact"/>
              <w:rPr>
                <w:sz w:val="20"/>
                <w:szCs w:val="20"/>
                <w:color w:val="auto"/>
              </w:rPr>
            </w:pPr>
            <w:r>
              <w:rPr>
                <w:rFonts w:ascii="Arial" w:cs="Arial" w:eastAsia="Arial" w:hAnsi="Arial"/>
                <w:sz w:val="18"/>
                <w:szCs w:val="18"/>
                <w:color w:val="auto"/>
              </w:rPr>
              <w:t>Corporate debt securities</w:t>
            </w:r>
          </w:p>
        </w:tc>
        <w:tc>
          <w:tcPr>
            <w:tcW w:w="4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Agency bond</w:t>
            </w:r>
          </w:p>
        </w:tc>
        <w:tc>
          <w:tcPr>
            <w:tcW w:w="4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4,869</w:t>
            </w:r>
          </w:p>
        </w:tc>
        <w:tc>
          <w:tcPr>
            <w:tcW w:w="0" w:type="dxa"/>
            <w:vAlign w:val="bottom"/>
          </w:tcPr>
          <w:p>
            <w:pPr>
              <w:spacing w:after="0"/>
              <w:rPr>
                <w:sz w:val="1"/>
                <w:szCs w:val="1"/>
                <w:color w:val="auto"/>
              </w:rPr>
            </w:pPr>
          </w:p>
        </w:tc>
      </w:tr>
      <w:tr>
        <w:trPr>
          <w:trHeight w:val="209"/>
        </w:trPr>
        <w:tc>
          <w:tcPr>
            <w:tcW w:w="2160" w:type="dxa"/>
            <w:vAlign w:val="bottom"/>
            <w:gridSpan w:val="2"/>
          </w:tcPr>
          <w:p>
            <w:pPr>
              <w:ind w:left="360"/>
              <w:spacing w:after="0"/>
              <w:rPr>
                <w:sz w:val="20"/>
                <w:szCs w:val="20"/>
                <w:color w:val="auto"/>
              </w:rPr>
            </w:pPr>
            <w:r>
              <w:rPr>
                <w:rFonts w:ascii="Arial" w:cs="Arial" w:eastAsia="Arial" w:hAnsi="Arial"/>
                <w:sz w:val="18"/>
                <w:szCs w:val="18"/>
                <w:color w:val="auto"/>
              </w:rPr>
              <w:t>Total investments</w:t>
            </w: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580" w:type="dxa"/>
            <w:vAlign w:val="bottom"/>
            <w:gridSpan w:val="2"/>
          </w:tcPr>
          <w:p>
            <w:pPr>
              <w:spacing w:after="0"/>
              <w:rPr>
                <w:sz w:val="18"/>
                <w:szCs w:val="18"/>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58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Net realized and unrealized gains and losses on investments are a function of the difference between the amount received by us on the sale of a security and the security’s cost-basis, mark-to-market adjustments, credit losses recognized in earnings, and unrealized gains and losses on equity securities. Unrealized gains and losses on fixed maturity securities are recognized as a component of other comprehensive income and do not impact our net income.</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5" w:right="4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color w:val="auto"/>
        </w:rPr>
        <w:t>The estimated fair value of debt securities as of December 31, 2023 and 2024, and September 30, 2025 (unaudited), by contractual maturity, were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2023</w:t>
            </w: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5"/>
        </w:trPr>
        <w:tc>
          <w:tcPr>
            <w:tcW w:w="90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920" w:type="dxa"/>
            <w:vAlign w:val="bottom"/>
            <w:gridSpan w:val="3"/>
          </w:tcPr>
          <w:p>
            <w:pPr>
              <w:jc w:val="right"/>
              <w:ind w:right="1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1300" w:type="dxa"/>
            <w:vAlign w:val="bottom"/>
            <w:tcBorders>
              <w:top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5"/>
          </w:tcPr>
          <w:p>
            <w:pPr>
              <w:jc w:val="right"/>
              <w:ind w:right="37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0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Due in one year or less</w:t>
            </w:r>
          </w:p>
        </w:tc>
        <w:tc>
          <w:tcPr>
            <w:tcW w:w="9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$ 103,903</w:t>
            </w:r>
          </w:p>
        </w:tc>
        <w:tc>
          <w:tcPr>
            <w:tcW w:w="104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$ 103,957</w:t>
            </w:r>
          </w:p>
        </w:tc>
        <w:tc>
          <w:tcPr>
            <w:tcW w:w="0" w:type="dxa"/>
            <w:vAlign w:val="bottom"/>
          </w:tcPr>
          <w:p>
            <w:pPr>
              <w:spacing w:after="0"/>
              <w:rPr>
                <w:sz w:val="1"/>
                <w:szCs w:val="1"/>
                <w:color w:val="auto"/>
              </w:rPr>
            </w:pPr>
          </w:p>
        </w:tc>
      </w:tr>
      <w:tr>
        <w:trPr>
          <w:trHeight w:val="203"/>
        </w:trPr>
        <w:tc>
          <w:tcPr>
            <w:tcW w:w="9020" w:type="dxa"/>
            <w:vAlign w:val="bottom"/>
            <w:gridSpan w:val="3"/>
          </w:tcPr>
          <w:p>
            <w:pPr>
              <w:spacing w:after="0" w:line="202" w:lineRule="exact"/>
              <w:rPr>
                <w:sz w:val="20"/>
                <w:szCs w:val="20"/>
                <w:color w:val="auto"/>
              </w:rPr>
            </w:pPr>
            <w:r>
              <w:rPr>
                <w:rFonts w:ascii="Arial" w:cs="Arial" w:eastAsia="Arial" w:hAnsi="Arial"/>
                <w:sz w:val="18"/>
                <w:szCs w:val="18"/>
                <w:color w:val="auto"/>
              </w:rPr>
              <w:t>Due after one year through five years</w:t>
            </w: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02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investments</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$ 103,903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$ 103,957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2024</w:t>
            </w: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24"/>
                <w:szCs w:val="24"/>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5"/>
        </w:trPr>
        <w:tc>
          <w:tcPr>
            <w:tcW w:w="90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920" w:type="dxa"/>
            <w:vAlign w:val="bottom"/>
            <w:gridSpan w:val="3"/>
          </w:tcPr>
          <w:p>
            <w:pPr>
              <w:jc w:val="right"/>
              <w:ind w:right="1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1300" w:type="dxa"/>
            <w:vAlign w:val="bottom"/>
            <w:tcBorders>
              <w:top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5"/>
          </w:tcPr>
          <w:p>
            <w:pPr>
              <w:jc w:val="right"/>
              <w:ind w:right="37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0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Due in one year or less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68,276</w:t>
            </w:r>
          </w:p>
        </w:tc>
        <w:tc>
          <w:tcPr>
            <w:tcW w:w="320" w:type="dxa"/>
            <w:vAlign w:val="bottom"/>
            <w:gridSpan w:val="2"/>
            <w:shd w:val="clear" w:color="auto" w:fill="CCEEFF"/>
          </w:tcPr>
          <w:p>
            <w:pPr>
              <w:jc w:val="right"/>
              <w:ind w:right="22"/>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68,279</w:t>
            </w:r>
          </w:p>
        </w:tc>
        <w:tc>
          <w:tcPr>
            <w:tcW w:w="0" w:type="dxa"/>
            <w:vAlign w:val="bottom"/>
          </w:tcPr>
          <w:p>
            <w:pPr>
              <w:spacing w:after="0"/>
              <w:rPr>
                <w:sz w:val="1"/>
                <w:szCs w:val="1"/>
                <w:color w:val="auto"/>
              </w:rPr>
            </w:pPr>
          </w:p>
        </w:tc>
      </w:tr>
      <w:tr>
        <w:trPr>
          <w:trHeight w:val="203"/>
        </w:trPr>
        <w:tc>
          <w:tcPr>
            <w:tcW w:w="9020" w:type="dxa"/>
            <w:vAlign w:val="bottom"/>
            <w:gridSpan w:val="3"/>
          </w:tcPr>
          <w:p>
            <w:pPr>
              <w:spacing w:after="0" w:line="202" w:lineRule="exact"/>
              <w:rPr>
                <w:sz w:val="20"/>
                <w:szCs w:val="20"/>
                <w:color w:val="auto"/>
              </w:rPr>
            </w:pPr>
            <w:r>
              <w:rPr>
                <w:rFonts w:ascii="Arial" w:cs="Arial" w:eastAsia="Arial" w:hAnsi="Arial"/>
                <w:sz w:val="18"/>
                <w:szCs w:val="18"/>
                <w:color w:val="auto"/>
              </w:rPr>
              <w:t>Due after one year through five years</w:t>
            </w: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35,071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35,002</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02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investments</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$ 103,347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$ 103,281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2025 (unaudited)</w:t>
            </w: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24"/>
                <w:szCs w:val="24"/>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5"/>
        </w:trPr>
        <w:tc>
          <w:tcPr>
            <w:tcW w:w="90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920" w:type="dxa"/>
            <w:vAlign w:val="bottom"/>
            <w:gridSpan w:val="3"/>
          </w:tcPr>
          <w:p>
            <w:pPr>
              <w:jc w:val="right"/>
              <w:ind w:right="1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13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8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5"/>
          </w:tcPr>
          <w:p>
            <w:pPr>
              <w:jc w:val="right"/>
              <w:ind w:right="37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0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Due in one year or less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45,419</w:t>
            </w:r>
          </w:p>
        </w:tc>
        <w:tc>
          <w:tcPr>
            <w:tcW w:w="320" w:type="dxa"/>
            <w:vAlign w:val="bottom"/>
            <w:gridSpan w:val="2"/>
            <w:shd w:val="clear" w:color="auto" w:fill="CCEEFF"/>
          </w:tcPr>
          <w:p>
            <w:pPr>
              <w:jc w:val="right"/>
              <w:ind w:right="22"/>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45,470</w:t>
            </w:r>
          </w:p>
        </w:tc>
        <w:tc>
          <w:tcPr>
            <w:tcW w:w="0" w:type="dxa"/>
            <w:vAlign w:val="bottom"/>
          </w:tcPr>
          <w:p>
            <w:pPr>
              <w:spacing w:after="0"/>
              <w:rPr>
                <w:sz w:val="1"/>
                <w:szCs w:val="1"/>
                <w:color w:val="auto"/>
              </w:rPr>
            </w:pPr>
          </w:p>
        </w:tc>
      </w:tr>
      <w:tr>
        <w:trPr>
          <w:trHeight w:val="203"/>
        </w:trPr>
        <w:tc>
          <w:tcPr>
            <w:tcW w:w="9020" w:type="dxa"/>
            <w:vAlign w:val="bottom"/>
            <w:gridSpan w:val="3"/>
          </w:tcPr>
          <w:p>
            <w:pPr>
              <w:spacing w:after="0" w:line="202" w:lineRule="exact"/>
              <w:rPr>
                <w:sz w:val="20"/>
                <w:szCs w:val="20"/>
                <w:color w:val="auto"/>
              </w:rPr>
            </w:pPr>
            <w:r>
              <w:rPr>
                <w:rFonts w:ascii="Arial" w:cs="Arial" w:eastAsia="Arial" w:hAnsi="Arial"/>
                <w:sz w:val="18"/>
                <w:szCs w:val="18"/>
                <w:color w:val="auto"/>
              </w:rPr>
              <w:t>Due after one year through five years</w:t>
            </w: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31,326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31,452</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02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investments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76,745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76,922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Fair Value Measurement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assets and liabilities are required to be recorded at fair value on a recurring basis.</w:t>
      </w:r>
    </w:p>
    <w:p>
      <w:pPr>
        <w:spacing w:after="0" w:line="212"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The accounting guidance for fair value measurements prioritizes valuation methodologies based on the reliability of the inputs in the following three-tier value hierarchy: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212" w:lineRule="exact"/>
        <w:rPr>
          <w:sz w:val="20"/>
          <w:szCs w:val="20"/>
          <w:color w:val="auto"/>
        </w:rPr>
      </w:pPr>
    </w:p>
    <w:p>
      <w:pPr>
        <w:ind w:left="120" w:right="320" w:firstLine="551"/>
        <w:spacing w:after="0" w:line="271" w:lineRule="auto"/>
        <w:rPr>
          <w:sz w:val="20"/>
          <w:szCs w:val="20"/>
          <w:color w:val="auto"/>
        </w:rPr>
      </w:pPr>
      <w:r>
        <w:rPr>
          <w:rFonts w:ascii="Arial" w:cs="Arial" w:eastAsia="Arial" w:hAnsi="Arial"/>
          <w:sz w:val="18"/>
          <w:szCs w:val="18"/>
          <w:color w:val="auto"/>
        </w:rPr>
        <w:t>Level 2  Assets and liabilities valued based on observable market data for similar instruments, such as quoted prices for similar assets or liabilities.</w:t>
      </w:r>
    </w:p>
    <w:p>
      <w:pPr>
        <w:spacing w:after="0" w:line="154" w:lineRule="exact"/>
        <w:rPr>
          <w:sz w:val="20"/>
          <w:szCs w:val="20"/>
          <w:color w:val="auto"/>
        </w:rPr>
      </w:pPr>
    </w:p>
    <w:p>
      <w:pPr>
        <w:ind w:left="120" w:right="440" w:firstLine="551"/>
        <w:spacing w:after="0" w:line="271" w:lineRule="auto"/>
        <w:rPr>
          <w:sz w:val="20"/>
          <w:szCs w:val="20"/>
          <w:color w:val="auto"/>
        </w:rPr>
      </w:pPr>
      <w:r>
        <w:rPr>
          <w:rFonts w:ascii="Arial" w:cs="Arial" w:eastAsia="Arial" w:hAnsi="Arial"/>
          <w:sz w:val="18"/>
          <w:szCs w:val="18"/>
          <w:color w:val="auto"/>
        </w:rPr>
        <w:t>Level 3  Unobservable inputs that are supported by little or no market activity; instruments valued based on the best available data, some of which is internally developed, and considers risk premiums that a market participant would require.</w:t>
      </w:r>
    </w:p>
    <w:p>
      <w:pPr>
        <w:spacing w:after="0" w:line="154" w:lineRule="exact"/>
        <w:rPr>
          <w:sz w:val="20"/>
          <w:szCs w:val="20"/>
          <w:color w:val="auto"/>
        </w:rPr>
      </w:pPr>
    </w:p>
    <w:p>
      <w:pPr>
        <w:ind w:left="120" w:right="40" w:firstLine="551"/>
        <w:spacing w:after="0" w:line="261" w:lineRule="auto"/>
        <w:rPr>
          <w:sz w:val="20"/>
          <w:szCs w:val="20"/>
          <w:color w:val="auto"/>
        </w:rPr>
      </w:pPr>
      <w:r>
        <w:rPr>
          <w:rFonts w:ascii="Arial" w:cs="Arial" w:eastAsia="Arial" w:hAnsi="Arial"/>
          <w:sz w:val="17"/>
          <w:szCs w:val="17"/>
          <w:color w:val="auto"/>
        </w:rPr>
        <w:t>The Company applied the following methods and assumptions in estimating its fair value measurements. The Company’s investments in U.S. Government bonds are classified as Level 1 within the fair value hierarchy given that they are valued based on quoted market prices for identical assets in active markets. Agency bonds, municipal bonds, and corporate bonds are classified as Level 2 within the fair value hierarchy because they are valued using inputs other than quoted prices in active markets that are observable directly or indirectly. Accounts receivable and accounts payable balances approximate fair value due to their generally short-term maturities.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5" w:right="4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instruments measured at fair value are as follows (in thousands):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7080" w:type="dxa"/>
            <w:vAlign w:val="bottom"/>
            <w:gridSpan w:val="3"/>
          </w:tcPr>
          <w:p>
            <w:pPr>
              <w:spacing w:after="0"/>
              <w:rPr>
                <w:sz w:val="20"/>
                <w:szCs w:val="20"/>
                <w:color w:val="auto"/>
              </w:rPr>
            </w:pPr>
            <w:r>
              <w:rPr>
                <w:rFonts w:ascii="Arial" w:cs="Arial" w:eastAsia="Arial" w:hAnsi="Arial"/>
                <w:sz w:val="14"/>
                <w:szCs w:val="14"/>
                <w:b w:val="1"/>
                <w:bCs w:val="1"/>
                <w:color w:val="auto"/>
              </w:rPr>
              <w:t>December 31, 2023</w:t>
            </w:r>
          </w:p>
        </w:tc>
        <w:tc>
          <w:tcPr>
            <w:tcW w:w="20" w:type="dxa"/>
            <w:vAlign w:val="bottom"/>
          </w:tcPr>
          <w:p>
            <w:pPr>
              <w:spacing w:after="0"/>
              <w:rPr>
                <w:sz w:val="15"/>
                <w:szCs w:val="15"/>
                <w:color w:val="auto"/>
              </w:rPr>
            </w:pPr>
          </w:p>
        </w:tc>
        <w:tc>
          <w:tcPr>
            <w:tcW w:w="1020" w:type="dxa"/>
            <w:vAlign w:val="bottom"/>
            <w:gridSpan w:val="4"/>
          </w:tcPr>
          <w:p>
            <w:pPr>
              <w:ind w:left="80"/>
              <w:spacing w:after="0"/>
              <w:rPr>
                <w:sz w:val="20"/>
                <w:szCs w:val="20"/>
                <w:color w:val="auto"/>
              </w:rPr>
            </w:pPr>
            <w:r>
              <w:rPr>
                <w:rFonts w:ascii="Arial" w:cs="Arial" w:eastAsia="Arial" w:hAnsi="Arial"/>
                <w:sz w:val="14"/>
                <w:szCs w:val="14"/>
                <w:b w:val="1"/>
                <w:bCs w:val="1"/>
                <w:color w:val="auto"/>
              </w:rPr>
              <w:t>Level 1</w:t>
            </w: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300" w:type="dxa"/>
            <w:vAlign w:val="bottom"/>
            <w:tcBorders>
              <w:top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U.S. Government bonds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68,610</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68,610</w:t>
            </w:r>
          </w:p>
        </w:tc>
        <w:tc>
          <w:tcPr>
            <w:tcW w:w="0" w:type="dxa"/>
            <w:vAlign w:val="bottom"/>
          </w:tcPr>
          <w:p>
            <w:pPr>
              <w:spacing w:after="0"/>
              <w:rPr>
                <w:sz w:val="1"/>
                <w:szCs w:val="1"/>
                <w:color w:val="auto"/>
              </w:rPr>
            </w:pPr>
          </w:p>
        </w:tc>
      </w:tr>
      <w:tr>
        <w:trPr>
          <w:trHeight w:val="203"/>
        </w:trPr>
        <w:tc>
          <w:tcPr>
            <w:tcW w:w="7080" w:type="dxa"/>
            <w:vAlign w:val="bottom"/>
            <w:gridSpan w:val="3"/>
          </w:tcPr>
          <w:p>
            <w:pPr>
              <w:spacing w:after="0" w:line="202" w:lineRule="exact"/>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8"/>
              </w:rPr>
              <w:t>32,353</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32,353</w:t>
            </w:r>
          </w:p>
        </w:tc>
        <w:tc>
          <w:tcPr>
            <w:tcW w:w="0" w:type="dxa"/>
            <w:vAlign w:val="bottom"/>
          </w:tcPr>
          <w:p>
            <w:pPr>
              <w:spacing w:after="0"/>
              <w:rPr>
                <w:sz w:val="1"/>
                <w:szCs w:val="1"/>
                <w:color w:val="auto"/>
              </w:rPr>
            </w:pPr>
          </w:p>
        </w:tc>
      </w:tr>
      <w:tr>
        <w:trPr>
          <w:trHeight w:val="203"/>
        </w:trPr>
        <w:tc>
          <w:tcPr>
            <w:tcW w:w="7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Agency bond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2,994</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09"/>
        </w:trPr>
        <w:tc>
          <w:tcPr>
            <w:tcW w:w="7080" w:type="dxa"/>
            <w:vAlign w:val="bottom"/>
            <w:gridSpan w:val="3"/>
          </w:tcPr>
          <w:p>
            <w:pPr>
              <w:ind w:left="360"/>
              <w:spacing w:after="0"/>
              <w:rPr>
                <w:sz w:val="20"/>
                <w:szCs w:val="20"/>
                <w:color w:val="auto"/>
              </w:rPr>
            </w:pPr>
            <w:r>
              <w:rPr>
                <w:rFonts w:ascii="Arial" w:cs="Arial" w:eastAsia="Arial" w:hAnsi="Arial"/>
                <w:sz w:val="18"/>
                <w:szCs w:val="18"/>
                <w:color w:val="auto"/>
              </w:rPr>
              <w:t>Total assets measured at fair value on a recurring basis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68,610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35,347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103,957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2024</w:t>
            </w:r>
          </w:p>
        </w:tc>
        <w:tc>
          <w:tcPr>
            <w:tcW w:w="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0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4"/>
          </w:tcPr>
          <w:p>
            <w:pPr>
              <w:ind w:left="80"/>
              <w:spacing w:after="0"/>
              <w:rPr>
                <w:sz w:val="20"/>
                <w:szCs w:val="20"/>
                <w:color w:val="auto"/>
              </w:rPr>
            </w:pPr>
            <w:r>
              <w:rPr>
                <w:rFonts w:ascii="Arial" w:cs="Arial" w:eastAsia="Arial" w:hAnsi="Arial"/>
                <w:sz w:val="14"/>
                <w:szCs w:val="14"/>
                <w:b w:val="1"/>
                <w:bCs w:val="1"/>
                <w:color w:val="auto"/>
              </w:rPr>
              <w:t>Level 1</w:t>
            </w: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4"/>
                <w:szCs w:val="2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300" w:type="dxa"/>
            <w:vAlign w:val="bottom"/>
            <w:tcBorders>
              <w:top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U.S. Government bonds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32,564</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32,564</w:t>
            </w:r>
          </w:p>
        </w:tc>
        <w:tc>
          <w:tcPr>
            <w:tcW w:w="0" w:type="dxa"/>
            <w:vAlign w:val="bottom"/>
          </w:tcPr>
          <w:p>
            <w:pPr>
              <w:spacing w:after="0"/>
              <w:rPr>
                <w:sz w:val="1"/>
                <w:szCs w:val="1"/>
                <w:color w:val="auto"/>
              </w:rPr>
            </w:pPr>
          </w:p>
        </w:tc>
      </w:tr>
      <w:tr>
        <w:trPr>
          <w:trHeight w:val="203"/>
        </w:trPr>
        <w:tc>
          <w:tcPr>
            <w:tcW w:w="7080" w:type="dxa"/>
            <w:vAlign w:val="bottom"/>
            <w:gridSpan w:val="3"/>
          </w:tcPr>
          <w:p>
            <w:pPr>
              <w:spacing w:after="0" w:line="202" w:lineRule="exact"/>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8"/>
              </w:rPr>
              <w:t>48,352</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48,352</w:t>
            </w:r>
          </w:p>
        </w:tc>
        <w:tc>
          <w:tcPr>
            <w:tcW w:w="0" w:type="dxa"/>
            <w:vAlign w:val="bottom"/>
          </w:tcPr>
          <w:p>
            <w:pPr>
              <w:spacing w:after="0"/>
              <w:rPr>
                <w:sz w:val="1"/>
                <w:szCs w:val="1"/>
                <w:color w:val="auto"/>
              </w:rPr>
            </w:pPr>
          </w:p>
        </w:tc>
      </w:tr>
      <w:tr>
        <w:trPr>
          <w:trHeight w:val="203"/>
        </w:trPr>
        <w:tc>
          <w:tcPr>
            <w:tcW w:w="7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Municipal bond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3,977</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03"/>
        </w:trPr>
        <w:tc>
          <w:tcPr>
            <w:tcW w:w="7080" w:type="dxa"/>
            <w:vAlign w:val="bottom"/>
            <w:gridSpan w:val="3"/>
          </w:tcPr>
          <w:p>
            <w:pPr>
              <w:spacing w:after="0" w:line="202" w:lineRule="exact"/>
              <w:rPr>
                <w:sz w:val="20"/>
                <w:szCs w:val="20"/>
                <w:color w:val="auto"/>
              </w:rPr>
            </w:pPr>
            <w:r>
              <w:rPr>
                <w:rFonts w:ascii="Arial" w:cs="Arial" w:eastAsia="Arial" w:hAnsi="Arial"/>
                <w:sz w:val="18"/>
                <w:szCs w:val="18"/>
                <w:color w:val="auto"/>
              </w:rPr>
              <w:t>Agency bond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8"/>
              </w:rPr>
              <w:t>18,388</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18,388</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8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investments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32,564</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70,717</w:t>
            </w:r>
          </w:p>
        </w:tc>
        <w:tc>
          <w:tcPr>
            <w:tcW w:w="6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    </w:t>
            </w:r>
          </w:p>
        </w:tc>
        <w:tc>
          <w:tcPr>
            <w:tcW w:w="4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103,281</w:t>
            </w: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2025 (unaudited)</w:t>
            </w: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0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4"/>
          </w:tcPr>
          <w:p>
            <w:pPr>
              <w:ind w:left="80"/>
              <w:spacing w:after="0"/>
              <w:rPr>
                <w:sz w:val="20"/>
                <w:szCs w:val="20"/>
                <w:color w:val="auto"/>
              </w:rPr>
            </w:pPr>
            <w:r>
              <w:rPr>
                <w:rFonts w:ascii="Arial" w:cs="Arial" w:eastAsia="Arial" w:hAnsi="Arial"/>
                <w:sz w:val="14"/>
                <w:szCs w:val="14"/>
                <w:b w:val="1"/>
                <w:bCs w:val="1"/>
                <w:color w:val="auto"/>
              </w:rPr>
              <w:t>Level 1</w:t>
            </w: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4"/>
                <w:szCs w:val="2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3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U.S. Government bonds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9,945</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r>
        <w:trPr>
          <w:trHeight w:val="203"/>
        </w:trPr>
        <w:tc>
          <w:tcPr>
            <w:tcW w:w="7080" w:type="dxa"/>
            <w:vAlign w:val="bottom"/>
            <w:gridSpan w:val="3"/>
          </w:tcPr>
          <w:p>
            <w:pPr>
              <w:spacing w:after="0" w:line="202" w:lineRule="exact"/>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8"/>
              </w:rPr>
              <w:t>55,044</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55,044</w:t>
            </w:r>
          </w:p>
        </w:tc>
        <w:tc>
          <w:tcPr>
            <w:tcW w:w="0" w:type="dxa"/>
            <w:vAlign w:val="bottom"/>
          </w:tcPr>
          <w:p>
            <w:pPr>
              <w:spacing w:after="0"/>
              <w:rPr>
                <w:sz w:val="1"/>
                <w:szCs w:val="1"/>
                <w:color w:val="auto"/>
              </w:rPr>
            </w:pPr>
          </w:p>
        </w:tc>
      </w:tr>
      <w:tr>
        <w:trPr>
          <w:trHeight w:val="203"/>
        </w:trPr>
        <w:tc>
          <w:tcPr>
            <w:tcW w:w="7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Agency bond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11,933</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11,933</w:t>
            </w:r>
          </w:p>
        </w:tc>
        <w:tc>
          <w:tcPr>
            <w:tcW w:w="0" w:type="dxa"/>
            <w:vAlign w:val="bottom"/>
          </w:tcPr>
          <w:p>
            <w:pPr>
              <w:spacing w:after="0"/>
              <w:rPr>
                <w:sz w:val="1"/>
                <w:szCs w:val="1"/>
                <w:color w:val="auto"/>
              </w:rPr>
            </w:pPr>
          </w:p>
        </w:tc>
      </w:tr>
      <w:tr>
        <w:trPr>
          <w:trHeight w:val="210"/>
        </w:trPr>
        <w:tc>
          <w:tcPr>
            <w:tcW w:w="7080" w:type="dxa"/>
            <w:vAlign w:val="bottom"/>
            <w:gridSpan w:val="3"/>
          </w:tcPr>
          <w:p>
            <w:pPr>
              <w:ind w:left="360"/>
              <w:spacing w:after="0"/>
              <w:rPr>
                <w:sz w:val="20"/>
                <w:szCs w:val="20"/>
                <w:color w:val="auto"/>
              </w:rPr>
            </w:pPr>
            <w:r>
              <w:rPr>
                <w:rFonts w:ascii="Arial" w:cs="Arial" w:eastAsia="Arial" w:hAnsi="Arial"/>
                <w:sz w:val="18"/>
                <w:szCs w:val="18"/>
                <w:color w:val="auto"/>
              </w:rPr>
              <w:t>Total investments</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9,945</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66,977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Prepaid and Other Assets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prepaid and other assets recorded in the consolidated balance sheets as of December 31, 2023 and 2024, and</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2025 (unaudited) were as follows: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20" w:type="dxa"/>
            <w:vAlign w:val="bottom"/>
            <w:gridSpan w:val="6"/>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44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32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 </w:t>
            </w:r>
          </w:p>
        </w:tc>
        <w:tc>
          <w:tcPr>
            <w:tcW w:w="1480" w:type="dxa"/>
            <w:vAlign w:val="bottom"/>
            <w:tcBorders>
              <w:top w:val="single" w:sz="8" w:color="auto"/>
            </w:tcBorders>
            <w:gridSpan w:val="3"/>
          </w:tcPr>
          <w:p>
            <w:pPr>
              <w:ind w:left="80"/>
              <w:spacing w:after="0" w:line="147" w:lineRule="exact"/>
              <w:rPr>
                <w:sz w:val="20"/>
                <w:szCs w:val="20"/>
                <w:color w:val="auto"/>
              </w:rPr>
            </w:pPr>
            <w:r>
              <w:rPr>
                <w:rFonts w:ascii="Arial" w:cs="Arial" w:eastAsia="Arial" w:hAnsi="Arial"/>
                <w:sz w:val="14"/>
                <w:szCs w:val="14"/>
                <w:b w:val="1"/>
                <w:bCs w:val="1"/>
                <w:color w:val="auto"/>
              </w:rPr>
              <w:t> </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18"/>
              <w:spacing w:after="0" w:line="147" w:lineRule="exact"/>
              <w:rPr>
                <w:sz w:val="20"/>
                <w:szCs w:val="20"/>
                <w:color w:val="auto"/>
              </w:rPr>
            </w:pPr>
            <w:r>
              <w:rPr>
                <w:rFonts w:ascii="Arial" w:cs="Arial" w:eastAsia="Arial" w:hAnsi="Arial"/>
                <w:sz w:val="14"/>
                <w:szCs w:val="14"/>
                <w:b w:val="1"/>
                <w:bCs w:val="1"/>
                <w:color w:val="auto"/>
              </w:rPr>
              <w:t xml:space="preserve">   </w:t>
            </w:r>
          </w:p>
        </w:tc>
        <w:tc>
          <w:tcPr>
            <w:tcW w:w="10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8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 xml:space="preserve">2023   </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 xml:space="preserve">2024   </w:t>
            </w:r>
          </w:p>
        </w:tc>
        <w:tc>
          <w:tcPr>
            <w:tcW w:w="1020" w:type="dxa"/>
            <w:vAlign w:val="bottom"/>
          </w:tcPr>
          <w:p>
            <w:pPr>
              <w:spacing w:after="0"/>
              <w:rPr>
                <w:sz w:val="14"/>
                <w:szCs w:val="14"/>
                <w:color w:val="auto"/>
              </w:rPr>
            </w:pPr>
          </w:p>
        </w:tc>
        <w:tc>
          <w:tcPr>
            <w:tcW w:w="800" w:type="dxa"/>
            <w:vAlign w:val="bottom"/>
            <w:tcBorders>
              <w:bottom w:val="single" w:sz="8" w:color="auto"/>
            </w:tcBorders>
          </w:tcPr>
          <w:p>
            <w:pPr>
              <w:ind w:left="740"/>
              <w:spacing w:after="0"/>
              <w:rPr>
                <w:sz w:val="20"/>
                <w:szCs w:val="20"/>
                <w:color w:val="auto"/>
              </w:rPr>
            </w:pPr>
            <w:r>
              <w:rPr>
                <w:rFonts w:ascii="Arial" w:cs="Arial" w:eastAsia="Arial" w:hAnsi="Arial"/>
                <w:sz w:val="5"/>
                <w:szCs w:val="5"/>
                <w:b w:val="1"/>
                <w:bCs w:val="1"/>
                <w:color w:val="auto"/>
                <w:w w:val="79"/>
              </w:rPr>
              <w:t> </w:t>
            </w:r>
          </w:p>
        </w:tc>
        <w:tc>
          <w:tcPr>
            <w:tcW w:w="158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 xml:space="preserve">  2025 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6"/>
                <w:szCs w:val="16"/>
                <w:color w:val="auto"/>
              </w:rPr>
            </w:pPr>
          </w:p>
        </w:tc>
        <w:tc>
          <w:tcPr>
            <w:tcW w:w="1580" w:type="dxa"/>
            <w:vAlign w:val="bottom"/>
          </w:tcPr>
          <w:p>
            <w:pPr>
              <w:jc w:val="right"/>
              <w:ind w:right="716"/>
              <w:spacing w:after="0"/>
              <w:rPr>
                <w:sz w:val="20"/>
                <w:szCs w:val="20"/>
                <w:color w:val="auto"/>
              </w:rPr>
            </w:pPr>
            <w:r>
              <w:rPr>
                <w:rFonts w:ascii="Arial" w:cs="Arial" w:eastAsia="Arial" w:hAnsi="Arial"/>
                <w:sz w:val="14"/>
                <w:szCs w:val="14"/>
                <w:b w:val="1"/>
                <w:bCs w:val="1"/>
                <w:color w:val="auto"/>
                <w:w w:val="99"/>
              </w:rPr>
              <w:t>(unaudited)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Agent advances</w:t>
            </w:r>
          </w:p>
        </w:tc>
        <w:tc>
          <w:tcPr>
            <w:tcW w:w="320" w:type="dxa"/>
            <w:vAlign w:val="bottom"/>
            <w:shd w:val="clear" w:color="auto" w:fill="CCEEFF"/>
          </w:tcPr>
          <w:p>
            <w:pPr>
              <w:jc w:val="right"/>
              <w:ind w:right="139"/>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jc w:val="right"/>
              <w:ind w:right="10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1020"/>
              <w:spacing w:after="0" w:line="202" w:lineRule="exact"/>
              <w:rPr>
                <w:sz w:val="20"/>
                <w:szCs w:val="20"/>
                <w:color w:val="auto"/>
              </w:rPr>
            </w:pPr>
            <w:r>
              <w:rPr>
                <w:rFonts w:ascii="Arial" w:cs="Arial" w:eastAsia="Arial" w:hAnsi="Arial"/>
                <w:sz w:val="18"/>
                <w:szCs w:val="18"/>
                <w:color w:val="auto"/>
              </w:rPr>
              <w:t>22,527</w:t>
            </w:r>
          </w:p>
        </w:tc>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35,949</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7"/>
                <w:szCs w:val="17"/>
                <w:color w:val="auto"/>
              </w:rPr>
            </w:pP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2,168</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1020"/>
              <w:spacing w:after="0" w:line="202" w:lineRule="exact"/>
              <w:rPr>
                <w:sz w:val="20"/>
                <w:szCs w:val="20"/>
                <w:color w:val="auto"/>
              </w:rPr>
            </w:pPr>
            <w:r>
              <w:rPr>
                <w:rFonts w:ascii="Arial" w:cs="Arial" w:eastAsia="Arial" w:hAnsi="Arial"/>
                <w:sz w:val="18"/>
                <w:szCs w:val="18"/>
                <w:color w:val="auto"/>
              </w:rPr>
              <w:t>3,543</w:t>
            </w:r>
          </w:p>
        </w:tc>
        <w:tc>
          <w:tcPr>
            <w:tcW w:w="800" w:type="dxa"/>
            <w:vAlign w:val="bottom"/>
          </w:tcPr>
          <w:p>
            <w:pPr>
              <w:spacing w:after="0"/>
              <w:rPr>
                <w:sz w:val="17"/>
                <w:szCs w:val="17"/>
                <w:color w:val="auto"/>
              </w:rPr>
            </w:pPr>
          </w:p>
        </w:tc>
        <w:tc>
          <w:tcPr>
            <w:tcW w:w="1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6,044</w:t>
            </w:r>
          </w:p>
        </w:tc>
        <w:tc>
          <w:tcPr>
            <w:tcW w:w="0" w:type="dxa"/>
            <w:vAlign w:val="bottom"/>
          </w:tcPr>
          <w:p>
            <w:pPr>
              <w:spacing w:after="0"/>
              <w:rPr>
                <w:sz w:val="1"/>
                <w:szCs w:val="1"/>
                <w:color w:val="auto"/>
              </w:rPr>
            </w:pPr>
          </w:p>
        </w:tc>
      </w:tr>
      <w:tr>
        <w:trPr>
          <w:trHeight w:val="202"/>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offering costs</w:t>
            </w:r>
          </w:p>
        </w:tc>
        <w:tc>
          <w:tcPr>
            <w:tcW w:w="32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10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0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6,101</w:t>
            </w:r>
          </w:p>
        </w:tc>
        <w:tc>
          <w:tcPr>
            <w:tcW w:w="0" w:type="dxa"/>
            <w:vAlign w:val="bottom"/>
          </w:tcPr>
          <w:p>
            <w:pPr>
              <w:spacing w:after="0"/>
              <w:rPr>
                <w:sz w:val="1"/>
                <w:szCs w:val="1"/>
                <w:color w:val="auto"/>
              </w:rPr>
            </w:pPr>
          </w:p>
        </w:tc>
      </w:tr>
      <w:tr>
        <w:trPr>
          <w:trHeight w:val="210"/>
        </w:trPr>
        <w:tc>
          <w:tcPr>
            <w:tcW w:w="4940" w:type="dxa"/>
            <w:vAlign w:val="bottom"/>
          </w:tcPr>
          <w:p>
            <w:pPr>
              <w:ind w:left="360"/>
              <w:spacing w:after="0"/>
              <w:rPr>
                <w:sz w:val="20"/>
                <w:szCs w:val="20"/>
                <w:color w:val="auto"/>
              </w:rPr>
            </w:pPr>
            <w:r>
              <w:rPr>
                <w:rFonts w:ascii="Arial" w:cs="Arial" w:eastAsia="Arial" w:hAnsi="Arial"/>
                <w:sz w:val="18"/>
                <w:szCs w:val="18"/>
                <w:color w:val="auto"/>
              </w:rPr>
              <w:t>Total prepaid and other assets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2,168</w:t>
            </w:r>
          </w:p>
        </w:tc>
        <w:tc>
          <w:tcPr>
            <w:tcW w:w="20" w:type="dxa"/>
            <w:vAlign w:val="bottom"/>
            <w:tcBorders>
              <w:bottom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26,070</w:t>
            </w:r>
          </w:p>
        </w:tc>
        <w:tc>
          <w:tcPr>
            <w:tcW w:w="1020" w:type="dxa"/>
            <w:vAlign w:val="bottom"/>
          </w:tcPr>
          <w:p>
            <w:pPr>
              <w:spacing w:after="0"/>
              <w:rPr>
                <w:sz w:val="18"/>
                <w:szCs w:val="18"/>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20" w:firstLine="551"/>
        <w:spacing w:after="0" w:line="271" w:lineRule="auto"/>
        <w:rPr>
          <w:sz w:val="20"/>
          <w:szCs w:val="20"/>
          <w:color w:val="auto"/>
        </w:rPr>
      </w:pPr>
      <w:r>
        <w:rPr>
          <w:rFonts w:ascii="Arial" w:cs="Arial" w:eastAsia="Arial" w:hAnsi="Arial"/>
          <w:sz w:val="18"/>
          <w:szCs w:val="18"/>
          <w:color w:val="auto"/>
        </w:rPr>
        <w:t>Other assets consist of various other assets with no individual item accounting for more than 5% of the total current assets as of December 31, 2023 and 2024, and September 30, 2025 (unaudited).</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5" w:right="4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Accrued Expenses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accrued expenses recorded in the consolidated balance sheets as of December 31, 2023 and 2024, and</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2025 (unaudited) were as follows: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80" w:type="dxa"/>
            <w:vAlign w:val="bottom"/>
            <w:gridSpan w:val="6"/>
          </w:tcPr>
          <w:p>
            <w:pPr>
              <w:jc w:val="right"/>
              <w:ind w:right="1380"/>
              <w:spacing w:after="0"/>
              <w:rPr>
                <w:sz w:val="20"/>
                <w:szCs w:val="20"/>
                <w:color w:val="auto"/>
              </w:rPr>
            </w:pPr>
            <w:r>
              <w:rPr>
                <w:rFonts w:ascii="Arial" w:cs="Arial" w:eastAsia="Arial" w:hAnsi="Arial"/>
                <w:sz w:val="14"/>
                <w:szCs w:val="14"/>
                <w:b w:val="1"/>
                <w:bCs w:val="1"/>
                <w:color w:val="auto"/>
              </w:rPr>
              <w:t>Year Ended December 31,</w:t>
            </w:r>
          </w:p>
        </w:tc>
        <w:tc>
          <w:tcPr>
            <w:tcW w:w="244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3"/>
          </w:tcPr>
          <w:p>
            <w:pPr>
              <w:jc w:val="center"/>
              <w:ind w:right="1260"/>
              <w:spacing w:after="0" w:line="147" w:lineRule="exact"/>
              <w:rPr>
                <w:sz w:val="20"/>
                <w:szCs w:val="20"/>
                <w:color w:val="auto"/>
              </w:rPr>
            </w:pPr>
            <w:r>
              <w:rPr>
                <w:rFonts w:ascii="Arial" w:cs="Arial" w:eastAsia="Arial" w:hAnsi="Arial"/>
                <w:sz w:val="14"/>
                <w:szCs w:val="14"/>
                <w:b w:val="1"/>
                <w:bCs w:val="1"/>
                <w:color w:val="auto"/>
              </w:rPr>
              <w:t xml:space="preserve">   </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160"/>
              <w:spacing w:after="0" w:line="147" w:lineRule="exact"/>
              <w:rPr>
                <w:sz w:val="20"/>
                <w:szCs w:val="20"/>
                <w:color w:val="auto"/>
              </w:rPr>
            </w:pPr>
            <w:r>
              <w:rPr>
                <w:rFonts w:ascii="Arial" w:cs="Arial" w:eastAsia="Arial" w:hAnsi="Arial"/>
                <w:sz w:val="14"/>
                <w:szCs w:val="14"/>
                <w:b w:val="1"/>
                <w:bCs w:val="1"/>
                <w:color w:val="auto"/>
              </w:rPr>
              <w:t xml:space="preserve">   </w:t>
            </w:r>
          </w:p>
        </w:tc>
        <w:tc>
          <w:tcPr>
            <w:tcW w:w="9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tcBorders>
              <w:bottom w:val="single" w:sz="8" w:color="auto"/>
            </w:tcBorders>
            <w:gridSpan w:val="4"/>
          </w:tcPr>
          <w:p>
            <w:pPr>
              <w:jc w:val="center"/>
              <w:ind w:right="1120"/>
              <w:spacing w:after="0"/>
              <w:rPr>
                <w:sz w:val="20"/>
                <w:szCs w:val="20"/>
                <w:color w:val="auto"/>
              </w:rPr>
            </w:pPr>
            <w:r>
              <w:rPr>
                <w:rFonts w:ascii="Arial" w:cs="Arial" w:eastAsia="Arial" w:hAnsi="Arial"/>
                <w:sz w:val="14"/>
                <w:szCs w:val="14"/>
                <w:b w:val="1"/>
                <w:bCs w:val="1"/>
                <w:color w:val="auto"/>
              </w:rPr>
              <w:t xml:space="preserve">2023   </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2024   </w:t>
            </w:r>
          </w:p>
        </w:tc>
        <w:tc>
          <w:tcPr>
            <w:tcW w:w="980" w:type="dxa"/>
            <w:vAlign w:val="bottom"/>
          </w:tcPr>
          <w:p>
            <w:pPr>
              <w:spacing w:after="0"/>
              <w:rPr>
                <w:sz w:val="14"/>
                <w:szCs w:val="14"/>
                <w:color w:val="auto"/>
              </w:rPr>
            </w:pPr>
          </w:p>
        </w:tc>
        <w:tc>
          <w:tcPr>
            <w:tcW w:w="800" w:type="dxa"/>
            <w:vAlign w:val="bottom"/>
            <w:tcBorders>
              <w:bottom w:val="single" w:sz="8" w:color="auto"/>
            </w:tcBorders>
          </w:tcPr>
          <w:p>
            <w:pPr>
              <w:ind w:left="740"/>
              <w:spacing w:after="0"/>
              <w:rPr>
                <w:sz w:val="20"/>
                <w:szCs w:val="20"/>
                <w:color w:val="auto"/>
              </w:rPr>
            </w:pPr>
            <w:r>
              <w:rPr>
                <w:rFonts w:ascii="Arial" w:cs="Arial" w:eastAsia="Arial" w:hAnsi="Arial"/>
                <w:sz w:val="5"/>
                <w:szCs w:val="5"/>
                <w:b w:val="1"/>
                <w:bCs w:val="1"/>
                <w:color w:val="auto"/>
                <w:w w:val="79"/>
              </w:rPr>
              <w:t> </w:t>
            </w:r>
          </w:p>
        </w:tc>
        <w:tc>
          <w:tcPr>
            <w:tcW w:w="158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 xml:space="preserve">  2025 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6"/>
                <w:szCs w:val="16"/>
                <w:color w:val="auto"/>
              </w:rPr>
            </w:pPr>
          </w:p>
        </w:tc>
        <w:tc>
          <w:tcPr>
            <w:tcW w:w="1580" w:type="dxa"/>
            <w:vAlign w:val="bottom"/>
          </w:tcPr>
          <w:p>
            <w:pPr>
              <w:jc w:val="right"/>
              <w:ind w:right="715"/>
              <w:spacing w:after="0"/>
              <w:rPr>
                <w:sz w:val="20"/>
                <w:szCs w:val="20"/>
                <w:color w:val="auto"/>
              </w:rPr>
            </w:pPr>
            <w:r>
              <w:rPr>
                <w:rFonts w:ascii="Arial" w:cs="Arial" w:eastAsia="Arial" w:hAnsi="Arial"/>
                <w:sz w:val="14"/>
                <w:szCs w:val="14"/>
                <w:b w:val="1"/>
                <w:bCs w:val="1"/>
                <w:color w:val="auto"/>
                <w:w w:val="99"/>
              </w:rPr>
              <w:t>(unaudited)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sales and marketing expenses</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5,642</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960"/>
              <w:spacing w:after="0" w:line="202" w:lineRule="exact"/>
              <w:rPr>
                <w:sz w:val="20"/>
                <w:szCs w:val="20"/>
                <w:color w:val="auto"/>
              </w:rPr>
            </w:pPr>
            <w:r>
              <w:rPr>
                <w:rFonts w:ascii="Arial" w:cs="Arial" w:eastAsia="Arial" w:hAnsi="Arial"/>
                <w:sz w:val="18"/>
                <w:szCs w:val="18"/>
                <w:color w:val="auto"/>
              </w:rPr>
              <w:t>14,083</w:t>
            </w:r>
          </w:p>
        </w:tc>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23,499</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Accrued underwriting expenses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1,195</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1,577</w:t>
            </w:r>
          </w:p>
        </w:tc>
        <w:tc>
          <w:tcPr>
            <w:tcW w:w="800" w:type="dxa"/>
            <w:vAlign w:val="bottom"/>
          </w:tcPr>
          <w:p>
            <w:pPr>
              <w:spacing w:after="0"/>
              <w:rPr>
                <w:sz w:val="17"/>
                <w:szCs w:val="17"/>
                <w:color w:val="auto"/>
              </w:rPr>
            </w:pPr>
          </w:p>
        </w:tc>
        <w:tc>
          <w:tcPr>
            <w:tcW w:w="1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payroll and compensation</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1,015</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960"/>
              <w:spacing w:after="0" w:line="202" w:lineRule="exact"/>
              <w:rPr>
                <w:sz w:val="20"/>
                <w:szCs w:val="20"/>
                <w:color w:val="auto"/>
              </w:rPr>
            </w:pPr>
            <w:r>
              <w:rPr>
                <w:rFonts w:ascii="Arial" w:cs="Arial" w:eastAsia="Arial" w:hAnsi="Arial"/>
                <w:sz w:val="18"/>
                <w:szCs w:val="18"/>
                <w:color w:val="auto"/>
              </w:rPr>
              <w:t>1,451</w:t>
            </w:r>
          </w:p>
        </w:tc>
        <w:tc>
          <w:tcPr>
            <w:tcW w:w="8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Accrued legal expenses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2,928</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129</w:t>
            </w:r>
          </w:p>
        </w:tc>
        <w:tc>
          <w:tcPr>
            <w:tcW w:w="800" w:type="dxa"/>
            <w:vAlign w:val="bottom"/>
          </w:tcPr>
          <w:p>
            <w:pPr>
              <w:spacing w:after="0"/>
              <w:rPr>
                <w:sz w:val="17"/>
                <w:szCs w:val="17"/>
                <w:color w:val="auto"/>
              </w:rPr>
            </w:pPr>
          </w:p>
        </w:tc>
        <w:tc>
          <w:tcPr>
            <w:tcW w:w="1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accrued expenses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1,139</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960"/>
              <w:spacing w:after="0" w:line="202" w:lineRule="exact"/>
              <w:rPr>
                <w:sz w:val="20"/>
                <w:szCs w:val="20"/>
                <w:color w:val="auto"/>
              </w:rPr>
            </w:pPr>
            <w:r>
              <w:rPr>
                <w:rFonts w:ascii="Arial" w:cs="Arial" w:eastAsia="Arial" w:hAnsi="Arial"/>
                <w:sz w:val="18"/>
                <w:szCs w:val="18"/>
                <w:color w:val="auto"/>
              </w:rPr>
              <w:t>1,977</w:t>
            </w:r>
          </w:p>
        </w:tc>
        <w:tc>
          <w:tcPr>
            <w:tcW w:w="8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10"/>
        </w:trPr>
        <w:tc>
          <w:tcPr>
            <w:tcW w:w="5040" w:type="dxa"/>
            <w:vAlign w:val="bottom"/>
          </w:tcPr>
          <w:p>
            <w:pPr>
              <w:ind w:left="360"/>
              <w:spacing w:after="0"/>
              <w:rPr>
                <w:sz w:val="20"/>
                <w:szCs w:val="20"/>
                <w:color w:val="auto"/>
              </w:rPr>
            </w:pPr>
            <w:r>
              <w:rPr>
                <w:rFonts w:ascii="Arial" w:cs="Arial" w:eastAsia="Arial" w:hAnsi="Arial"/>
                <w:sz w:val="18"/>
                <w:szCs w:val="18"/>
                <w:color w:val="auto"/>
              </w:rPr>
              <w:t>Total accrued expenses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11,919</w:t>
            </w:r>
          </w:p>
        </w:tc>
        <w:tc>
          <w:tcPr>
            <w:tcW w:w="20" w:type="dxa"/>
            <w:vAlign w:val="bottom"/>
            <w:tcBorders>
              <w:bottom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94"/>
              </w:rPr>
              <w:t>19,217</w:t>
            </w:r>
          </w:p>
        </w:tc>
        <w:tc>
          <w:tcPr>
            <w:tcW w:w="980" w:type="dxa"/>
            <w:vAlign w:val="bottom"/>
          </w:tcPr>
          <w:p>
            <w:pPr>
              <w:spacing w:after="0"/>
              <w:rPr>
                <w:sz w:val="18"/>
                <w:szCs w:val="18"/>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20" w:firstLine="551"/>
        <w:spacing w:after="0" w:line="271" w:lineRule="auto"/>
        <w:rPr>
          <w:sz w:val="20"/>
          <w:szCs w:val="20"/>
          <w:color w:val="auto"/>
        </w:rPr>
      </w:pPr>
      <w:r>
        <w:rPr>
          <w:rFonts w:ascii="Arial" w:cs="Arial" w:eastAsia="Arial" w:hAnsi="Arial"/>
          <w:sz w:val="18"/>
          <w:szCs w:val="18"/>
          <w:color w:val="auto"/>
        </w:rPr>
        <w:t>Other accrued expenses consist of various accrued expenses with no individual item accounting for more than 5% of the total current liabilities as of December 31, 2023 and 2024, and September 30, 2025 (unaudited).</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Other Current Liabilities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other current liabilities recorded in the consolidated balance sheets as of December 31, 2023 and 2024, and</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2025 (unaudited) were as follows: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40" w:type="dxa"/>
            <w:vAlign w:val="bottom"/>
            <w:gridSpan w:val="6"/>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244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6"/>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 </w:t>
            </w:r>
          </w:p>
        </w:tc>
        <w:tc>
          <w:tcPr>
            <w:tcW w:w="1500" w:type="dxa"/>
            <w:vAlign w:val="bottom"/>
            <w:tcBorders>
              <w:top w:val="single" w:sz="8" w:color="auto"/>
            </w:tcBorders>
            <w:gridSpan w:val="3"/>
          </w:tcPr>
          <w:p>
            <w:pPr>
              <w:ind w:left="80"/>
              <w:spacing w:after="0" w:line="147" w:lineRule="exact"/>
              <w:rPr>
                <w:sz w:val="20"/>
                <w:szCs w:val="20"/>
                <w:color w:val="auto"/>
              </w:rPr>
            </w:pPr>
            <w:r>
              <w:rPr>
                <w:rFonts w:ascii="Arial" w:cs="Arial" w:eastAsia="Arial" w:hAnsi="Arial"/>
                <w:sz w:val="14"/>
                <w:szCs w:val="14"/>
                <w:b w:val="1"/>
                <w:bCs w:val="1"/>
                <w:color w:val="auto"/>
              </w:rPr>
              <w:t> </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18"/>
              <w:spacing w:after="0" w:line="147" w:lineRule="exact"/>
              <w:rPr>
                <w:sz w:val="20"/>
                <w:szCs w:val="20"/>
                <w:color w:val="auto"/>
              </w:rPr>
            </w:pPr>
            <w:r>
              <w:rPr>
                <w:rFonts w:ascii="Arial" w:cs="Arial" w:eastAsia="Arial" w:hAnsi="Arial"/>
                <w:sz w:val="14"/>
                <w:szCs w:val="14"/>
                <w:b w:val="1"/>
                <w:bCs w:val="1"/>
                <w:color w:val="auto"/>
              </w:rPr>
              <w:t xml:space="preserve">   </w:t>
            </w:r>
          </w:p>
        </w:tc>
        <w:tc>
          <w:tcPr>
            <w:tcW w:w="10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 xml:space="preserve">2023   </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 xml:space="preserve">2024   </w:t>
            </w:r>
          </w:p>
        </w:tc>
        <w:tc>
          <w:tcPr>
            <w:tcW w:w="1020" w:type="dxa"/>
            <w:vAlign w:val="bottom"/>
          </w:tcPr>
          <w:p>
            <w:pPr>
              <w:spacing w:after="0"/>
              <w:rPr>
                <w:sz w:val="14"/>
                <w:szCs w:val="14"/>
                <w:color w:val="auto"/>
              </w:rPr>
            </w:pPr>
          </w:p>
        </w:tc>
        <w:tc>
          <w:tcPr>
            <w:tcW w:w="800" w:type="dxa"/>
            <w:vAlign w:val="bottom"/>
            <w:tcBorders>
              <w:bottom w:val="single" w:sz="8" w:color="auto"/>
            </w:tcBorders>
          </w:tcPr>
          <w:p>
            <w:pPr>
              <w:ind w:left="740"/>
              <w:spacing w:after="0"/>
              <w:rPr>
                <w:sz w:val="20"/>
                <w:szCs w:val="20"/>
                <w:color w:val="auto"/>
              </w:rPr>
            </w:pPr>
            <w:r>
              <w:rPr>
                <w:rFonts w:ascii="Arial" w:cs="Arial" w:eastAsia="Arial" w:hAnsi="Arial"/>
                <w:sz w:val="5"/>
                <w:szCs w:val="5"/>
                <w:b w:val="1"/>
                <w:bCs w:val="1"/>
                <w:color w:val="auto"/>
                <w:w w:val="79"/>
              </w:rPr>
              <w:t> </w:t>
            </w:r>
          </w:p>
        </w:tc>
        <w:tc>
          <w:tcPr>
            <w:tcW w:w="158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 xml:space="preserve">  2025 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6"/>
                <w:szCs w:val="16"/>
                <w:color w:val="auto"/>
              </w:rPr>
            </w:pPr>
          </w:p>
        </w:tc>
        <w:tc>
          <w:tcPr>
            <w:tcW w:w="1580" w:type="dxa"/>
            <w:vAlign w:val="bottom"/>
          </w:tcPr>
          <w:p>
            <w:pPr>
              <w:jc w:val="right"/>
              <w:ind w:right="716"/>
              <w:spacing w:after="0"/>
              <w:rPr>
                <w:sz w:val="20"/>
                <w:szCs w:val="20"/>
                <w:color w:val="auto"/>
              </w:rPr>
            </w:pPr>
            <w:r>
              <w:rPr>
                <w:rFonts w:ascii="Arial" w:cs="Arial" w:eastAsia="Arial" w:hAnsi="Arial"/>
                <w:sz w:val="14"/>
                <w:szCs w:val="14"/>
                <w:b w:val="1"/>
                <w:bCs w:val="1"/>
                <w:color w:val="auto"/>
                <w:w w:val="99"/>
              </w:rPr>
              <w:t>(unaudited)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Persistency reserve liability</w:t>
            </w:r>
          </w:p>
        </w:tc>
        <w:tc>
          <w:tcPr>
            <w:tcW w:w="320" w:type="dxa"/>
            <w:vAlign w:val="bottom"/>
            <w:gridSpan w:val="2"/>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767</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1020"/>
              <w:spacing w:after="0" w:line="202" w:lineRule="exact"/>
              <w:rPr>
                <w:sz w:val="20"/>
                <w:szCs w:val="20"/>
                <w:color w:val="auto"/>
              </w:rPr>
            </w:pPr>
            <w:r>
              <w:rPr>
                <w:rFonts w:ascii="Arial" w:cs="Arial" w:eastAsia="Arial" w:hAnsi="Arial"/>
                <w:sz w:val="18"/>
                <w:szCs w:val="18"/>
                <w:color w:val="auto"/>
              </w:rPr>
              <w:t>12,170</w:t>
            </w:r>
          </w:p>
        </w:tc>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Taxes payable</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778</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1020"/>
              <w:spacing w:after="0" w:line="202" w:lineRule="exact"/>
              <w:rPr>
                <w:sz w:val="20"/>
                <w:szCs w:val="20"/>
                <w:color w:val="auto"/>
              </w:rPr>
            </w:pPr>
            <w:r>
              <w:rPr>
                <w:rFonts w:ascii="Arial" w:cs="Arial" w:eastAsia="Arial" w:hAnsi="Arial"/>
                <w:sz w:val="18"/>
                <w:szCs w:val="18"/>
                <w:color w:val="auto"/>
              </w:rPr>
              <w:t>1,709</w:t>
            </w:r>
          </w:p>
        </w:tc>
        <w:tc>
          <w:tcPr>
            <w:tcW w:w="800" w:type="dxa"/>
            <w:vAlign w:val="bottom"/>
          </w:tcPr>
          <w:p>
            <w:pPr>
              <w:spacing w:after="0"/>
              <w:rPr>
                <w:sz w:val="17"/>
                <w:szCs w:val="17"/>
                <w:color w:val="auto"/>
              </w:rPr>
            </w:pPr>
          </w:p>
        </w:tc>
        <w:tc>
          <w:tcPr>
            <w:tcW w:w="1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020"/>
              <w:spacing w:after="0" w:line="202" w:lineRule="exact"/>
              <w:rPr>
                <w:sz w:val="20"/>
                <w:szCs w:val="20"/>
                <w:color w:val="auto"/>
              </w:rPr>
            </w:pPr>
            <w:r>
              <w:rPr>
                <w:rFonts w:ascii="Arial" w:cs="Arial" w:eastAsia="Arial" w:hAnsi="Arial"/>
                <w:sz w:val="18"/>
                <w:szCs w:val="18"/>
                <w:color w:val="auto"/>
              </w:rPr>
              <w:t>66</w:t>
            </w:r>
          </w:p>
        </w:tc>
        <w:tc>
          <w:tcPr>
            <w:tcW w:w="8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4920" w:type="dxa"/>
            <w:vAlign w:val="bottom"/>
          </w:tcPr>
          <w:p>
            <w:pPr>
              <w:ind w:left="360"/>
              <w:spacing w:after="0"/>
              <w:rPr>
                <w:sz w:val="20"/>
                <w:szCs w:val="20"/>
                <w:color w:val="auto"/>
              </w:rPr>
            </w:pPr>
            <w:r>
              <w:rPr>
                <w:rFonts w:ascii="Arial" w:cs="Arial" w:eastAsia="Arial" w:hAnsi="Arial"/>
                <w:sz w:val="18"/>
                <w:szCs w:val="18"/>
                <w:color w:val="auto"/>
              </w:rPr>
              <w:t>Total other current liabilities</w:t>
            </w: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w:t>
            </w:r>
          </w:p>
        </w:tc>
        <w:tc>
          <w:tcPr>
            <w:tcW w:w="20" w:type="dxa"/>
            <w:vAlign w:val="bottom"/>
            <w:tcBorders>
              <w:bottom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13,945</w:t>
            </w:r>
          </w:p>
        </w:tc>
        <w:tc>
          <w:tcPr>
            <w:tcW w:w="1020" w:type="dxa"/>
            <w:vAlign w:val="bottom"/>
          </w:tcPr>
          <w:p>
            <w:pPr>
              <w:spacing w:after="0"/>
              <w:rPr>
                <w:sz w:val="18"/>
                <w:szCs w:val="18"/>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320" w:firstLine="551"/>
        <w:spacing w:after="0" w:line="253" w:lineRule="auto"/>
        <w:rPr>
          <w:sz w:val="20"/>
          <w:szCs w:val="20"/>
          <w:color w:val="auto"/>
        </w:rPr>
      </w:pPr>
      <w:r>
        <w:rPr>
          <w:rFonts w:ascii="Arial" w:cs="Arial" w:eastAsia="Arial" w:hAnsi="Arial"/>
          <w:sz w:val="18"/>
          <w:szCs w:val="18"/>
          <w:color w:val="auto"/>
        </w:rPr>
        <w:t>Other current liabilities consist of various other current liabilities with no individual item accounting for more than 5% of the total current liabilities as of December 31, 2023 and 2024, and September 30, 2025 (unaudited). The persistency reserve liability represents amounts received in excess of revenue recognized related to certain insurance carriers.</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Property and Equipment, Net</w:t>
      </w:r>
    </w:p>
    <w:p>
      <w:pPr>
        <w:spacing w:after="0" w:line="104" w:lineRule="exact"/>
        <w:rPr>
          <w:sz w:val="20"/>
          <w:szCs w:val="20"/>
          <w:color w:val="auto"/>
        </w:rPr>
      </w:pPr>
    </w:p>
    <w:p>
      <w:pPr>
        <w:ind w:left="120" w:right="440" w:firstLine="551"/>
        <w:spacing w:after="0" w:line="271" w:lineRule="auto"/>
        <w:rPr>
          <w:sz w:val="20"/>
          <w:szCs w:val="20"/>
          <w:color w:val="auto"/>
        </w:rPr>
      </w:pPr>
      <w:r>
        <w:rPr>
          <w:rFonts w:ascii="Arial" w:cs="Arial" w:eastAsia="Arial" w:hAnsi="Arial"/>
          <w:sz w:val="18"/>
          <w:szCs w:val="18"/>
          <w:color w:val="auto"/>
        </w:rPr>
        <w:t>The components of the Company’s property and equipment, net as of December 31, 2023 and 2024, and September 30, 2025 (unaudited) were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60" w:type="dxa"/>
            <w:vAlign w:val="bottom"/>
            <w:gridSpan w:val="5"/>
          </w:tcPr>
          <w:p>
            <w:pPr>
              <w:jc w:val="right"/>
              <w:ind w:right="136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4"/>
                <w:szCs w:val="14"/>
                <w:color w:val="auto"/>
              </w:rPr>
            </w:pPr>
          </w:p>
        </w:tc>
        <w:tc>
          <w:tcPr>
            <w:tcW w:w="250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6"/>
        </w:trPr>
        <w:tc>
          <w:tcPr>
            <w:tcW w:w="4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center"/>
              <w:ind w:right="1280"/>
              <w:spacing w:after="0" w:line="147" w:lineRule="exact"/>
              <w:rPr>
                <w:sz w:val="20"/>
                <w:szCs w:val="20"/>
                <w:color w:val="auto"/>
              </w:rPr>
            </w:pPr>
            <w:r>
              <w:rPr>
                <w:rFonts w:ascii="Arial" w:cs="Arial" w:eastAsia="Arial" w:hAnsi="Arial"/>
                <w:sz w:val="14"/>
                <w:szCs w:val="14"/>
                <w:b w:val="1"/>
                <w:bCs w:val="1"/>
                <w:color w:val="auto"/>
              </w:rPr>
              <w:t xml:space="preserve">   </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153"/>
              <w:spacing w:after="0" w:line="147" w:lineRule="exact"/>
              <w:rPr>
                <w:sz w:val="20"/>
                <w:szCs w:val="20"/>
                <w:color w:val="auto"/>
              </w:rPr>
            </w:pPr>
            <w:r>
              <w:rPr>
                <w:rFonts w:ascii="Arial" w:cs="Arial" w:eastAsia="Arial" w:hAnsi="Arial"/>
                <w:sz w:val="14"/>
                <w:szCs w:val="14"/>
                <w:b w:val="1"/>
                <w:bCs w:val="1"/>
                <w:color w:val="auto"/>
              </w:rPr>
              <w:t xml:space="preserve">   </w:t>
            </w: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right="1100"/>
              <w:spacing w:after="0"/>
              <w:rPr>
                <w:sz w:val="20"/>
                <w:szCs w:val="20"/>
                <w:color w:val="auto"/>
              </w:rPr>
            </w:pPr>
            <w:r>
              <w:rPr>
                <w:rFonts w:ascii="Arial" w:cs="Arial" w:eastAsia="Arial" w:hAnsi="Arial"/>
                <w:sz w:val="14"/>
                <w:szCs w:val="14"/>
                <w:b w:val="1"/>
                <w:bCs w:val="1"/>
                <w:color w:val="auto"/>
              </w:rPr>
              <w:t xml:space="preserve">2023   </w:t>
            </w:r>
          </w:p>
        </w:tc>
        <w:tc>
          <w:tcPr>
            <w:tcW w:w="800" w:type="dxa"/>
            <w:vAlign w:val="bottom"/>
            <w:tcBorders>
              <w:bottom w:val="single" w:sz="8" w:color="auto"/>
            </w:tcBorders>
            <w:gridSpan w:val="2"/>
          </w:tcPr>
          <w:p>
            <w:pPr>
              <w:jc w:val="center"/>
              <w:ind w:right="13"/>
              <w:spacing w:after="0"/>
              <w:rPr>
                <w:sz w:val="20"/>
                <w:szCs w:val="20"/>
                <w:color w:val="auto"/>
              </w:rPr>
            </w:pPr>
            <w:r>
              <w:rPr>
                <w:rFonts w:ascii="Arial" w:cs="Arial" w:eastAsia="Arial" w:hAnsi="Arial"/>
                <w:sz w:val="14"/>
                <w:szCs w:val="14"/>
                <w:b w:val="1"/>
                <w:bCs w:val="1"/>
                <w:color w:val="auto"/>
              </w:rPr>
              <w:t xml:space="preserve">2024   </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tcPr>
          <w:p>
            <w:pPr>
              <w:ind w:left="740"/>
              <w:spacing w:after="0"/>
              <w:rPr>
                <w:sz w:val="20"/>
                <w:szCs w:val="20"/>
                <w:color w:val="auto"/>
              </w:rPr>
            </w:pPr>
            <w:r>
              <w:rPr>
                <w:rFonts w:ascii="Arial" w:cs="Arial" w:eastAsia="Arial" w:hAnsi="Arial"/>
                <w:sz w:val="2"/>
                <w:szCs w:val="2"/>
                <w:b w:val="1"/>
                <w:bCs w:val="1"/>
                <w:color w:val="auto"/>
                <w:w w:val="97"/>
              </w:rPr>
              <w:t> </w:t>
            </w:r>
          </w:p>
        </w:tc>
        <w:tc>
          <w:tcPr>
            <w:tcW w:w="1600" w:type="dxa"/>
            <w:vAlign w:val="bottom"/>
            <w:tcBorders>
              <w:bottom w:val="single" w:sz="8" w:color="auto"/>
            </w:tcBorders>
          </w:tcPr>
          <w:p>
            <w:pPr>
              <w:jc w:val="right"/>
              <w:ind w:right="773"/>
              <w:spacing w:after="0"/>
              <w:rPr>
                <w:sz w:val="20"/>
                <w:szCs w:val="20"/>
                <w:color w:val="auto"/>
              </w:rPr>
            </w:pPr>
            <w:r>
              <w:rPr>
                <w:rFonts w:ascii="Arial" w:cs="Arial" w:eastAsia="Arial" w:hAnsi="Arial"/>
                <w:sz w:val="14"/>
                <w:szCs w:val="14"/>
                <w:b w:val="1"/>
                <w:bCs w:val="1"/>
                <w:color w:val="auto"/>
              </w:rPr>
              <w:t xml:space="preserve">  2025   </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0" w:type="dxa"/>
            <w:vAlign w:val="bottom"/>
          </w:tcPr>
          <w:p>
            <w:pPr>
              <w:jc w:val="right"/>
              <w:ind w:right="713"/>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Developed software</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0"/>
              <w:spacing w:after="0" w:line="202" w:lineRule="exact"/>
              <w:rPr>
                <w:sz w:val="20"/>
                <w:szCs w:val="20"/>
                <w:color w:val="auto"/>
              </w:rPr>
            </w:pPr>
            <w:r>
              <w:rPr>
                <w:rFonts w:ascii="Arial" w:cs="Arial" w:eastAsia="Arial" w:hAnsi="Arial"/>
                <w:sz w:val="18"/>
                <w:szCs w:val="18"/>
                <w:color w:val="auto"/>
              </w:rPr>
              <w:t>15,071</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18,141</w:t>
            </w:r>
          </w:p>
        </w:tc>
        <w:tc>
          <w:tcPr>
            <w:tcW w:w="8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21,393</w:t>
            </w: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Computer equipment</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1000"/>
              <w:spacing w:after="0" w:line="202" w:lineRule="exact"/>
              <w:rPr>
                <w:sz w:val="20"/>
                <w:szCs w:val="20"/>
                <w:color w:val="auto"/>
              </w:rPr>
            </w:pPr>
            <w:r>
              <w:rPr>
                <w:rFonts w:ascii="Arial" w:cs="Arial" w:eastAsia="Arial" w:hAnsi="Arial"/>
                <w:sz w:val="18"/>
                <w:szCs w:val="18"/>
                <w:color w:val="auto"/>
              </w:rPr>
              <w:t>1,655</w:t>
            </w:r>
          </w:p>
        </w:tc>
        <w:tc>
          <w:tcPr>
            <w:tcW w:w="140" w:type="dxa"/>
            <w:vAlign w:val="bottom"/>
          </w:tcPr>
          <w:p>
            <w:pPr>
              <w:spacing w:after="0"/>
              <w:rPr>
                <w:sz w:val="17"/>
                <w:szCs w:val="17"/>
                <w:color w:val="auto"/>
              </w:rPr>
            </w:pPr>
          </w:p>
        </w:tc>
        <w:tc>
          <w:tcPr>
            <w:tcW w:w="1600" w:type="dxa"/>
            <w:vAlign w:val="bottom"/>
            <w:gridSpan w:val="2"/>
          </w:tcPr>
          <w:p>
            <w:pPr>
              <w:jc w:val="right"/>
              <w:ind w:right="940"/>
              <w:spacing w:after="0" w:line="202" w:lineRule="exact"/>
              <w:rPr>
                <w:sz w:val="20"/>
                <w:szCs w:val="20"/>
                <w:color w:val="auto"/>
              </w:rPr>
            </w:pPr>
            <w:r>
              <w:rPr>
                <w:rFonts w:ascii="Arial" w:cs="Arial" w:eastAsia="Arial" w:hAnsi="Arial"/>
                <w:sz w:val="18"/>
                <w:szCs w:val="18"/>
                <w:color w:val="auto"/>
              </w:rPr>
              <w:t>2,360</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0"/>
              <w:spacing w:after="0" w:line="202" w:lineRule="exact"/>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System consulting</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1000"/>
              <w:spacing w:after="0" w:line="202" w:lineRule="exact"/>
              <w:rPr>
                <w:sz w:val="20"/>
                <w:szCs w:val="20"/>
                <w:color w:val="auto"/>
              </w:rPr>
            </w:pPr>
            <w:r>
              <w:rPr>
                <w:rFonts w:ascii="Arial" w:cs="Arial" w:eastAsia="Arial" w:hAnsi="Arial"/>
                <w:sz w:val="18"/>
                <w:szCs w:val="18"/>
                <w:color w:val="auto"/>
              </w:rPr>
              <w:t>86</w:t>
            </w:r>
          </w:p>
        </w:tc>
        <w:tc>
          <w:tcPr>
            <w:tcW w:w="140" w:type="dxa"/>
            <w:vAlign w:val="bottom"/>
          </w:tcPr>
          <w:p>
            <w:pPr>
              <w:spacing w:after="0"/>
              <w:rPr>
                <w:sz w:val="17"/>
                <w:szCs w:val="17"/>
                <w:color w:val="auto"/>
              </w:rPr>
            </w:pPr>
          </w:p>
        </w:tc>
        <w:tc>
          <w:tcPr>
            <w:tcW w:w="1600" w:type="dxa"/>
            <w:vAlign w:val="bottom"/>
            <w:gridSpan w:val="2"/>
          </w:tcPr>
          <w:p>
            <w:pPr>
              <w:jc w:val="right"/>
              <w:ind w:right="940"/>
              <w:spacing w:after="0" w:line="202" w:lineRule="exact"/>
              <w:rPr>
                <w:sz w:val="20"/>
                <w:szCs w:val="20"/>
                <w:color w:val="auto"/>
              </w:rPr>
            </w:pPr>
            <w:r>
              <w:rPr>
                <w:rFonts w:ascii="Arial" w:cs="Arial" w:eastAsia="Arial" w:hAnsi="Arial"/>
                <w:sz w:val="18"/>
                <w:szCs w:val="18"/>
                <w:color w:val="auto"/>
              </w:rPr>
              <w:t>141</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0"/>
              <w:spacing w:after="0" w:line="202" w:lineRule="exact"/>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4180" w:type="dxa"/>
            <w:vAlign w:val="bottom"/>
          </w:tcPr>
          <w:p>
            <w:pPr>
              <w:spacing w:after="0" w:line="202" w:lineRule="exact"/>
              <w:rPr>
                <w:sz w:val="20"/>
                <w:szCs w:val="20"/>
                <w:color w:val="auto"/>
              </w:rPr>
            </w:pPr>
            <w:r>
              <w:rPr>
                <w:rFonts w:ascii="Arial" w:cs="Arial" w:eastAsia="Arial" w:hAnsi="Arial"/>
                <w:sz w:val="18"/>
                <w:szCs w:val="18"/>
                <w:color w:val="auto"/>
              </w:rPr>
              <w:t>Domain and intellectual property</w:t>
            </w:r>
          </w:p>
        </w:tc>
        <w:tc>
          <w:tcPr>
            <w:tcW w:w="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0"/>
              <w:spacing w:after="0" w:line="202" w:lineRule="exact"/>
              <w:rPr>
                <w:sz w:val="20"/>
                <w:szCs w:val="20"/>
                <w:color w:val="auto"/>
              </w:rPr>
            </w:pPr>
            <w:r>
              <w:rPr>
                <w:rFonts w:ascii="Arial" w:cs="Arial" w:eastAsia="Arial" w:hAnsi="Arial"/>
                <w:sz w:val="18"/>
                <w:szCs w:val="18"/>
                <w:color w:val="auto"/>
              </w:rPr>
              <w:t>16,882</w:t>
            </w: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20,696</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25,009</w:t>
            </w: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Accumulated depreciation and amortization</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940"/>
              <w:spacing w:after="0" w:line="202" w:lineRule="exact"/>
              <w:rPr>
                <w:sz w:val="20"/>
                <w:szCs w:val="20"/>
                <w:color w:val="auto"/>
              </w:rPr>
            </w:pPr>
            <w:r>
              <w:rPr>
                <w:rFonts w:ascii="Arial" w:cs="Arial" w:eastAsia="Arial" w:hAnsi="Arial"/>
                <w:sz w:val="18"/>
                <w:szCs w:val="18"/>
                <w:color w:val="auto"/>
              </w:rPr>
              <w:t>(8,555)</w:t>
            </w:r>
          </w:p>
        </w:tc>
        <w:tc>
          <w:tcPr>
            <w:tcW w:w="140" w:type="dxa"/>
            <w:vAlign w:val="bottom"/>
          </w:tcPr>
          <w:p>
            <w:pPr>
              <w:spacing w:after="0"/>
              <w:rPr>
                <w:sz w:val="17"/>
                <w:szCs w:val="17"/>
                <w:color w:val="auto"/>
              </w:rPr>
            </w:pPr>
          </w:p>
        </w:tc>
        <w:tc>
          <w:tcPr>
            <w:tcW w:w="160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(13,272)</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(17,089)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property and equipment, net</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000"/>
              <w:spacing w:after="0" w:line="202" w:lineRule="exact"/>
              <w:rPr>
                <w:sz w:val="20"/>
                <w:szCs w:val="20"/>
                <w:color w:val="auto"/>
              </w:rPr>
            </w:pPr>
            <w:r>
              <w:rPr>
                <w:rFonts w:ascii="Arial" w:cs="Arial" w:eastAsia="Arial" w:hAnsi="Arial"/>
                <w:sz w:val="18"/>
                <w:szCs w:val="18"/>
                <w:color w:val="auto"/>
              </w:rPr>
              <w:t>8,327</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7,424</w:t>
            </w:r>
          </w:p>
        </w:tc>
        <w:tc>
          <w:tcPr>
            <w:tcW w:w="8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7,920</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540" w:firstLine="551"/>
        <w:spacing w:after="0" w:line="253" w:lineRule="auto"/>
        <w:rPr>
          <w:sz w:val="20"/>
          <w:szCs w:val="20"/>
          <w:color w:val="auto"/>
        </w:rPr>
      </w:pPr>
      <w:r>
        <w:rPr>
          <w:rFonts w:ascii="Arial" w:cs="Arial" w:eastAsia="Arial" w:hAnsi="Arial"/>
          <w:sz w:val="18"/>
          <w:szCs w:val="18"/>
          <w:color w:val="auto"/>
        </w:rPr>
        <w:t>The Company recorded depreciation and amortization expense related to property and equipment, net, excluding developed software, of $632 and $436 for the years ended December 31, 2023 and 2024, respectively, and $362 and $627 for the nine months ended September 30, 2024 and 2025 (unaudited), respectively.</w:t>
      </w:r>
    </w:p>
    <w:p>
      <w:pPr>
        <w:spacing w:after="0" w:line="169" w:lineRule="exact"/>
        <w:rPr>
          <w:sz w:val="20"/>
          <w:szCs w:val="20"/>
          <w:color w:val="auto"/>
        </w:rPr>
      </w:pPr>
    </w:p>
    <w:p>
      <w:pPr>
        <w:ind w:left="120" w:right="180" w:firstLine="551"/>
        <w:spacing w:after="0" w:line="244" w:lineRule="auto"/>
        <w:rPr>
          <w:sz w:val="20"/>
          <w:szCs w:val="20"/>
          <w:color w:val="auto"/>
        </w:rPr>
      </w:pPr>
      <w:r>
        <w:rPr>
          <w:rFonts w:ascii="Arial" w:cs="Arial" w:eastAsia="Arial" w:hAnsi="Arial"/>
          <w:sz w:val="18"/>
          <w:szCs w:val="18"/>
          <w:color w:val="auto"/>
        </w:rPr>
        <w:t>The Company capitalized developed software costs of $4,781 and $ 3,070 for the years ended December 31, 2023 and 2024, respectively, and $ 2,230 and $3,449 for the nine months ended September 30, 2024 and 2025 (unaudited), respectively. Amortization expense related to developed software costs, included in depreciation and amortization in the consolidated statements of operations and comprehensive income (loss), was $4,175 and $5,002 for the years ended December 31, 2023 and 2024, respectively, and $3,807 and $3,448 for the nine months ended September 30, 2024 and 2025 (unaudited), respectively.</w:t>
      </w:r>
    </w:p>
    <w:p>
      <w:pPr>
        <w:spacing w:after="0" w:line="284" w:lineRule="exact"/>
        <w:rPr>
          <w:sz w:val="20"/>
          <w:szCs w:val="20"/>
          <w:color w:val="auto"/>
        </w:rPr>
      </w:pPr>
    </w:p>
    <w:p>
      <w:pPr>
        <w:ind w:left="660" w:right="7860" w:hanging="544"/>
        <w:spacing w:after="0" w:line="360" w:lineRule="auto"/>
        <w:tabs>
          <w:tab w:leader="none" w:pos="409"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ind w:left="120" w:right="160" w:firstLine="551"/>
        <w:spacing w:after="0" w:line="253" w:lineRule="auto"/>
        <w:rPr>
          <w:sz w:val="20"/>
          <w:szCs w:val="20"/>
          <w:color w:val="auto"/>
        </w:rPr>
      </w:pPr>
      <w:r>
        <w:rPr>
          <w:rFonts w:ascii="Arial" w:cs="Arial" w:eastAsia="Arial" w:hAnsi="Arial"/>
          <w:sz w:val="18"/>
          <w:szCs w:val="18"/>
          <w:color w:val="auto"/>
        </w:rPr>
        <w:t>As of December 31, 2024 and September 30, 2025 (unaudited), the Company had operating lease agreements for its office facilities in San Francisco, California, as well as in India, which expire at various dates through November 2028. For its primary operating leases, the Company has the option to extend the lease terms.</w:t>
      </w:r>
    </w:p>
    <w:p>
      <w:pPr>
        <w:spacing w:after="0" w:line="169" w:lineRule="exact"/>
        <w:rPr>
          <w:sz w:val="20"/>
          <w:szCs w:val="20"/>
          <w:color w:val="auto"/>
        </w:rPr>
      </w:pPr>
    </w:p>
    <w:p>
      <w:pPr>
        <w:ind w:left="120" w:right="260" w:firstLine="551"/>
        <w:spacing w:after="0" w:line="247" w:lineRule="auto"/>
        <w:rPr>
          <w:sz w:val="20"/>
          <w:szCs w:val="20"/>
          <w:color w:val="auto"/>
        </w:rPr>
      </w:pPr>
      <w:r>
        <w:rPr>
          <w:rFonts w:ascii="Arial" w:cs="Arial" w:eastAsia="Arial" w:hAnsi="Arial"/>
          <w:sz w:val="18"/>
          <w:szCs w:val="18"/>
          <w:color w:val="auto"/>
        </w:rPr>
        <w:t>In September 2023, Ethos Life Technologies (India) Pvt. Ltd. entered into a lease agreement in Bangalore, Karnataka, India. The lease agreement was canceled as of November 2024 and replaced with a new agreement that expires November 2026. The new agreement may be cancelled after August 2026 and contains an option to extend the lease term. The terms of the lease agreement provide for fixed rental payments on a graduated basis.</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jc w:val="both"/>
        <w:ind w:left="120" w:right="420" w:firstLine="551"/>
        <w:spacing w:after="0" w:line="253" w:lineRule="auto"/>
        <w:rPr>
          <w:sz w:val="20"/>
          <w:szCs w:val="20"/>
          <w:color w:val="auto"/>
        </w:rPr>
      </w:pPr>
      <w:r>
        <w:rPr>
          <w:rFonts w:ascii="Arial" w:cs="Arial" w:eastAsia="Arial" w:hAnsi="Arial"/>
          <w:sz w:val="18"/>
          <w:szCs w:val="18"/>
          <w:color w:val="auto"/>
        </w:rPr>
        <w:t>In May 2024, the Company entered into a lease agreement in San Francisco, CA. The lease was for the same space leased in 2022, which consisted of 9,079 square feet of office space. The terms of the lease agreement provides for fixed rental payments on a graduated basis and contains an option to extend the terms of the lease.</w:t>
      </w:r>
    </w:p>
    <w:p>
      <w:pPr>
        <w:spacing w:after="0" w:line="169" w:lineRule="exact"/>
        <w:rPr>
          <w:sz w:val="20"/>
          <w:szCs w:val="20"/>
          <w:color w:val="auto"/>
        </w:rPr>
      </w:pPr>
    </w:p>
    <w:p>
      <w:pPr>
        <w:ind w:left="120" w:right="100" w:firstLine="551"/>
        <w:spacing w:after="0" w:line="271" w:lineRule="auto"/>
        <w:rPr>
          <w:sz w:val="20"/>
          <w:szCs w:val="20"/>
          <w:color w:val="auto"/>
        </w:rPr>
      </w:pPr>
      <w:r>
        <w:rPr>
          <w:rFonts w:ascii="Arial" w:cs="Arial" w:eastAsia="Arial" w:hAnsi="Arial"/>
          <w:sz w:val="18"/>
          <w:szCs w:val="18"/>
          <w:color w:val="auto"/>
        </w:rPr>
        <w:t>The components of lease costs, which consist of rent expense for leased office space, during the years ended December 31, 2023 and 2024, and nine months ended September 30, 2024 and 2025 (unaudited) were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6"/>
        </w:trPr>
        <w:tc>
          <w:tcPr>
            <w:tcW w:w="3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 xml:space="preserve">   </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 xml:space="preserve">   </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3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7"/>
              </w:rPr>
              <w:t>2023 </w:t>
            </w:r>
          </w:p>
        </w:tc>
        <w:tc>
          <w:tcPr>
            <w:tcW w:w="7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71"/>
              </w:rPr>
              <w:t> </w:t>
            </w: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7"/>
              </w:rPr>
              <w:t>2024 </w:t>
            </w:r>
          </w:p>
        </w:tc>
        <w:tc>
          <w:tcPr>
            <w:tcW w:w="4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71"/>
              </w:rPr>
              <w:t> </w:t>
            </w:r>
          </w:p>
        </w:tc>
        <w:tc>
          <w:tcPr>
            <w:tcW w:w="6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w w:val="85"/>
              </w:rPr>
              <w:t> </w:t>
            </w:r>
          </w:p>
        </w:tc>
        <w:tc>
          <w:tcPr>
            <w:tcW w:w="1760" w:type="dxa"/>
            <w:vAlign w:val="bottom"/>
            <w:gridSpan w:val="2"/>
          </w:tcPr>
          <w:p>
            <w:pPr>
              <w:jc w:val="right"/>
              <w:ind w:right="988"/>
              <w:spacing w:after="0"/>
              <w:rPr>
                <w:sz w:val="20"/>
                <w:szCs w:val="20"/>
                <w:color w:val="auto"/>
              </w:rPr>
            </w:pPr>
            <w:r>
              <w:rPr>
                <w:rFonts w:ascii="Arial" w:cs="Arial" w:eastAsia="Arial" w:hAnsi="Arial"/>
                <w:sz w:val="14"/>
                <w:szCs w:val="14"/>
                <w:b w:val="1"/>
                <w:bCs w:val="1"/>
                <w:color w:val="auto"/>
              </w:rPr>
              <w:t xml:space="preserve">  2024   </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    2025 </w:t>
            </w:r>
          </w:p>
        </w:tc>
        <w:tc>
          <w:tcPr>
            <w:tcW w:w="380" w:type="dxa"/>
            <w:vAlign w:val="bottom"/>
            <w:gridSpan w:val="2"/>
          </w:tcPr>
          <w:p>
            <w:pPr>
              <w:ind w:left="60"/>
              <w:spacing w:after="0"/>
              <w:rPr>
                <w:sz w:val="20"/>
                <w:szCs w:val="20"/>
                <w:color w:val="auto"/>
              </w:rPr>
            </w:pPr>
            <w:r>
              <w:rPr>
                <w:rFonts w:ascii="Arial" w:cs="Arial" w:eastAsia="Arial" w:hAnsi="Arial"/>
                <w:sz w:val="14"/>
                <w:szCs w:val="14"/>
                <w:b w:val="1"/>
                <w:bCs w:val="1"/>
                <w:color w:val="auto"/>
              </w:rPr>
              <w:t> </w:t>
            </w:r>
          </w:p>
        </w:tc>
      </w:tr>
      <w:tr>
        <w:trPr>
          <w:trHeight w:val="146"/>
        </w:trPr>
        <w:tc>
          <w:tcPr>
            <w:tcW w:w="3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(unaudited)</w:t>
            </w:r>
          </w:p>
        </w:tc>
        <w:tc>
          <w:tcPr>
            <w:tcW w:w="7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3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4"/>
          </w:tcPr>
          <w:p>
            <w:pPr>
              <w:jc w:val="right"/>
              <w:ind w:right="1468"/>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operating lease cost</w:t>
            </w:r>
          </w:p>
        </w:tc>
        <w:tc>
          <w:tcPr>
            <w:tcW w:w="1780" w:type="dxa"/>
            <w:vAlign w:val="bottom"/>
            <w:gridSpan w:val="2"/>
            <w:shd w:val="clear" w:color="auto" w:fill="CCEEFF"/>
          </w:tcPr>
          <w:p>
            <w:pPr>
              <w:jc w:val="right"/>
              <w:ind w:right="304"/>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9"/>
              </w:rPr>
              <w:t>747</w:t>
            </w:r>
          </w:p>
        </w:tc>
        <w:tc>
          <w:tcPr>
            <w:tcW w:w="860" w:type="dxa"/>
            <w:vAlign w:val="bottom"/>
            <w:gridSpan w:val="2"/>
            <w:shd w:val="clear" w:color="auto" w:fill="CCEEFF"/>
          </w:tcPr>
          <w:p>
            <w:pPr>
              <w:jc w:val="right"/>
              <w:ind w:right="302"/>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668</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88"/>
              <w:spacing w:after="0" w:line="202" w:lineRule="exact"/>
              <w:rPr>
                <w:sz w:val="20"/>
                <w:szCs w:val="20"/>
                <w:color w:val="auto"/>
              </w:rPr>
            </w:pPr>
            <w:r>
              <w:rPr>
                <w:rFonts w:ascii="Arial" w:cs="Arial" w:eastAsia="Arial" w:hAnsi="Arial"/>
                <w:sz w:val="18"/>
                <w:szCs w:val="18"/>
                <w:color w:val="auto"/>
              </w:rPr>
              <w:t>515</w:t>
            </w:r>
          </w:p>
        </w:tc>
        <w:tc>
          <w:tcPr>
            <w:tcW w:w="780" w:type="dxa"/>
            <w:vAlign w:val="bottom"/>
            <w:shd w:val="clear" w:color="auto" w:fill="CCEEFF"/>
          </w:tcPr>
          <w:p>
            <w:pPr>
              <w:jc w:val="right"/>
              <w:ind w:right="596"/>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741</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Short-term lease cost</w:t>
            </w: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9"/>
              </w:rPr>
              <w:t>100</w:t>
            </w: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83</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2"/>
          </w:tcPr>
          <w:p>
            <w:pPr>
              <w:jc w:val="right"/>
              <w:ind w:right="788"/>
              <w:spacing w:after="0" w:line="202" w:lineRule="exact"/>
              <w:rPr>
                <w:sz w:val="20"/>
                <w:szCs w:val="20"/>
                <w:color w:val="auto"/>
              </w:rPr>
            </w:pPr>
            <w:r>
              <w:rPr>
                <w:rFonts w:ascii="Arial" w:cs="Arial" w:eastAsia="Arial" w:hAnsi="Arial"/>
                <w:sz w:val="18"/>
                <w:szCs w:val="18"/>
                <w:color w:val="auto"/>
              </w:rPr>
              <w:t>36</w:t>
            </w:r>
          </w:p>
        </w:tc>
        <w:tc>
          <w:tcPr>
            <w:tcW w:w="780" w:type="dxa"/>
            <w:vAlign w:val="bottom"/>
          </w:tcPr>
          <w:p>
            <w:pPr>
              <w:spacing w:after="0"/>
              <w:rPr>
                <w:sz w:val="17"/>
                <w:szCs w:val="17"/>
                <w:color w:val="auto"/>
              </w:rPr>
            </w:pP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57</w:t>
            </w: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Variable lease cost</w:t>
            </w:r>
          </w:p>
        </w:tc>
        <w:tc>
          <w:tcPr>
            <w:tcW w:w="1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788"/>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Sublease income</w:t>
            </w: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(34)</w:t>
            </w: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2"/>
          </w:tcPr>
          <w:p>
            <w:pPr>
              <w:jc w:val="right"/>
              <w:ind w:right="728"/>
              <w:spacing w:after="0" w:line="202" w:lineRule="exact"/>
              <w:rPr>
                <w:sz w:val="20"/>
                <w:szCs w:val="20"/>
                <w:color w:val="auto"/>
              </w:rPr>
            </w:pPr>
            <w:r>
              <w:rPr>
                <w:rFonts w:ascii="Arial" w:cs="Arial" w:eastAsia="Arial" w:hAnsi="Arial"/>
                <w:sz w:val="18"/>
                <w:szCs w:val="18"/>
                <w:color w:val="auto"/>
              </w:rPr>
              <w:t>(14)</w:t>
            </w:r>
          </w:p>
        </w:tc>
        <w:tc>
          <w:tcPr>
            <w:tcW w:w="780" w:type="dxa"/>
            <w:vAlign w:val="bottom"/>
          </w:tcPr>
          <w:p>
            <w:pPr>
              <w:spacing w:after="0"/>
              <w:rPr>
                <w:sz w:val="17"/>
                <w:szCs w:val="17"/>
                <w:color w:val="auto"/>
              </w:rPr>
            </w:pP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
        </w:trPr>
        <w:tc>
          <w:tcPr>
            <w:tcW w:w="3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3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lease cost</w:t>
            </w:r>
          </w:p>
        </w:tc>
        <w:tc>
          <w:tcPr>
            <w:tcW w:w="13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4"/>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813</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2"/>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737</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788"/>
              <w:spacing w:after="0" w:line="202" w:lineRule="exact"/>
              <w:rPr>
                <w:sz w:val="20"/>
                <w:szCs w:val="20"/>
                <w:color w:val="auto"/>
              </w:rPr>
            </w:pPr>
            <w:r>
              <w:rPr>
                <w:rFonts w:ascii="Arial" w:cs="Arial" w:eastAsia="Arial" w:hAnsi="Arial"/>
                <w:sz w:val="18"/>
                <w:szCs w:val="18"/>
                <w:color w:val="auto"/>
              </w:rPr>
              <w:t>537</w:t>
            </w:r>
          </w:p>
        </w:tc>
        <w:tc>
          <w:tcPr>
            <w:tcW w:w="780" w:type="dxa"/>
            <w:vAlign w:val="bottom"/>
            <w:shd w:val="clear" w:color="auto" w:fill="CCEEFF"/>
          </w:tcPr>
          <w:p>
            <w:pPr>
              <w:jc w:val="right"/>
              <w:ind w:right="596"/>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798</w:t>
            </w:r>
          </w:p>
        </w:tc>
      </w:tr>
      <w:tr>
        <w:trPr>
          <w:trHeight w:val="20"/>
        </w:trPr>
        <w:tc>
          <w:tcPr>
            <w:tcW w:w="3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360" w:firstLine="551"/>
        <w:spacing w:after="0" w:line="301" w:lineRule="auto"/>
        <w:rPr>
          <w:sz w:val="20"/>
          <w:szCs w:val="20"/>
          <w:color w:val="auto"/>
        </w:rPr>
      </w:pPr>
      <w:r>
        <w:rPr>
          <w:rFonts w:ascii="Arial" w:cs="Arial" w:eastAsia="Arial" w:hAnsi="Arial"/>
          <w:sz w:val="17"/>
          <w:szCs w:val="17"/>
          <w:color w:val="auto"/>
        </w:rPr>
        <w:t>Supplemental cash flow information related to the Company’s operating leases as well as the weighted-average lease term and discount rate as of December 31, 2023 and 2024, and nine months ended September 30, 2024 and 2025 (unaudited) were as follows: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Nine Months Ended September 30,</w:t>
            </w:r>
          </w:p>
        </w:tc>
      </w:tr>
      <w:tr>
        <w:trPr>
          <w:trHeight w:val="146"/>
        </w:trPr>
        <w:tc>
          <w:tcPr>
            <w:tcW w:w="4560" w:type="dxa"/>
            <w:vAlign w:val="bottom"/>
          </w:tcPr>
          <w:p>
            <w:pPr>
              <w:spacing w:after="0"/>
              <w:rPr>
                <w:sz w:val="12"/>
                <w:szCs w:val="12"/>
                <w:color w:val="auto"/>
              </w:rPr>
            </w:pPr>
          </w:p>
        </w:tc>
        <w:tc>
          <w:tcPr>
            <w:tcW w:w="28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 </w:t>
            </w:r>
          </w:p>
        </w:tc>
        <w:tc>
          <w:tcPr>
            <w:tcW w:w="1000" w:type="dxa"/>
            <w:vAlign w:val="bottom"/>
            <w:tcBorders>
              <w:top w:val="single" w:sz="8" w:color="auto"/>
            </w:tcBorders>
          </w:tcPr>
          <w:p>
            <w:pPr>
              <w:jc w:val="right"/>
              <w:ind w:right="776"/>
              <w:spacing w:after="0" w:line="147" w:lineRule="exact"/>
              <w:rPr>
                <w:sz w:val="20"/>
                <w:szCs w:val="20"/>
                <w:color w:val="auto"/>
              </w:rPr>
            </w:pPr>
            <w:r>
              <w:rPr>
                <w:rFonts w:ascii="Arial" w:cs="Arial" w:eastAsia="Arial" w:hAnsi="Arial"/>
                <w:sz w:val="14"/>
                <w:szCs w:val="14"/>
                <w:b w:val="1"/>
                <w:bCs w:val="1"/>
                <w:color w:val="auto"/>
                <w:w w:val="85"/>
              </w:rPr>
              <w:t> </w:t>
            </w:r>
          </w:p>
        </w:tc>
        <w:tc>
          <w:tcPr>
            <w:tcW w:w="6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 </w:t>
            </w:r>
          </w:p>
        </w:tc>
        <w:tc>
          <w:tcPr>
            <w:tcW w:w="460" w:type="dxa"/>
            <w:vAlign w:val="bottom"/>
            <w:tcBorders>
              <w:top w:val="single" w:sz="8" w:color="auto"/>
            </w:tcBorders>
          </w:tcPr>
          <w:p>
            <w:pPr>
              <w:jc w:val="right"/>
              <w:ind w:right="254"/>
              <w:spacing w:after="0" w:line="147" w:lineRule="exact"/>
              <w:rPr>
                <w:sz w:val="20"/>
                <w:szCs w:val="20"/>
                <w:color w:val="auto"/>
              </w:rPr>
            </w:pPr>
            <w:r>
              <w:rPr>
                <w:rFonts w:ascii="Arial" w:cs="Arial" w:eastAsia="Arial" w:hAnsi="Arial"/>
                <w:sz w:val="14"/>
                <w:szCs w:val="14"/>
                <w:b w:val="1"/>
                <w:bCs w:val="1"/>
                <w:color w:val="auto"/>
                <w:w w:val="71"/>
              </w:rPr>
              <w:t> </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4560" w:type="dxa"/>
            <w:vAlign w:val="bottom"/>
          </w:tcPr>
          <w:p>
            <w:pPr>
              <w:spacing w:after="0"/>
              <w:rPr>
                <w:sz w:val="14"/>
                <w:szCs w:val="14"/>
                <w:color w:val="auto"/>
              </w:rPr>
            </w:pPr>
          </w:p>
        </w:tc>
        <w:tc>
          <w:tcPr>
            <w:tcW w:w="1280" w:type="dxa"/>
            <w:vAlign w:val="bottom"/>
            <w:gridSpan w:val="2"/>
          </w:tcPr>
          <w:p>
            <w:pPr>
              <w:jc w:val="right"/>
              <w:ind w:right="616"/>
              <w:spacing w:after="0"/>
              <w:rPr>
                <w:sz w:val="20"/>
                <w:szCs w:val="20"/>
                <w:color w:val="auto"/>
              </w:rPr>
            </w:pPr>
            <w:r>
              <w:rPr>
                <w:rFonts w:ascii="Arial" w:cs="Arial" w:eastAsia="Arial" w:hAnsi="Arial"/>
                <w:sz w:val="14"/>
                <w:szCs w:val="14"/>
                <w:b w:val="1"/>
                <w:bCs w:val="1"/>
                <w:color w:val="auto"/>
              </w:rPr>
              <w:t xml:space="preserve">2023   </w:t>
            </w:r>
          </w:p>
        </w:tc>
        <w:tc>
          <w:tcPr>
            <w:tcW w:w="13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 xml:space="preserve">2024   </w:t>
            </w:r>
          </w:p>
        </w:tc>
        <w:tc>
          <w:tcPr>
            <w:tcW w:w="6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w w:val="72"/>
              </w:rPr>
              <w:t> </w:t>
            </w:r>
          </w:p>
        </w:tc>
        <w:tc>
          <w:tcPr>
            <w:tcW w:w="1760" w:type="dxa"/>
            <w:vAlign w:val="bottom"/>
          </w:tcPr>
          <w:p>
            <w:pPr>
              <w:jc w:val="right"/>
              <w:ind w:right="978"/>
              <w:spacing w:after="0"/>
              <w:rPr>
                <w:sz w:val="20"/>
                <w:szCs w:val="20"/>
                <w:color w:val="auto"/>
              </w:rPr>
            </w:pPr>
            <w:r>
              <w:rPr>
                <w:rFonts w:ascii="Arial" w:cs="Arial" w:eastAsia="Arial" w:hAnsi="Arial"/>
                <w:sz w:val="14"/>
                <w:szCs w:val="14"/>
                <w:b w:val="1"/>
                <w:bCs w:val="1"/>
                <w:color w:val="auto"/>
              </w:rPr>
              <w:t xml:space="preserve">  2024   </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w w:val="85"/>
              </w:rPr>
              <w:t> </w:t>
            </w: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xml:space="preserve">  2025   </w:t>
            </w:r>
          </w:p>
        </w:tc>
      </w:tr>
      <w:tr>
        <w:trPr>
          <w:trHeight w:val="146"/>
        </w:trPr>
        <w:tc>
          <w:tcPr>
            <w:tcW w:w="45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(unaudited)</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3"/>
          </w:tcPr>
          <w:p>
            <w:pPr>
              <w:jc w:val="right"/>
              <w:ind w:right="1458"/>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for operating lease liabilities</w:t>
            </w:r>
          </w:p>
        </w:tc>
        <w:tc>
          <w:tcPr>
            <w:tcW w:w="280" w:type="dxa"/>
            <w:vAlign w:val="bottom"/>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436"/>
              <w:spacing w:after="0" w:line="202" w:lineRule="exact"/>
              <w:rPr>
                <w:sz w:val="20"/>
                <w:szCs w:val="20"/>
                <w:color w:val="auto"/>
              </w:rPr>
            </w:pPr>
            <w:r>
              <w:rPr>
                <w:rFonts w:ascii="Arial" w:cs="Arial" w:eastAsia="Arial" w:hAnsi="Arial"/>
                <w:sz w:val="18"/>
                <w:szCs w:val="18"/>
                <w:color w:val="auto"/>
              </w:rPr>
              <w:t>731</w:t>
            </w:r>
          </w:p>
        </w:tc>
        <w:tc>
          <w:tcPr>
            <w:tcW w:w="640" w:type="dxa"/>
            <w:vAlign w:val="bottom"/>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613</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798"/>
              <w:spacing w:after="0" w:line="202" w:lineRule="exact"/>
              <w:rPr>
                <w:sz w:val="20"/>
                <w:szCs w:val="20"/>
                <w:color w:val="auto"/>
              </w:rPr>
            </w:pPr>
            <w:r>
              <w:rPr>
                <w:rFonts w:ascii="Arial" w:cs="Arial" w:eastAsia="Arial" w:hAnsi="Arial"/>
                <w:sz w:val="18"/>
                <w:szCs w:val="18"/>
                <w:color w:val="auto"/>
              </w:rPr>
              <w:t>523</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736</w:t>
            </w:r>
          </w:p>
        </w:tc>
      </w:tr>
      <w:tr>
        <w:trPr>
          <w:trHeight w:val="184"/>
        </w:trPr>
        <w:tc>
          <w:tcPr>
            <w:tcW w:w="4560" w:type="dxa"/>
            <w:vAlign w:val="bottom"/>
          </w:tcPr>
          <w:p>
            <w:pPr>
              <w:spacing w:after="0" w:line="183" w:lineRule="exact"/>
              <w:rPr>
                <w:sz w:val="20"/>
                <w:szCs w:val="20"/>
                <w:color w:val="auto"/>
              </w:rPr>
            </w:pPr>
            <w:r>
              <w:rPr>
                <w:rFonts w:ascii="Arial" w:cs="Arial" w:eastAsia="Arial" w:hAnsi="Arial"/>
                <w:sz w:val="18"/>
                <w:szCs w:val="18"/>
                <w:color w:val="auto"/>
              </w:rPr>
              <w:t>Operating lease assets obtained in exchange for</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21"/>
        </w:trPr>
        <w:tc>
          <w:tcPr>
            <w:tcW w:w="4560" w:type="dxa"/>
            <w:vAlign w:val="bottom"/>
          </w:tcPr>
          <w:p>
            <w:pPr>
              <w:ind w:left="180"/>
              <w:spacing w:after="0"/>
              <w:rPr>
                <w:sz w:val="20"/>
                <w:szCs w:val="20"/>
                <w:color w:val="auto"/>
              </w:rPr>
            </w:pPr>
            <w:r>
              <w:rPr>
                <w:rFonts w:ascii="Arial" w:cs="Arial" w:eastAsia="Arial" w:hAnsi="Arial"/>
                <w:sz w:val="18"/>
                <w:szCs w:val="18"/>
                <w:color w:val="auto"/>
              </w:rPr>
              <w:t>new operating lease obligations</w:t>
            </w:r>
          </w:p>
        </w:tc>
        <w:tc>
          <w:tcPr>
            <w:tcW w:w="280" w:type="dxa"/>
            <w:vAlign w:val="bottom"/>
          </w:tcPr>
          <w:p>
            <w:pPr>
              <w:jc w:val="right"/>
              <w:ind w:right="99"/>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436"/>
              <w:spacing w:after="0"/>
              <w:rPr>
                <w:sz w:val="20"/>
                <w:szCs w:val="20"/>
                <w:color w:val="auto"/>
              </w:rPr>
            </w:pPr>
            <w:r>
              <w:rPr>
                <w:rFonts w:ascii="Arial" w:cs="Arial" w:eastAsia="Arial" w:hAnsi="Arial"/>
                <w:sz w:val="18"/>
                <w:szCs w:val="18"/>
                <w:color w:val="auto"/>
              </w:rPr>
              <w:t>1,090</w:t>
            </w:r>
          </w:p>
        </w:tc>
        <w:tc>
          <w:tcPr>
            <w:tcW w:w="64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2,663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798"/>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596</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remaining lease term (years)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36"/>
              <w:spacing w:after="0" w:line="202" w:lineRule="exact"/>
              <w:rPr>
                <w:sz w:val="20"/>
                <w:szCs w:val="20"/>
                <w:color w:val="auto"/>
              </w:rPr>
            </w:pPr>
            <w:r>
              <w:rPr>
                <w:rFonts w:ascii="Arial" w:cs="Arial" w:eastAsia="Arial" w:hAnsi="Arial"/>
                <w:sz w:val="18"/>
                <w:szCs w:val="18"/>
                <w:color w:val="auto"/>
              </w:rPr>
              <w:t>1.05</w:t>
            </w:r>
          </w:p>
        </w:tc>
        <w:tc>
          <w:tcPr>
            <w:tcW w:w="6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3.26</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798"/>
              <w:spacing w:after="0" w:line="202" w:lineRule="exact"/>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2.47</w:t>
            </w:r>
          </w:p>
        </w:tc>
      </w:tr>
      <w:tr>
        <w:trPr>
          <w:trHeight w:val="239"/>
        </w:trPr>
        <w:tc>
          <w:tcPr>
            <w:tcW w:w="456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80" w:type="dxa"/>
            <w:vAlign w:val="bottom"/>
          </w:tcPr>
          <w:p>
            <w:pPr>
              <w:spacing w:after="0"/>
              <w:rPr>
                <w:sz w:val="20"/>
                <w:szCs w:val="20"/>
                <w:color w:val="auto"/>
              </w:rPr>
            </w:pPr>
          </w:p>
        </w:tc>
        <w:tc>
          <w:tcPr>
            <w:tcW w:w="1000" w:type="dxa"/>
            <w:vAlign w:val="bottom"/>
          </w:tcPr>
          <w:p>
            <w:pPr>
              <w:jc w:val="right"/>
              <w:ind w:right="276"/>
              <w:spacing w:after="0"/>
              <w:rPr>
                <w:sz w:val="20"/>
                <w:szCs w:val="20"/>
                <w:color w:val="auto"/>
              </w:rPr>
            </w:pPr>
            <w:r>
              <w:rPr>
                <w:rFonts w:ascii="Arial" w:cs="Arial" w:eastAsia="Arial" w:hAnsi="Arial"/>
                <w:sz w:val="18"/>
                <w:szCs w:val="18"/>
                <w:color w:val="auto"/>
              </w:rPr>
              <w:t>6.00%</w:t>
            </w:r>
          </w:p>
        </w:tc>
        <w:tc>
          <w:tcPr>
            <w:tcW w:w="64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right"/>
              <w:ind w:right="638"/>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6.00%</w:t>
            </w: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lease payments under the Company’s operating lease agreements as of December 31, 2024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6120" w:type="dxa"/>
            <w:vAlign w:val="bottom"/>
            <w:gridSpan w:val="2"/>
            <w:shd w:val="clear" w:color="auto" w:fill="CCEEFF"/>
          </w:tcPr>
          <w:p>
            <w:pPr>
              <w:ind w:left="58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883</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5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965</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5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534</w:t>
            </w:r>
          </w:p>
        </w:tc>
      </w:tr>
      <w:tr>
        <w:trPr>
          <w:trHeight w:val="210"/>
        </w:trPr>
        <w:tc>
          <w:tcPr>
            <w:tcW w:w="410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5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503</w:t>
            </w:r>
          </w:p>
        </w:tc>
        <w:tc>
          <w:tcPr>
            <w:tcW w:w="120" w:type="dxa"/>
            <w:vAlign w:val="bottom"/>
          </w:tcPr>
          <w:p>
            <w:pPr>
              <w:spacing w:after="0"/>
              <w:rPr>
                <w:sz w:val="18"/>
                <w:szCs w:val="18"/>
                <w:color w:val="auto"/>
              </w:rPr>
            </w:pPr>
          </w:p>
        </w:tc>
      </w:tr>
      <w:tr>
        <w:trPr>
          <w:trHeight w:val="203"/>
        </w:trPr>
        <w:tc>
          <w:tcPr>
            <w:tcW w:w="4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future lease payments</w:t>
            </w:r>
          </w:p>
        </w:tc>
        <w:tc>
          <w:tcPr>
            <w:tcW w:w="5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2,885</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Less interest</w:t>
            </w:r>
          </w:p>
        </w:tc>
        <w:tc>
          <w:tcPr>
            <w:tcW w:w="5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(268)</w:t>
            </w:r>
          </w:p>
        </w:tc>
      </w:tr>
      <w:tr>
        <w:trPr>
          <w:trHeight w:val="27"/>
        </w:trPr>
        <w:tc>
          <w:tcPr>
            <w:tcW w:w="41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Present value of lease liabilities</w:t>
            </w:r>
          </w:p>
        </w:tc>
        <w:tc>
          <w:tcPr>
            <w:tcW w:w="6120" w:type="dxa"/>
            <w:vAlign w:val="bottom"/>
            <w:gridSpan w:val="2"/>
            <w:shd w:val="clear" w:color="auto" w:fill="CCEEFF"/>
          </w:tcPr>
          <w:p>
            <w:pPr>
              <w:ind w:left="58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2,617</w:t>
            </w:r>
          </w:p>
        </w:tc>
      </w:tr>
      <w:tr>
        <w:trPr>
          <w:trHeight w:val="20"/>
        </w:trPr>
        <w:tc>
          <w:tcPr>
            <w:tcW w:w="41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2"/>
        </w:trPr>
        <w:tc>
          <w:tcPr>
            <w:tcW w:w="4100" w:type="dxa"/>
            <w:vAlign w:val="bottom"/>
          </w:tcPr>
          <w:p>
            <w:pPr>
              <w:spacing w:after="0"/>
              <w:rPr>
                <w:sz w:val="24"/>
                <w:szCs w:val="24"/>
                <w:color w:val="auto"/>
              </w:rPr>
            </w:pPr>
          </w:p>
        </w:tc>
        <w:tc>
          <w:tcPr>
            <w:tcW w:w="6120" w:type="dxa"/>
            <w:vAlign w:val="bottom"/>
            <w:gridSpan w:val="2"/>
          </w:tcPr>
          <w:p>
            <w:pPr>
              <w:ind w:left="1220"/>
              <w:spacing w:after="0"/>
              <w:rPr>
                <w:sz w:val="20"/>
                <w:szCs w:val="20"/>
                <w:color w:val="auto"/>
              </w:rPr>
            </w:pPr>
            <w:r>
              <w:rPr>
                <w:rFonts w:ascii="Arial" w:cs="Arial" w:eastAsia="Arial" w:hAnsi="Arial"/>
                <w:sz w:val="18"/>
                <w:szCs w:val="18"/>
                <w:color w:val="auto"/>
              </w:rPr>
              <w:t>F-28</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lease payments under the Company’s operating lease agreements as of September 30, 2025 (unaudited)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portion of 2025</w:t>
            </w:r>
          </w:p>
        </w:tc>
        <w:tc>
          <w:tcPr>
            <w:tcW w:w="3840" w:type="dxa"/>
            <w:vAlign w:val="bottom"/>
            <w:gridSpan w:val="2"/>
            <w:shd w:val="clear" w:color="auto" w:fill="CCEEFF"/>
          </w:tcPr>
          <w:p>
            <w:pPr>
              <w:ind w:left="352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225</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3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1,265</w:t>
            </w: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3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794</w:t>
            </w:r>
          </w:p>
        </w:tc>
      </w:tr>
      <w:tr>
        <w:trPr>
          <w:trHeight w:val="209"/>
        </w:trPr>
        <w:tc>
          <w:tcPr>
            <w:tcW w:w="638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3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503</w:t>
            </w:r>
          </w:p>
        </w:tc>
        <w:tc>
          <w:tcPr>
            <w:tcW w:w="120" w:type="dxa"/>
            <w:vAlign w:val="bottom"/>
          </w:tcPr>
          <w:p>
            <w:pPr>
              <w:spacing w:after="0"/>
              <w:rPr>
                <w:sz w:val="18"/>
                <w:szCs w:val="18"/>
                <w:color w:val="auto"/>
              </w:rPr>
            </w:pPr>
          </w:p>
        </w:tc>
      </w:tr>
      <w:tr>
        <w:trPr>
          <w:trHeight w:val="203"/>
        </w:trPr>
        <w:tc>
          <w:tcPr>
            <w:tcW w:w="63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future lease payments</w:t>
            </w:r>
          </w:p>
        </w:tc>
        <w:tc>
          <w:tcPr>
            <w:tcW w:w="3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2,787</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Less interest</w:t>
            </w:r>
          </w:p>
        </w:tc>
        <w:tc>
          <w:tcPr>
            <w:tcW w:w="3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(243)</w:t>
            </w:r>
          </w:p>
        </w:tc>
      </w:tr>
      <w:tr>
        <w:trPr>
          <w:trHeight w:val="27"/>
        </w:trPr>
        <w:tc>
          <w:tcPr>
            <w:tcW w:w="63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3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Present value of lease liabilities</w:t>
            </w:r>
          </w:p>
        </w:tc>
        <w:tc>
          <w:tcPr>
            <w:tcW w:w="3840" w:type="dxa"/>
            <w:vAlign w:val="bottom"/>
            <w:gridSpan w:val="2"/>
            <w:shd w:val="clear" w:color="auto" w:fill="CCEEFF"/>
          </w:tcPr>
          <w:p>
            <w:pPr>
              <w:ind w:left="352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2,544</w:t>
            </w:r>
          </w:p>
        </w:tc>
      </w:tr>
      <w:tr>
        <w:trPr>
          <w:trHeight w:val="20"/>
        </w:trPr>
        <w:tc>
          <w:tcPr>
            <w:tcW w:w="6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firstLine="551"/>
        <w:spacing w:after="0" w:line="247" w:lineRule="auto"/>
        <w:rPr>
          <w:sz w:val="20"/>
          <w:szCs w:val="20"/>
          <w:color w:val="auto"/>
        </w:rPr>
      </w:pPr>
      <w:r>
        <w:rPr>
          <w:rFonts w:ascii="Arial" w:cs="Arial" w:eastAsia="Arial" w:hAnsi="Arial"/>
          <w:sz w:val="18"/>
          <w:szCs w:val="18"/>
          <w:color w:val="auto"/>
        </w:rPr>
        <w:t>Rent expense under ASC Topic 842, for leased office space under the operating lease commitments for the years ended December 31, 2023 and 2024, and nine months ended September 30, 2024 and 2025 (unaudited) was approximately $ 747, $659, $515, and $741, respectively, and is included in sales and marketing, general and administrative, and technology expenses in the consolidated statements of operations and comprehensive income (loss).</w:t>
      </w:r>
    </w:p>
    <w:p>
      <w:pPr>
        <w:spacing w:after="0" w:line="174" w:lineRule="exact"/>
        <w:rPr>
          <w:sz w:val="20"/>
          <w:szCs w:val="20"/>
          <w:color w:val="auto"/>
        </w:rPr>
      </w:pPr>
    </w:p>
    <w:p>
      <w:pPr>
        <w:ind w:left="120" w:right="300" w:firstLine="551"/>
        <w:spacing w:after="0" w:line="247" w:lineRule="auto"/>
        <w:rPr>
          <w:sz w:val="20"/>
          <w:szCs w:val="20"/>
          <w:color w:val="auto"/>
        </w:rPr>
      </w:pPr>
      <w:r>
        <w:rPr>
          <w:rFonts w:ascii="Arial" w:cs="Arial" w:eastAsia="Arial" w:hAnsi="Arial"/>
          <w:sz w:val="18"/>
          <w:szCs w:val="18"/>
          <w:color w:val="auto"/>
        </w:rPr>
        <w:t>During 2022 the Company experienced a cyber incident related to its website. The Company did not identify any unauthorized access to or exfiltration of customer data stored on its systems. As of December 31, 2024, the Company reversed a prior accrual of a $2,000 loss contingency related to costs, fees, and potential fines associated with the incident, as prior civil litigation has been resolved and it is more likely than not that no regulatory fine will result.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Letter of Credit (unaudited)</w:t>
      </w:r>
    </w:p>
    <w:p>
      <w:pPr>
        <w:spacing w:after="0" w:line="104"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color w:val="auto"/>
        </w:rPr>
        <w:t>As of September 30, 2025, we had an unsecured letter of credit of $30.0 million with Citizens Bank in favor of two carrier partners. The line of credit cannot be drawn upon in the normal course of business and will only be drawn upon automatically to fund the letter of credit obligation if the carrier partner calls on the letter of credit. If there is a draw on the letter of credit, the Company must reimburse the bank in cash, in immediately available funds, within one business day following notice of such draw from the lender. The letter of credit expires in June 2026. As of the date of this report, there were no borrowings outstanding under the senior unsecured letter of credit or the unsecured line of credit.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Liabilities Related to Sale of Commissions Receivable</w:t>
      </w:r>
    </w:p>
    <w:p>
      <w:pPr>
        <w:spacing w:after="0" w:line="104" w:lineRule="exact"/>
        <w:rPr>
          <w:sz w:val="20"/>
          <w:szCs w:val="20"/>
          <w:color w:val="auto"/>
        </w:rPr>
      </w:pPr>
    </w:p>
    <w:p>
      <w:pPr>
        <w:ind w:left="120" w:right="20" w:firstLine="551"/>
        <w:spacing w:after="0" w:line="256" w:lineRule="auto"/>
        <w:rPr>
          <w:sz w:val="20"/>
          <w:szCs w:val="20"/>
          <w:color w:val="auto"/>
        </w:rPr>
      </w:pPr>
      <w:r>
        <w:rPr>
          <w:rFonts w:ascii="Arial" w:cs="Arial" w:eastAsia="Arial" w:hAnsi="Arial"/>
          <w:sz w:val="17"/>
          <w:szCs w:val="17"/>
          <w:color w:val="auto"/>
        </w:rPr>
        <w:t>From time to time, the Company has entered into agreements to sell a portion of its commissions receivable. These transactions are accounted for as debt. In December 2024, the Company entered into an agreement with an unaffiliated third-party to sell a portion of its commissions receivable. Specifically, the Company sold the cash flows associated with one carrier that were expected to be collected during renewals years two through ten for policies placed between January 2023 and October 2024 that were in-force as of the date of the sale. If the buyer receives cash payments that satisfy an internal rate of return established in the agreement, the Company has the right to repurchase the remaining commissions receivable. At the time of execution, the transaction was considered a sale of future revenue under U.S. GAAP, and as such, the proceeds of $28,550 were recorded as liabilities related to sale of commissions receivable, with $8,043 recorded in liabilities related to sale of commissions receivable-current and $20,507 recorded in liabilities related to sale of commissions</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jc w:val="both"/>
        <w:ind w:left="120" w:right="320"/>
        <w:spacing w:after="0" w:line="253" w:lineRule="auto"/>
        <w:rPr>
          <w:sz w:val="20"/>
          <w:szCs w:val="20"/>
          <w:color w:val="auto"/>
        </w:rPr>
      </w:pPr>
      <w:r>
        <w:rPr>
          <w:rFonts w:ascii="Arial" w:cs="Arial" w:eastAsia="Arial" w:hAnsi="Arial"/>
          <w:sz w:val="18"/>
          <w:szCs w:val="18"/>
          <w:color w:val="auto"/>
        </w:rPr>
        <w:t>receivable-non-current in the Company’s consolidated balance sheets. From the total proceeds, $23,550 was received during the year ended December 31, 2024, and the remaining $5,000 was recorded as accounts receivable within the balance sheet and was received during January 2025.</w:t>
      </w:r>
    </w:p>
    <w:p>
      <w:pPr>
        <w:spacing w:after="0" w:line="169"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8"/>
          <w:szCs w:val="18"/>
          <w:color w:val="auto"/>
        </w:rPr>
        <w:t>The aggregate future estimated payments less proceeds received will be recognized as interest expense over the life of the agreement. The Company’s estimated effective annual interest rate was 10.25%, 8.64%, 10.26% and 9.00% for the year ended December 31, 2023 and December 31, 2024, and nine months ended September 30, 2024 and 2025 (unaudited), respectively.</w:t>
      </w:r>
    </w:p>
    <w:p>
      <w:pPr>
        <w:spacing w:after="0" w:line="169" w:lineRule="exact"/>
        <w:rPr>
          <w:sz w:val="20"/>
          <w:szCs w:val="20"/>
          <w:color w:val="auto"/>
        </w:rPr>
      </w:pPr>
    </w:p>
    <w:p>
      <w:pPr>
        <w:ind w:left="120" w:right="400" w:firstLine="551"/>
        <w:spacing w:after="0" w:line="271" w:lineRule="auto"/>
        <w:rPr>
          <w:sz w:val="20"/>
          <w:szCs w:val="20"/>
          <w:color w:val="auto"/>
        </w:rPr>
      </w:pPr>
      <w:r>
        <w:rPr>
          <w:rFonts w:ascii="Arial" w:cs="Arial" w:eastAsia="Arial" w:hAnsi="Arial"/>
          <w:sz w:val="18"/>
          <w:szCs w:val="18"/>
          <w:color w:val="auto"/>
        </w:rPr>
        <w:t>The table below shows the activity of the liabilities related to sale of commissions receivable for the years ended December 31, 2023 and 2024:</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9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December 31, 2022</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7,552</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9900" w:type="dxa"/>
            <w:vAlign w:val="bottom"/>
          </w:tcPr>
          <w:p>
            <w:pPr>
              <w:ind w:left="360"/>
              <w:spacing w:after="0" w:line="202" w:lineRule="exact"/>
              <w:rPr>
                <w:sz w:val="20"/>
                <w:szCs w:val="20"/>
                <w:color w:val="auto"/>
              </w:rPr>
            </w:pPr>
            <w:r>
              <w:rPr>
                <w:rFonts w:ascii="Arial" w:cs="Arial" w:eastAsia="Arial" w:hAnsi="Arial"/>
                <w:sz w:val="18"/>
                <w:szCs w:val="18"/>
                <w:color w:val="auto"/>
              </w:rPr>
              <w:t>Non-cash interest expense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723</w:t>
            </w:r>
          </w:p>
        </w:tc>
        <w:tc>
          <w:tcPr>
            <w:tcW w:w="100" w:type="dxa"/>
            <w:vAlign w:val="bottom"/>
          </w:tcPr>
          <w:p>
            <w:pPr>
              <w:spacing w:after="0"/>
              <w:rPr>
                <w:sz w:val="17"/>
                <w:szCs w:val="17"/>
                <w:color w:val="auto"/>
              </w:rPr>
            </w:pPr>
          </w:p>
        </w:tc>
      </w:tr>
      <w:tr>
        <w:trPr>
          <w:trHeight w:val="203"/>
        </w:trPr>
        <w:tc>
          <w:tcPr>
            <w:tcW w:w="9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Repayment of liabilities related to sale of commissions receivable</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(1,973)</w:t>
            </w:r>
          </w:p>
        </w:tc>
      </w:tr>
      <w:tr>
        <w:trPr>
          <w:trHeight w:val="210"/>
        </w:trPr>
        <w:tc>
          <w:tcPr>
            <w:tcW w:w="9900" w:type="dxa"/>
            <w:vAlign w:val="bottom"/>
          </w:tcPr>
          <w:p>
            <w:pPr>
              <w:spacing w:after="0"/>
              <w:rPr>
                <w:sz w:val="20"/>
                <w:szCs w:val="20"/>
                <w:color w:val="auto"/>
              </w:rPr>
            </w:pPr>
            <w:r>
              <w:rPr>
                <w:rFonts w:ascii="Arial" w:cs="Arial" w:eastAsia="Arial" w:hAnsi="Arial"/>
                <w:sz w:val="18"/>
                <w:szCs w:val="18"/>
                <w:color w:val="auto"/>
              </w:rPr>
              <w:t>Balance as of December 31, 2023</w:t>
            </w: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9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Proceeds from liabilities related to sale of commissions receivable</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28,550</w:t>
            </w:r>
          </w:p>
        </w:tc>
        <w:tc>
          <w:tcPr>
            <w:tcW w:w="100" w:type="dxa"/>
            <w:vAlign w:val="bottom"/>
            <w:shd w:val="clear" w:color="auto" w:fill="CCEEFF"/>
          </w:tcPr>
          <w:p>
            <w:pPr>
              <w:spacing w:after="0"/>
              <w:rPr>
                <w:sz w:val="17"/>
                <w:szCs w:val="17"/>
                <w:color w:val="auto"/>
              </w:rPr>
            </w:pPr>
          </w:p>
        </w:tc>
      </w:tr>
      <w:tr>
        <w:trPr>
          <w:trHeight w:val="203"/>
        </w:trPr>
        <w:tc>
          <w:tcPr>
            <w:tcW w:w="9900" w:type="dxa"/>
            <w:vAlign w:val="bottom"/>
          </w:tcPr>
          <w:p>
            <w:pPr>
              <w:ind w:left="360"/>
              <w:spacing w:after="0" w:line="202" w:lineRule="exact"/>
              <w:rPr>
                <w:sz w:val="20"/>
                <w:szCs w:val="20"/>
                <w:color w:val="auto"/>
              </w:rPr>
            </w:pPr>
            <w:r>
              <w:rPr>
                <w:rFonts w:ascii="Arial" w:cs="Arial" w:eastAsia="Arial" w:hAnsi="Arial"/>
                <w:sz w:val="18"/>
                <w:szCs w:val="18"/>
                <w:color w:val="auto"/>
              </w:rPr>
              <w:t>Non-cash interest expense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595</w:t>
            </w:r>
          </w:p>
        </w:tc>
        <w:tc>
          <w:tcPr>
            <w:tcW w:w="100" w:type="dxa"/>
            <w:vAlign w:val="bottom"/>
          </w:tcPr>
          <w:p>
            <w:pPr>
              <w:spacing w:after="0"/>
              <w:rPr>
                <w:sz w:val="17"/>
                <w:szCs w:val="17"/>
                <w:color w:val="auto"/>
              </w:rPr>
            </w:pPr>
          </w:p>
        </w:tc>
      </w:tr>
      <w:tr>
        <w:trPr>
          <w:trHeight w:val="203"/>
        </w:trPr>
        <w:tc>
          <w:tcPr>
            <w:tcW w:w="9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Repayment of liabilities related to sale of commissions receivable</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(1,902)</w:t>
            </w:r>
          </w:p>
        </w:tc>
      </w:tr>
      <w:tr>
        <w:trPr>
          <w:trHeight w:val="209"/>
        </w:trPr>
        <w:tc>
          <w:tcPr>
            <w:tcW w:w="9900" w:type="dxa"/>
            <w:vAlign w:val="bottom"/>
          </w:tcPr>
          <w:p>
            <w:pPr>
              <w:spacing w:after="0"/>
              <w:rPr>
                <w:sz w:val="20"/>
                <w:szCs w:val="20"/>
                <w:color w:val="auto"/>
              </w:rPr>
            </w:pPr>
            <w:r>
              <w:rPr>
                <w:rFonts w:ascii="Arial" w:cs="Arial" w:eastAsia="Arial" w:hAnsi="Arial"/>
                <w:sz w:val="18"/>
                <w:szCs w:val="18"/>
                <w:color w:val="auto"/>
              </w:rPr>
              <w:t>Balance as of December 31, 2024</w:t>
            </w: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9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Less: Liabilities related to sale of commissions receivable-current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9,382</w:t>
            </w:r>
          </w:p>
        </w:tc>
        <w:tc>
          <w:tcPr>
            <w:tcW w:w="100" w:type="dxa"/>
            <w:vAlign w:val="bottom"/>
            <w:shd w:val="clear" w:color="auto" w:fill="CCEEFF"/>
          </w:tcPr>
          <w:p>
            <w:pPr>
              <w:spacing w:after="0"/>
              <w:rPr>
                <w:sz w:val="17"/>
                <w:szCs w:val="17"/>
                <w:color w:val="auto"/>
              </w:rPr>
            </w:pPr>
          </w:p>
        </w:tc>
      </w:tr>
      <w:tr>
        <w:trPr>
          <w:trHeight w:val="209"/>
        </w:trPr>
        <w:tc>
          <w:tcPr>
            <w:tcW w:w="9900" w:type="dxa"/>
            <w:vAlign w:val="bottom"/>
          </w:tcPr>
          <w:p>
            <w:pPr>
              <w:spacing w:after="0"/>
              <w:rPr>
                <w:sz w:val="20"/>
                <w:szCs w:val="20"/>
                <w:color w:val="auto"/>
              </w:rPr>
            </w:pPr>
            <w:r>
              <w:rPr>
                <w:rFonts w:ascii="Arial" w:cs="Arial" w:eastAsia="Arial" w:hAnsi="Arial"/>
                <w:sz w:val="18"/>
                <w:szCs w:val="18"/>
                <w:color w:val="auto"/>
              </w:rPr>
              <w:t>Liabilities related to sale of commissions receivable-non-current</w:t>
            </w: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9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551"/>
        <w:spacing w:after="0" w:line="271" w:lineRule="auto"/>
        <w:rPr>
          <w:sz w:val="20"/>
          <w:szCs w:val="20"/>
          <w:color w:val="auto"/>
        </w:rPr>
      </w:pPr>
      <w:r>
        <w:rPr>
          <w:rFonts w:ascii="Arial" w:cs="Arial" w:eastAsia="Arial" w:hAnsi="Arial"/>
          <w:sz w:val="18"/>
          <w:szCs w:val="18"/>
          <w:color w:val="auto"/>
        </w:rPr>
        <w:t>The table below shows the activity of the liabilities related to sale of commissions receivable for the nine months ended September 30, 2025 (unaudited):</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$33,545</w:t>
            </w:r>
          </w:p>
        </w:tc>
        <w:tc>
          <w:tcPr>
            <w:tcW w:w="0" w:type="dxa"/>
            <w:vAlign w:val="bottom"/>
          </w:tcPr>
          <w:p>
            <w:pPr>
              <w:spacing w:after="0"/>
              <w:rPr>
                <w:sz w:val="1"/>
                <w:szCs w:val="1"/>
                <w:color w:val="auto"/>
              </w:rPr>
            </w:pPr>
          </w:p>
        </w:tc>
      </w:tr>
      <w:tr>
        <w:trPr>
          <w:trHeight w:val="203"/>
        </w:trPr>
        <w:tc>
          <w:tcPr>
            <w:tcW w:w="10220" w:type="dxa"/>
            <w:vAlign w:val="bottom"/>
          </w:tcPr>
          <w:p>
            <w:pPr>
              <w:ind w:left="360"/>
              <w:spacing w:after="0" w:line="202" w:lineRule="exact"/>
              <w:rPr>
                <w:sz w:val="20"/>
                <w:szCs w:val="20"/>
                <w:color w:val="auto"/>
              </w:rPr>
            </w:pPr>
            <w:r>
              <w:rPr>
                <w:rFonts w:ascii="Arial" w:cs="Arial" w:eastAsia="Arial" w:hAnsi="Arial"/>
                <w:sz w:val="18"/>
                <w:szCs w:val="18"/>
                <w:color w:val="auto"/>
              </w:rPr>
              <w:t>Proceeds from liabilities related to sale of commissions receivable</w:t>
            </w: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10220" w:type="dxa"/>
            <w:vAlign w:val="bottom"/>
            <w:shd w:val="clear" w:color="auto" w:fill="CCEEFF"/>
          </w:tcPr>
          <w:p>
            <w:pPr>
              <w:ind w:left="360"/>
              <w:spacing w:after="0" w:line="183" w:lineRule="exact"/>
              <w:rPr>
                <w:sz w:val="20"/>
                <w:szCs w:val="20"/>
                <w:color w:val="auto"/>
              </w:rPr>
            </w:pPr>
            <w:r>
              <w:rPr>
                <w:rFonts w:ascii="Arial" w:cs="Arial" w:eastAsia="Arial" w:hAnsi="Arial"/>
                <w:sz w:val="18"/>
                <w:szCs w:val="18"/>
                <w:color w:val="auto"/>
              </w:rPr>
              <w:t>Non-cash interest expense</w:t>
            </w:r>
          </w:p>
        </w:tc>
        <w:tc>
          <w:tcPr>
            <w:tcW w:w="80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1"/>
        </w:trPr>
        <w:tc>
          <w:tcPr>
            <w:tcW w:w="10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10"/>
        </w:trPr>
        <w:tc>
          <w:tcPr>
            <w:tcW w:w="10220" w:type="dxa"/>
            <w:vAlign w:val="bottom"/>
          </w:tcPr>
          <w:p>
            <w:pPr>
              <w:ind w:left="360"/>
              <w:spacing w:after="0" w:line="202" w:lineRule="exact"/>
              <w:rPr>
                <w:sz w:val="20"/>
                <w:szCs w:val="20"/>
                <w:color w:val="auto"/>
              </w:rPr>
            </w:pPr>
            <w:r>
              <w:rPr>
                <w:rFonts w:ascii="Arial" w:cs="Arial" w:eastAsia="Arial" w:hAnsi="Arial"/>
                <w:sz w:val="18"/>
                <w:szCs w:val="18"/>
                <w:color w:val="auto"/>
              </w:rPr>
              <w:t>Repayment of liabilities related to sale of commissions receivable</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(7,802)</w:t>
            </w:r>
          </w:p>
        </w:tc>
        <w:tc>
          <w:tcPr>
            <w:tcW w:w="0" w:type="dxa"/>
            <w:vAlign w:val="bottom"/>
          </w:tcPr>
          <w:p>
            <w:pPr>
              <w:spacing w:after="0"/>
              <w:rPr>
                <w:sz w:val="1"/>
                <w:szCs w:val="1"/>
                <w:color w:val="auto"/>
              </w:rPr>
            </w:pPr>
          </w:p>
        </w:tc>
      </w:tr>
      <w:tr>
        <w:trPr>
          <w:trHeight w:val="203"/>
        </w:trPr>
        <w:tc>
          <w:tcPr>
            <w:tcW w:w="10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September 30, 2025</w:t>
            </w:r>
          </w:p>
        </w:tc>
        <w:tc>
          <w:tcPr>
            <w:tcW w:w="6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27,813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20" w:type="dxa"/>
            <w:vAlign w:val="bottom"/>
            <w:vMerge w:val="restart"/>
          </w:tcPr>
          <w:p>
            <w:pPr>
              <w:spacing w:after="0"/>
              <w:rPr>
                <w:sz w:val="20"/>
                <w:szCs w:val="20"/>
                <w:color w:val="auto"/>
              </w:rPr>
            </w:pPr>
            <w:r>
              <w:rPr>
                <w:rFonts w:ascii="Arial" w:cs="Arial" w:eastAsia="Arial" w:hAnsi="Arial"/>
                <w:sz w:val="18"/>
                <w:szCs w:val="18"/>
                <w:color w:val="auto"/>
              </w:rPr>
              <w:t>Less: Liabilities related to sale of commissions receivable-current</w:t>
            </w: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220" w:type="dxa"/>
            <w:vAlign w:val="bottom"/>
            <w:vMerge w:val="continue"/>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related to sale of commissions receivable-non-current</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15,484</w:t>
            </w:r>
          </w:p>
        </w:tc>
        <w:tc>
          <w:tcPr>
            <w:tcW w:w="0" w:type="dxa"/>
            <w:vAlign w:val="bottom"/>
          </w:tcPr>
          <w:p>
            <w:pPr>
              <w:spacing w:after="0"/>
              <w:rPr>
                <w:sz w:val="1"/>
                <w:szCs w:val="1"/>
                <w:color w:val="auto"/>
              </w:rPr>
            </w:pPr>
          </w:p>
        </w:tc>
      </w:tr>
      <w:tr>
        <w:trPr>
          <w:trHeight w:val="20"/>
        </w:trPr>
        <w:tc>
          <w:tcPr>
            <w:tcW w:w="10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Stockholders’ Deficit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2023 and 2024, and September 30, 2025 (unaudited), the Company was authorized to issue two classes of</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 common stock and redeemable convertible preferred stock. The total number of shares that the Company is authorized to issue at</w:t>
      </w:r>
    </w:p>
    <w:p>
      <w:pPr>
        <w:ind w:left="120"/>
        <w:spacing w:after="0" w:line="234" w:lineRule="auto"/>
        <w:rPr>
          <w:sz w:val="20"/>
          <w:szCs w:val="20"/>
          <w:color w:val="auto"/>
        </w:rPr>
      </w:pPr>
      <w:r>
        <w:rPr>
          <w:rFonts w:ascii="Arial" w:cs="Arial" w:eastAsia="Arial" w:hAnsi="Arial"/>
          <w:sz w:val="18"/>
          <w:szCs w:val="18"/>
          <w:color w:val="auto"/>
        </w:rPr>
        <w:t>December 31, 2023, is 62,390 shares of common stock with a par value of $0.0001 and 37,228 of preferred stock with a par value of</w:t>
      </w:r>
    </w:p>
    <w:p>
      <w:pPr>
        <w:ind w:left="120"/>
        <w:spacing w:after="0" w:line="235" w:lineRule="auto"/>
        <w:rPr>
          <w:sz w:val="20"/>
          <w:szCs w:val="20"/>
          <w:color w:val="auto"/>
        </w:rPr>
      </w:pPr>
      <w:r>
        <w:rPr>
          <w:rFonts w:ascii="Arial" w:cs="Arial" w:eastAsia="Arial" w:hAnsi="Arial"/>
          <w:sz w:val="18"/>
          <w:szCs w:val="18"/>
          <w:color w:val="auto"/>
        </w:rPr>
        <w:t>$0.0001. The total number of shares that the Company is authorized to issue at December 31, 2024, is 62,390 shares of common stock</w:t>
      </w:r>
    </w:p>
    <w:p>
      <w:pPr>
        <w:ind w:left="120"/>
        <w:spacing w:after="0" w:line="235" w:lineRule="auto"/>
        <w:rPr>
          <w:sz w:val="20"/>
          <w:szCs w:val="20"/>
          <w:color w:val="auto"/>
        </w:rPr>
      </w:pPr>
      <w:r>
        <w:rPr>
          <w:rFonts w:ascii="Arial" w:cs="Arial" w:eastAsia="Arial" w:hAnsi="Arial"/>
          <w:sz w:val="18"/>
          <w:szCs w:val="18"/>
          <w:color w:val="auto"/>
        </w:rPr>
        <w:t>with a par value of $0.0001 and 37,228 of preferred stock with a par value of $0.0001. The total number of shares that the Company is</w:t>
      </w:r>
    </w:p>
    <w:p>
      <w:pPr>
        <w:ind w:left="120"/>
        <w:spacing w:after="0" w:line="235" w:lineRule="auto"/>
        <w:rPr>
          <w:sz w:val="20"/>
          <w:szCs w:val="20"/>
          <w:color w:val="auto"/>
        </w:rPr>
      </w:pPr>
      <w:r>
        <w:rPr>
          <w:rFonts w:ascii="Arial" w:cs="Arial" w:eastAsia="Arial" w:hAnsi="Arial"/>
          <w:sz w:val="18"/>
          <w:szCs w:val="18"/>
          <w:color w:val="auto"/>
        </w:rPr>
        <w:t>authorized to issue at September 30, 2025 (unaudited), is 68,549 shares of common stock with a par value of $0.0001 and 37,228 shares</w:t>
      </w:r>
    </w:p>
    <w:p>
      <w:pPr>
        <w:ind w:left="120"/>
        <w:spacing w:after="0"/>
        <w:rPr>
          <w:sz w:val="20"/>
          <w:szCs w:val="20"/>
          <w:color w:val="auto"/>
        </w:rPr>
      </w:pPr>
      <w:r>
        <w:rPr>
          <w:rFonts w:ascii="Arial" w:cs="Arial" w:eastAsia="Arial" w:hAnsi="Arial"/>
          <w:sz w:val="18"/>
          <w:szCs w:val="18"/>
          <w:color w:val="auto"/>
        </w:rPr>
        <w:t>of preferred stock with a par value of $0.0001.</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reserved shares of common stock for issuance for the following purposes at December 31, 2023 and 2024, and</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2025 (unaudited):</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December 31,</w:t>
            </w: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6980" w:type="dxa"/>
            <w:vAlign w:val="bottom"/>
          </w:tcPr>
          <w:p>
            <w:pPr>
              <w:spacing w:after="0"/>
              <w:rPr>
                <w:sz w:val="14"/>
                <w:szCs w:val="14"/>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4"/>
                <w:szCs w:val="14"/>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2024</w:t>
            </w:r>
          </w:p>
        </w:tc>
        <w:tc>
          <w:tcPr>
            <w:tcW w:w="56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4"/>
                <w:szCs w:val="14"/>
                <w:color w:val="auto"/>
              </w:rPr>
            </w:pPr>
          </w:p>
        </w:tc>
      </w:tr>
      <w:tr>
        <w:trPr>
          <w:trHeight w:val="156"/>
        </w:trPr>
        <w:tc>
          <w:tcPr>
            <w:tcW w:w="6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3"/>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A-1 preferred stock</w:t>
            </w:r>
          </w:p>
        </w:tc>
        <w:tc>
          <w:tcPr>
            <w:tcW w:w="15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1,996</w:t>
            </w:r>
          </w:p>
        </w:tc>
        <w:tc>
          <w:tcPr>
            <w:tcW w:w="15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1,996</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1,996</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Series A-2 preferred stock</w:t>
            </w:r>
          </w:p>
        </w:tc>
        <w:tc>
          <w:tcPr>
            <w:tcW w:w="15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3,156</w:t>
            </w:r>
          </w:p>
        </w:tc>
        <w:tc>
          <w:tcPr>
            <w:tcW w:w="15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3,156</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3,156</w:t>
            </w:r>
          </w:p>
        </w:tc>
      </w:tr>
      <w:tr>
        <w:trPr>
          <w:trHeight w:val="203"/>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 preferred stock</w:t>
            </w:r>
          </w:p>
        </w:tc>
        <w:tc>
          <w:tcPr>
            <w:tcW w:w="15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7,361</w:t>
            </w:r>
          </w:p>
        </w:tc>
        <w:tc>
          <w:tcPr>
            <w:tcW w:w="15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7,361</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7,361</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Series B preferred stock</w:t>
            </w:r>
          </w:p>
        </w:tc>
        <w:tc>
          <w:tcPr>
            <w:tcW w:w="15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10,371</w:t>
            </w:r>
          </w:p>
        </w:tc>
        <w:tc>
          <w:tcPr>
            <w:tcW w:w="15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10,371</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10,371</w:t>
            </w:r>
          </w:p>
        </w:tc>
      </w:tr>
      <w:tr>
        <w:trPr>
          <w:trHeight w:val="203"/>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preferred stock</w:t>
            </w:r>
          </w:p>
        </w:tc>
        <w:tc>
          <w:tcPr>
            <w:tcW w:w="15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6,576</w:t>
            </w:r>
          </w:p>
        </w:tc>
        <w:tc>
          <w:tcPr>
            <w:tcW w:w="15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6,576</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6,576</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Series D preferred stock</w:t>
            </w:r>
          </w:p>
        </w:tc>
        <w:tc>
          <w:tcPr>
            <w:tcW w:w="15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5,576</w:t>
            </w:r>
          </w:p>
        </w:tc>
        <w:tc>
          <w:tcPr>
            <w:tcW w:w="15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5,576</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5,576</w:t>
            </w:r>
          </w:p>
        </w:tc>
      </w:tr>
      <w:tr>
        <w:trPr>
          <w:trHeight w:val="203"/>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D-1 preferred stock</w:t>
            </w:r>
          </w:p>
        </w:tc>
        <w:tc>
          <w:tcPr>
            <w:tcW w:w="15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2,192</w:t>
            </w:r>
          </w:p>
        </w:tc>
        <w:tc>
          <w:tcPr>
            <w:tcW w:w="15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2,192</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2,192</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15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86</w:t>
            </w:r>
          </w:p>
        </w:tc>
        <w:tc>
          <w:tcPr>
            <w:tcW w:w="15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86</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581</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 outstanding and unvested RSUs</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6,532</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6,977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10,933</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Shares available for grant under Equity Plan</w:t>
            </w:r>
          </w:p>
        </w:tc>
        <w:tc>
          <w:tcPr>
            <w:tcW w:w="15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1,901</w:t>
            </w:r>
          </w:p>
        </w:tc>
        <w:tc>
          <w:tcPr>
            <w:tcW w:w="15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1,385</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1,236</w:t>
            </w:r>
          </w:p>
        </w:tc>
      </w:tr>
      <w:tr>
        <w:trPr>
          <w:trHeight w:val="27"/>
        </w:trPr>
        <w:tc>
          <w:tcPr>
            <w:tcW w:w="69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9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45,747</w:t>
            </w:r>
          </w:p>
        </w:tc>
        <w:tc>
          <w:tcPr>
            <w:tcW w:w="15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45,676</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49,978</w:t>
            </w:r>
          </w:p>
        </w:tc>
      </w:tr>
      <w:tr>
        <w:trPr>
          <w:trHeight w:val="20"/>
        </w:trPr>
        <w:tc>
          <w:tcPr>
            <w:tcW w:w="6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04"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color w:val="auto"/>
        </w:rPr>
        <w:t>Each holder of common stock has one vote per share of common stock held on all matters that are submitted for stockholder vote. At December 31, 2023 and 2024, and September 30, 2025 (unaudited), 15,959, 16,032 and 16,556 shares of authorized common stock were issued and outstanding, respectively. The majority of the outstanding common stock has been issued as founder’s stock. Holders of the Company’s common stock are entitled to dividends if and when declared by the Board of Directors. The Company did not hold any shares as treasury shares as of December 31, 2023 and 2024, and September 30, 2025 (unaudited).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Redeemable Convertible Preferred Stock</w:t>
      </w:r>
    </w:p>
    <w:p>
      <w:pPr>
        <w:spacing w:after="0" w:line="104" w:lineRule="exact"/>
        <w:rPr>
          <w:sz w:val="20"/>
          <w:szCs w:val="20"/>
          <w:color w:val="auto"/>
        </w:rPr>
      </w:pPr>
    </w:p>
    <w:p>
      <w:pPr>
        <w:ind w:left="120" w:right="340" w:firstLine="551"/>
        <w:spacing w:after="0" w:line="271" w:lineRule="auto"/>
        <w:rPr>
          <w:sz w:val="20"/>
          <w:szCs w:val="20"/>
          <w:color w:val="auto"/>
        </w:rPr>
      </w:pPr>
      <w:r>
        <w:rPr>
          <w:rFonts w:ascii="Arial" w:cs="Arial" w:eastAsia="Arial" w:hAnsi="Arial"/>
          <w:sz w:val="18"/>
          <w:szCs w:val="18"/>
          <w:color w:val="auto"/>
        </w:rPr>
        <w:t>A summary of the redeemable convertible preferred stock shares authorized, issued, and outstanding as of December 31, 2023 and 2024, and September 30, 2025 (unaudited) is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60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Issued and</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Liquidation</w:t>
            </w:r>
          </w:p>
        </w:tc>
      </w:tr>
      <w:tr>
        <w:trPr>
          <w:trHeight w:val="171"/>
        </w:trPr>
        <w:tc>
          <w:tcPr>
            <w:tcW w:w="660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Authorized</w:t>
            </w: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Outstanding</w:t>
            </w: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Value</w:t>
            </w:r>
          </w:p>
        </w:tc>
      </w:tr>
      <w:tr>
        <w:trPr>
          <w:trHeight w:val="196"/>
        </w:trPr>
        <w:tc>
          <w:tcPr>
            <w:tcW w:w="6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2023</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37,228</w:t>
            </w:r>
          </w:p>
        </w:tc>
        <w:tc>
          <w:tcPr>
            <w:tcW w:w="4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37,228</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$ 404,801</w:t>
            </w:r>
          </w:p>
        </w:tc>
        <w:tc>
          <w:tcPr>
            <w:tcW w:w="60" w:type="dxa"/>
            <w:vAlign w:val="bottom"/>
            <w:tcBorders>
              <w:top w:val="single" w:sz="8" w:color="CCEEFF"/>
            </w:tcBorders>
            <w:shd w:val="clear" w:color="auto" w:fill="CCEEFF"/>
          </w:tcPr>
          <w:p>
            <w:pPr>
              <w:spacing w:after="0"/>
              <w:rPr>
                <w:sz w:val="17"/>
                <w:szCs w:val="17"/>
                <w:color w:val="auto"/>
              </w:rPr>
            </w:pPr>
          </w:p>
        </w:tc>
      </w:tr>
      <w:tr>
        <w:trPr>
          <w:trHeight w:val="217"/>
        </w:trPr>
        <w:tc>
          <w:tcPr>
            <w:tcW w:w="6600" w:type="dxa"/>
            <w:vAlign w:val="bottom"/>
          </w:tcPr>
          <w:p>
            <w:pPr>
              <w:spacing w:after="0"/>
              <w:rPr>
                <w:sz w:val="20"/>
                <w:szCs w:val="20"/>
                <w:color w:val="auto"/>
              </w:rPr>
            </w:pPr>
            <w:r>
              <w:rPr>
                <w:rFonts w:ascii="Arial" w:cs="Arial" w:eastAsia="Arial" w:hAnsi="Arial"/>
                <w:sz w:val="18"/>
                <w:szCs w:val="18"/>
                <w:color w:val="auto"/>
              </w:rPr>
              <w:t>Balance at December 31, 2024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37,228</w:t>
            </w:r>
          </w:p>
        </w:tc>
        <w:tc>
          <w:tcPr>
            <w:tcW w:w="4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37,228</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$ 404,801</w:t>
            </w:r>
          </w:p>
        </w:tc>
        <w:tc>
          <w:tcPr>
            <w:tcW w:w="60" w:type="dxa"/>
            <w:vAlign w:val="bottom"/>
          </w:tcPr>
          <w:p>
            <w:pPr>
              <w:spacing w:after="0"/>
              <w:rPr>
                <w:sz w:val="18"/>
                <w:szCs w:val="18"/>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September 30, 2025 (unaudited)</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37,228</w:t>
            </w:r>
          </w:p>
        </w:tc>
        <w:tc>
          <w:tcPr>
            <w:tcW w:w="4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37,228</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center"/>
              <w:ind w:right="60"/>
              <w:spacing w:after="0" w:line="202" w:lineRule="exact"/>
              <w:rPr>
                <w:sz w:val="20"/>
                <w:szCs w:val="20"/>
                <w:color w:val="auto"/>
              </w:rPr>
            </w:pPr>
            <w:r>
              <w:rPr>
                <w:rFonts w:ascii="Arial" w:cs="Arial" w:eastAsia="Arial" w:hAnsi="Arial"/>
                <w:sz w:val="18"/>
                <w:szCs w:val="18"/>
                <w:color w:val="auto"/>
                <w:w w:val="97"/>
              </w:rPr>
              <w:t>$ 404,801</w:t>
            </w:r>
          </w:p>
        </w:tc>
      </w:tr>
      <w:tr>
        <w:trPr>
          <w:trHeight w:val="20"/>
        </w:trPr>
        <w:tc>
          <w:tcPr>
            <w:tcW w:w="6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102" w:lineRule="exact"/>
        <w:rPr>
          <w:sz w:val="20"/>
          <w:szCs w:val="20"/>
          <w:color w:val="auto"/>
        </w:rPr>
      </w:pPr>
    </w:p>
    <w:p>
      <w:pPr>
        <w:jc w:val="both"/>
        <w:ind w:left="120" w:right="100" w:firstLine="551"/>
        <w:spacing w:after="0" w:line="242" w:lineRule="auto"/>
        <w:rPr>
          <w:sz w:val="20"/>
          <w:szCs w:val="20"/>
          <w:color w:val="auto"/>
        </w:rPr>
      </w:pPr>
      <w:r>
        <w:rPr>
          <w:rFonts w:ascii="Arial" w:cs="Arial" w:eastAsia="Arial" w:hAnsi="Arial"/>
          <w:sz w:val="18"/>
          <w:szCs w:val="18"/>
          <w:color w:val="auto"/>
        </w:rPr>
        <w:t>Holders of the redeemable convertible preferred stock, in preference to the holders of common stock, shall be entitled to receive, but only out of funds that are legally available therefore, cash dividends at the rate of 6% of the applicable original issue price per annum on each outstanding share of preferred stock. The original issue price for Series A-1 is $0.302295 per share, Series A-2 is $0.665315 per share, Series A is $0.782705 per share, Series B is $3.310895 per share, Series C is $9.124325 per share, Series D $36.2236 per share, and Series D-1 $45.6162 per share. Such dividends shall be payable only when, as and if declared by the Board of Directors and shall be non-cumulative. As of December 31, 2023 and 2024, and September 30, 2025 (unaudited), no dividends have been declared.</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5" w:right="4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219"/>
        <w:spacing w:after="0"/>
        <w:rPr>
          <w:sz w:val="20"/>
          <w:szCs w:val="20"/>
          <w:color w:val="auto"/>
        </w:rPr>
      </w:pPr>
      <w:r>
        <w:rPr>
          <w:rFonts w:ascii="Arial" w:cs="Arial" w:eastAsia="Arial" w:hAnsi="Arial"/>
          <w:sz w:val="18"/>
          <w:szCs w:val="18"/>
          <w:color w:val="auto"/>
        </w:rPr>
        <w:t>(In Thousands, Except Per Share Data)</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0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Upon any liquidation, dissolution, or winding up of the Company, whether voluntary or involuntary (a Liquidation Event), before any distribution or payment shall be made to the holders of any common stock, the holders of redeemable convertible preferred stock shall be entitled to be paid out of the assets of the Company legally available for distribution (or the consideration received by the Company or its stockholders in an acquisition) for each share of redeemable convertible preferred stock held by them, an amount per share of redeemable convertible preferred stock equal to the applicable original issue price plus all declared and unpaid dividends on the redeemable convertible preferred stock. If, upon any such liquidation event, the assets of the Company shall be insufficient to make payment in full to all holders of redeemable convertible preferred stock of the liquidation preference set forth above, then such assets (or consideration) shall be distributed among the holders of redeemable convertible preferred stock at the time outstanding, ratably in proportion to the full amounts to which they would otherwise be respectively entitled.</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w:t>
      </w:r>
    </w:p>
    <w:p>
      <w:pPr>
        <w:spacing w:after="0" w:line="102" w:lineRule="exact"/>
        <w:rPr>
          <w:sz w:val="20"/>
          <w:szCs w:val="20"/>
          <w:color w:val="auto"/>
        </w:rPr>
      </w:pPr>
    </w:p>
    <w:p>
      <w:pPr>
        <w:jc w:val="both"/>
        <w:ind w:left="120" w:right="320" w:firstLine="551"/>
        <w:spacing w:after="0" w:line="253" w:lineRule="auto"/>
        <w:rPr>
          <w:sz w:val="20"/>
          <w:szCs w:val="20"/>
          <w:color w:val="auto"/>
        </w:rPr>
      </w:pPr>
      <w:r>
        <w:rPr>
          <w:rFonts w:ascii="Arial" w:cs="Arial" w:eastAsia="Arial" w:hAnsi="Arial"/>
          <w:sz w:val="18"/>
          <w:szCs w:val="18"/>
          <w:color w:val="auto"/>
        </w:rPr>
        <w:t>The holders of redeemable convertible preferred stock are entitled to vote on all corporate matters together with the holders of common stock. Each holder of redeemable convertible preferred stock shall be entitled to the number of votes equal to the number of shares of common stock into which such redeemable convertible preferred stock could then be converted.</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02" w:lineRule="exact"/>
        <w:rPr>
          <w:sz w:val="20"/>
          <w:szCs w:val="20"/>
          <w:color w:val="auto"/>
        </w:rPr>
      </w:pPr>
    </w:p>
    <w:p>
      <w:pPr>
        <w:ind w:left="120" w:right="40" w:firstLine="551"/>
        <w:spacing w:after="0" w:line="266" w:lineRule="auto"/>
        <w:rPr>
          <w:sz w:val="20"/>
          <w:szCs w:val="20"/>
          <w:color w:val="auto"/>
        </w:rPr>
      </w:pPr>
      <w:r>
        <w:rPr>
          <w:rFonts w:ascii="Arial" w:cs="Arial" w:eastAsia="Arial" w:hAnsi="Arial"/>
          <w:sz w:val="17"/>
          <w:szCs w:val="17"/>
          <w:color w:val="auto"/>
        </w:rPr>
        <w:t>Each share of redeemable convertible preferred stock shall be convertible, at the option of the holder thereof, into such number of fully paid non-assessable shares of common stock as determined by multiplying the series preferred conversion rate then in effect by the number of shares of series preferred being converted. The conversion rate shall be obtained by dividing the original issue price of the series preferred by the series preferred conversion price. The series preferred conversion price shall initially be the original issue price.</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02"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color w:val="auto"/>
        </w:rPr>
        <w:t>The holders of the Company’s redeemable convertible preferred stock have no voluntary rights to redeem shares. A liquidation or winding up of the Company, a change in control, or a sale of substantially all of the Company’s assets would constitute a redemption event, which may be outside of the Company’s control. Accordingly, these shares are considered contingently redeemable and are classified as temporary equity in the consolidated balance sheets.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Stock-Based Compensation</w:t>
      </w:r>
    </w:p>
    <w:p>
      <w:pPr>
        <w:spacing w:after="0" w:line="104"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The Board of Directors has authorized the 2016 Equity Incentive Plan (the Plan). Under the Plan, the Board of Directors may grant incentive stock awards to employee, and non-statutory stock options to employees, directors and consultants. The Plan provides for the grant of stock options, restricted stock, and other stock-related and performance awards that may be settled in cash, stock, or other property. During 2023, the plan was amended to allow for a maximum of 12,351, shares of unauthorized or unissued common stock to be available.</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20"/>
          </w:cols>
          <w:pgMar w:left="320" w:top="455" w:right="5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5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For all stock options outstanding as of December 31, 2023 and 2024, and September 30, 2025 (unaudited), the exercise price of the stock options equals the fair value of the stock option on the grant date. The stock options and restricted stock units vest over different lengths of time, but generally over four years, and are subject to forfeiture upon termination of employment prior to vesting. The maximum term for stock options issued to employees under the 2016 Plan is ten years (five years for incentive stock options granted to stockholders owning greater than 10% of all classes.), and they expire ten years from the date of grant. Compensation expense for stock options, restricted stock units, and restricted stock awards is recognized ratably over the vesting period.</w:t>
      </w:r>
    </w:p>
    <w:p>
      <w:pPr>
        <w:spacing w:after="0" w:line="179" w:lineRule="exact"/>
        <w:rPr>
          <w:sz w:val="20"/>
          <w:szCs w:val="20"/>
          <w:color w:val="auto"/>
        </w:rPr>
      </w:pPr>
    </w:p>
    <w:p>
      <w:pPr>
        <w:jc w:val="both"/>
        <w:ind w:left="120" w:right="300" w:firstLine="551"/>
        <w:spacing w:after="0" w:line="255" w:lineRule="auto"/>
        <w:rPr>
          <w:sz w:val="20"/>
          <w:szCs w:val="20"/>
          <w:color w:val="auto"/>
        </w:rPr>
      </w:pPr>
      <w:r>
        <w:rPr>
          <w:rFonts w:ascii="Arial" w:cs="Arial" w:eastAsia="Arial" w:hAnsi="Arial"/>
          <w:sz w:val="17"/>
          <w:szCs w:val="17"/>
          <w:color w:val="auto"/>
        </w:rPr>
        <w:t>Ethos Technologies Inc. has granted Participant Restricted Stock Units (RSUs) under the Plan, as per the terms specified in the Notice of Restricted Stock Unit Grant, the Plan, and the Restricted Stock Unit Agreement. The conditions for vesting include a service-based requirement and a liquidity event requirement, both of which must be met or the RSUs will lapse without cost to the Company.</w:t>
      </w:r>
    </w:p>
    <w:p>
      <w:pPr>
        <w:spacing w:after="0" w:line="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Under the service-based requirement, RSUs start vesting from the first year anniversary of the vesting commencement date, provided that the participant’s continuous service status is intact, and if terminated, unvested RSUs are forfeited without cost to the Company. The liquidity event requirement is satisfied on the occurrence of the effective date of a Company registration statement for public sale or immediately prior to the closing of a corporate transaction. Upon vesting, the Company will issue one share of common stock for each vested RSU according to a set schedule. The rights granted to the recipient of a restricted stock unit generally accrue over the vesting period. Participants holding restricted stock units are not entitled to any ordinary cash dividends paid by the Company with respect to such shares. The Company does not expect to pay any dividends in the foreseeable future.</w:t>
      </w:r>
    </w:p>
    <w:p>
      <w:pPr>
        <w:spacing w:after="0" w:line="185"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Excess tax benefits reflect the total realized value of the Company’s tax deductions from individual stock option exercise transactions and the vesting of restricted stock awards and restricted stock units in excess of the deferred tax assets that were previously recorded. During the years ended December 31, 2023 and 2024, the Company recognized excess tax benefits from stock-based compensation of $108 and $0, respectively, within income tax expense in the consolidated statements of operations and comprehensive income (loss) and within cash flows from operating activities in the consolidated statements of cash flows.</w:t>
      </w:r>
    </w:p>
    <w:p>
      <w:pPr>
        <w:spacing w:after="0" w:line="176" w:lineRule="exact"/>
        <w:rPr>
          <w:sz w:val="20"/>
          <w:szCs w:val="20"/>
          <w:color w:val="auto"/>
        </w:rPr>
      </w:pPr>
    </w:p>
    <w:p>
      <w:pPr>
        <w:ind w:left="120" w:right="320" w:firstLine="551"/>
        <w:spacing w:after="0" w:line="253" w:lineRule="auto"/>
        <w:rPr>
          <w:sz w:val="20"/>
          <w:szCs w:val="20"/>
          <w:color w:val="auto"/>
        </w:rPr>
      </w:pPr>
      <w:r>
        <w:rPr>
          <w:rFonts w:ascii="Arial" w:cs="Arial" w:eastAsia="Arial" w:hAnsi="Arial"/>
          <w:sz w:val="18"/>
          <w:szCs w:val="18"/>
          <w:color w:val="auto"/>
        </w:rPr>
        <w:t>The Company capitalized stock-based compensation expense as website and software development costs of $227, $143, $110 and $304 for the years ended December 31, 2023 and 2024, and nine months ended September 30, 2024 and 2025 (unaudited), respectively.</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04"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The fair value of each stock option award was estimated based on the assumptions below as of the grant date using the Black-Scholes-Merton option pricing model. Expected volatility is based on the historical and implied volatilities of the Company’s own common stock. Separate groups of employees that have similar historical exercise behavior are considered separately for valuation purposes. The expected term calculation for option awards considers a combination of the Company’s historical and estimated future exercise behavior. The risk-free rate for the period within the contractual life of the option is based on the U.S. Treasury yield curve in effect at the time of grant.</w:t>
      </w:r>
    </w:p>
    <w:p>
      <w:pPr>
        <w:spacing w:after="0" w:line="179" w:lineRule="exact"/>
        <w:rPr>
          <w:sz w:val="20"/>
          <w:szCs w:val="20"/>
          <w:color w:val="auto"/>
        </w:rPr>
      </w:pPr>
    </w:p>
    <w:p>
      <w:pPr>
        <w:ind w:left="120" w:right="220" w:firstLine="551"/>
        <w:spacing w:after="0" w:line="271" w:lineRule="auto"/>
        <w:rPr>
          <w:sz w:val="20"/>
          <w:szCs w:val="20"/>
          <w:color w:val="auto"/>
        </w:rPr>
      </w:pPr>
      <w:r>
        <w:rPr>
          <w:rFonts w:ascii="Arial" w:cs="Arial" w:eastAsia="Arial" w:hAnsi="Arial"/>
          <w:sz w:val="18"/>
          <w:szCs w:val="18"/>
          <w:color w:val="auto"/>
        </w:rPr>
        <w:t>The Company did not grant any stock options during the years ended December 31, 2023 and 2024, and the nine months ended September 30, 2024 and 2025 (unaudited).</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320" w:top="455" w:right="47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right="100" w:firstLine="551"/>
        <w:spacing w:after="0" w:line="271" w:lineRule="auto"/>
        <w:rPr>
          <w:sz w:val="20"/>
          <w:szCs w:val="20"/>
          <w:color w:val="auto"/>
        </w:rPr>
      </w:pPr>
      <w:r>
        <w:rPr>
          <w:rFonts w:ascii="Arial" w:cs="Arial" w:eastAsia="Arial" w:hAnsi="Arial"/>
          <w:sz w:val="18"/>
          <w:szCs w:val="18"/>
          <w:color w:val="auto"/>
        </w:rPr>
        <w:t>Stock option awards as of December 31, 2023 and 2024 and changes during the years ended December 31, 2023 and 2024, were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Weighted-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Aggregate</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Exercise Term</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8"/>
              </w:rPr>
              <w:t>Options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300" w:type="dxa"/>
            <w:vAlign w:val="bottom"/>
          </w:tcPr>
          <w:p>
            <w:pPr>
              <w:spacing w:after="0"/>
              <w:rPr>
                <w:sz w:val="14"/>
                <w:szCs w:val="14"/>
                <w:color w:val="auto"/>
              </w:rPr>
            </w:pPr>
          </w:p>
        </w:tc>
        <w:tc>
          <w:tcPr>
            <w:tcW w:w="16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Intrinsic Value</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2022</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1,874</w:t>
            </w: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3.46</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13,695</w:t>
            </w:r>
          </w:p>
        </w:tc>
        <w:tc>
          <w:tcPr>
            <w:tcW w:w="6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280" w:type="dxa"/>
            <w:vAlign w:val="bottom"/>
          </w:tcPr>
          <w:p>
            <w:pPr>
              <w:ind w:left="140"/>
              <w:spacing w:after="0" w:line="202" w:lineRule="exact"/>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(184)</w:t>
            </w:r>
          </w:p>
        </w:tc>
        <w:tc>
          <w:tcPr>
            <w:tcW w:w="1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5.24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NM*</w:t>
            </w:r>
          </w:p>
        </w:tc>
        <w:tc>
          <w:tcPr>
            <w:tcW w:w="112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52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2.94</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679</w:t>
            </w: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500" w:type="dxa"/>
            <w:vAlign w:val="bottom"/>
            <w:gridSpan w:val="2"/>
          </w:tcPr>
          <w:p>
            <w:pPr>
              <w:spacing w:after="0"/>
              <w:rPr>
                <w:sz w:val="20"/>
                <w:szCs w:val="20"/>
                <w:color w:val="auto"/>
              </w:rPr>
            </w:pPr>
            <w:r>
              <w:rPr>
                <w:rFonts w:ascii="Arial" w:cs="Arial" w:eastAsia="Arial" w:hAnsi="Arial"/>
                <w:sz w:val="18"/>
                <w:szCs w:val="18"/>
                <w:color w:val="auto"/>
              </w:rPr>
              <w:t>Outstanding at December 31, 2023</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3.29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11,284</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52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7.15</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NM</w:t>
            </w:r>
          </w:p>
        </w:tc>
        <w:tc>
          <w:tcPr>
            <w:tcW w:w="112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280" w:type="dxa"/>
            <w:vAlign w:val="bottom"/>
          </w:tcPr>
          <w:p>
            <w:pPr>
              <w:ind w:left="140"/>
              <w:spacing w:after="0" w:line="202" w:lineRule="exact"/>
              <w:rPr>
                <w:sz w:val="20"/>
                <w:szCs w:val="20"/>
                <w:color w:val="auto"/>
              </w:rPr>
            </w:pPr>
            <w:r>
              <w:rPr>
                <w:rFonts w:ascii="Arial" w:cs="Arial" w:eastAsia="Arial" w:hAnsi="Arial"/>
                <w:sz w:val="18"/>
                <w:szCs w:val="18"/>
                <w:color w:val="auto"/>
              </w:rPr>
              <w:t>Exercised</w:t>
            </w:r>
          </w:p>
        </w:tc>
        <w:tc>
          <w:tcPr>
            <w:tcW w:w="12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(72)</w:t>
            </w:r>
          </w:p>
        </w:tc>
        <w:tc>
          <w:tcPr>
            <w:tcW w:w="1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2.88</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1,250</w:t>
            </w: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2024</w:t>
            </w:r>
          </w:p>
        </w:tc>
        <w:tc>
          <w:tcPr>
            <w:tcW w:w="12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1,466</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3.21</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47,531</w:t>
            </w: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at December 31, 2024</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3.21</w:t>
            </w: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vMerge w:val="restart"/>
          </w:tcPr>
          <w:p>
            <w:pPr>
              <w:jc w:val="right"/>
              <w:ind w:right="640"/>
              <w:spacing w:after="0"/>
              <w:rPr>
                <w:sz w:val="20"/>
                <w:szCs w:val="20"/>
                <w:color w:val="auto"/>
              </w:rPr>
            </w:pPr>
            <w:r>
              <w:rPr>
                <w:rFonts w:ascii="Arial" w:cs="Arial" w:eastAsia="Arial" w:hAnsi="Arial"/>
                <w:sz w:val="18"/>
                <w:szCs w:val="18"/>
                <w:color w:val="auto"/>
              </w:rPr>
              <w:t>47,531</w:t>
            </w: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line="20" w:lineRule="exact"/>
              <w:rPr>
                <w:sz w:val="1"/>
                <w:szCs w:val="1"/>
                <w:color w:val="auto"/>
              </w:rPr>
            </w:pPr>
          </w:p>
        </w:tc>
      </w:tr>
      <w:tr>
        <w:trPr>
          <w:trHeight w:val="197"/>
        </w:trPr>
        <w:tc>
          <w:tcPr>
            <w:tcW w:w="5500" w:type="dxa"/>
            <w:vAlign w:val="bottom"/>
            <w:gridSpan w:val="2"/>
            <w:vMerge w:val="continue"/>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1,466</w:t>
            </w:r>
          </w:p>
        </w:tc>
        <w:tc>
          <w:tcPr>
            <w:tcW w:w="6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Exercisable at December 31, 2024</w:t>
            </w:r>
          </w:p>
        </w:tc>
        <w:tc>
          <w:tcPr>
            <w:tcW w:w="12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1,453</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3.16</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47,195</w:t>
            </w: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463"/>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280" w:type="dxa"/>
            <w:vAlign w:val="bottom"/>
          </w:tcPr>
          <w:p>
            <w:pPr>
              <w:ind w:left="320"/>
              <w:spacing w:after="0"/>
              <w:rPr>
                <w:sz w:val="20"/>
                <w:szCs w:val="20"/>
                <w:color w:val="auto"/>
              </w:rPr>
            </w:pPr>
            <w:r>
              <w:rPr>
                <w:rFonts w:ascii="Arial" w:cs="Arial" w:eastAsia="Arial" w:hAnsi="Arial"/>
                <w:sz w:val="18"/>
                <w:szCs w:val="18"/>
                <w:color w:val="auto"/>
              </w:rPr>
              <w:t>NM — not meaningful</w:t>
            </w: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20" w:right="220" w:firstLine="551"/>
        <w:spacing w:after="0" w:line="271" w:lineRule="auto"/>
        <w:rPr>
          <w:sz w:val="20"/>
          <w:szCs w:val="20"/>
          <w:color w:val="auto"/>
        </w:rPr>
      </w:pPr>
      <w:r>
        <w:rPr>
          <w:rFonts w:ascii="Arial" w:cs="Arial" w:eastAsia="Arial" w:hAnsi="Arial"/>
          <w:sz w:val="18"/>
          <w:szCs w:val="18"/>
          <w:color w:val="auto"/>
        </w:rPr>
        <w:t>Stock option awards as of September 30, 2025 and changes during the nine months ended September 30, 2025, were as follows (unaudited):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2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2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Average</w:t>
            </w:r>
          </w:p>
        </w:tc>
        <w:tc>
          <w:tcPr>
            <w:tcW w:w="300" w:type="dxa"/>
            <w:vAlign w:val="bottom"/>
          </w:tcPr>
          <w:p>
            <w:pPr>
              <w:spacing w:after="0"/>
              <w:rPr>
                <w:sz w:val="14"/>
                <w:szCs w:val="14"/>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Aggregate</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Exercise Term</w:t>
            </w:r>
          </w:p>
        </w:tc>
      </w:tr>
      <w:tr>
        <w:trPr>
          <w:trHeight w:val="171"/>
        </w:trPr>
        <w:tc>
          <w:tcPr>
            <w:tcW w:w="2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3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Instric Value</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(Years)</w:t>
            </w:r>
          </w:p>
        </w:tc>
      </w:tr>
      <w:tr>
        <w:trPr>
          <w:trHeight w:val="196"/>
        </w:trPr>
        <w:tc>
          <w:tcPr>
            <w:tcW w:w="57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2024</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1,466</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ind w:left="520"/>
              <w:spacing w:after="0" w:line="196" w:lineRule="exact"/>
              <w:rPr>
                <w:sz w:val="20"/>
                <w:szCs w:val="20"/>
                <w:color w:val="auto"/>
              </w:rPr>
            </w:pPr>
            <w:r>
              <w:rPr>
                <w:rFonts w:ascii="Arial" w:cs="Arial" w:eastAsia="Arial" w:hAnsi="Arial"/>
                <w:sz w:val="18"/>
                <w:szCs w:val="18"/>
                <w:color w:val="auto"/>
                <w:w w:val="91"/>
              </w:rPr>
              <w:t>3.21</w:t>
            </w: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47,531</w:t>
            </w:r>
          </w:p>
        </w:tc>
        <w:tc>
          <w:tcPr>
            <w:tcW w:w="6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5.34</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5480" w:type="dxa"/>
            <w:vAlign w:val="bottom"/>
          </w:tcPr>
          <w:p>
            <w:pPr>
              <w:ind w:left="140"/>
              <w:spacing w:after="0" w:line="202" w:lineRule="exact"/>
              <w:rPr>
                <w:sz w:val="20"/>
                <w:szCs w:val="20"/>
                <w:color w:val="auto"/>
              </w:rPr>
            </w:pPr>
            <w:r>
              <w:rPr>
                <w:rFonts w:ascii="Arial" w:cs="Arial" w:eastAsia="Arial" w:hAnsi="Arial"/>
                <w:sz w:val="18"/>
                <w:szCs w:val="18"/>
                <w:color w:val="auto"/>
              </w:rPr>
              <w:t>Forfeited</w:t>
            </w: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2.97</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NM</w:t>
            </w:r>
          </w:p>
        </w:tc>
        <w:tc>
          <w:tcPr>
            <w:tcW w:w="104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NM</w:t>
            </w:r>
          </w:p>
        </w:tc>
      </w:tr>
      <w:tr>
        <w:trPr>
          <w:trHeight w:val="203"/>
        </w:trPr>
        <w:tc>
          <w:tcPr>
            <w:tcW w:w="220" w:type="dxa"/>
            <w:vAlign w:val="bottom"/>
            <w:shd w:val="clear" w:color="auto" w:fill="CCEEFF"/>
          </w:tcPr>
          <w:p>
            <w:pPr>
              <w:spacing w:after="0"/>
              <w:rPr>
                <w:sz w:val="17"/>
                <w:szCs w:val="17"/>
                <w:color w:val="auto"/>
              </w:rPr>
            </w:pPr>
          </w:p>
        </w:tc>
        <w:tc>
          <w:tcPr>
            <w:tcW w:w="54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Exercised</w:t>
            </w: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(256)</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3.09</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9,559</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9"/>
        </w:trPr>
        <w:tc>
          <w:tcPr>
            <w:tcW w:w="5700" w:type="dxa"/>
            <w:vAlign w:val="bottom"/>
            <w:gridSpan w:val="2"/>
          </w:tcPr>
          <w:p>
            <w:pPr>
              <w:spacing w:after="0"/>
              <w:rPr>
                <w:sz w:val="20"/>
                <w:szCs w:val="20"/>
                <w:color w:val="auto"/>
              </w:rPr>
            </w:pPr>
            <w:r>
              <w:rPr>
                <w:rFonts w:ascii="Arial" w:cs="Arial" w:eastAsia="Arial" w:hAnsi="Arial"/>
                <w:sz w:val="18"/>
                <w:szCs w:val="18"/>
                <w:color w:val="auto"/>
              </w:rPr>
              <w:t>Outstanding at September 30, 2025 (unaudited)</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36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3.23</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26,986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4.64</w:t>
            </w:r>
          </w:p>
        </w:tc>
      </w:tr>
      <w:tr>
        <w:trPr>
          <w:trHeight w:val="20"/>
        </w:trPr>
        <w:tc>
          <w:tcPr>
            <w:tcW w:w="2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 at September 30, 2025 (unaudited)</w:t>
            </w:r>
          </w:p>
        </w:tc>
        <w:tc>
          <w:tcPr>
            <w:tcW w:w="92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1,196</w:t>
            </w:r>
          </w:p>
        </w:tc>
        <w:tc>
          <w:tcPr>
            <w:tcW w:w="420" w:type="dxa"/>
            <w:vAlign w:val="bottom"/>
            <w:gridSpan w:val="2"/>
            <w:shd w:val="clear" w:color="auto" w:fill="CCEEFF"/>
          </w:tcPr>
          <w:p>
            <w:pPr>
              <w:ind w:left="30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520"/>
              <w:spacing w:after="0" w:line="196" w:lineRule="exact"/>
              <w:rPr>
                <w:sz w:val="20"/>
                <w:szCs w:val="20"/>
                <w:color w:val="auto"/>
              </w:rPr>
            </w:pPr>
            <w:r>
              <w:rPr>
                <w:rFonts w:ascii="Arial" w:cs="Arial" w:eastAsia="Arial" w:hAnsi="Arial"/>
                <w:sz w:val="18"/>
                <w:szCs w:val="18"/>
                <w:color w:val="auto"/>
              </w:rPr>
              <w:t>3.23</w:t>
            </w:r>
          </w:p>
        </w:tc>
        <w:tc>
          <w:tcPr>
            <w:tcW w:w="500" w:type="dxa"/>
            <w:vAlign w:val="bottom"/>
            <w:gridSpan w:val="2"/>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rPr>
              <w:t>26,986</w:t>
            </w:r>
          </w:p>
        </w:tc>
        <w:tc>
          <w:tcPr>
            <w:tcW w:w="10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4.64</w:t>
            </w:r>
          </w:p>
        </w:tc>
      </w:tr>
      <w:tr>
        <w:trPr>
          <w:trHeight w:val="239"/>
        </w:trPr>
        <w:tc>
          <w:tcPr>
            <w:tcW w:w="5700" w:type="dxa"/>
            <w:vAlign w:val="bottom"/>
            <w:gridSpan w:val="2"/>
          </w:tcPr>
          <w:p>
            <w:pPr>
              <w:spacing w:after="0"/>
              <w:rPr>
                <w:sz w:val="20"/>
                <w:szCs w:val="20"/>
                <w:color w:val="auto"/>
              </w:rPr>
            </w:pPr>
            <w:r>
              <w:rPr>
                <w:rFonts w:ascii="Arial" w:cs="Arial" w:eastAsia="Arial" w:hAnsi="Arial"/>
                <w:sz w:val="18"/>
                <w:szCs w:val="18"/>
                <w:color w:val="auto"/>
              </w:rPr>
              <w:t>Exercisable at September 30, 2025 (unaudited)</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1,196</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3.23</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26,985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4.64</w:t>
            </w:r>
          </w:p>
        </w:tc>
      </w:tr>
      <w:tr>
        <w:trPr>
          <w:trHeight w:val="427"/>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480" w:type="dxa"/>
            <w:vAlign w:val="bottom"/>
          </w:tcPr>
          <w:p>
            <w:pPr>
              <w:ind w:left="320"/>
              <w:spacing w:after="0"/>
              <w:rPr>
                <w:sz w:val="20"/>
                <w:szCs w:val="20"/>
                <w:color w:val="auto"/>
              </w:rPr>
            </w:pPr>
            <w:r>
              <w:rPr>
                <w:rFonts w:ascii="Arial" w:cs="Arial" w:eastAsia="Arial" w:hAnsi="Arial"/>
                <w:sz w:val="18"/>
                <w:szCs w:val="18"/>
                <w:color w:val="auto"/>
              </w:rPr>
              <w:t>NM — not meaningful</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80" w:lineRule="exact"/>
        <w:rPr>
          <w:sz w:val="20"/>
          <w:szCs w:val="20"/>
          <w:color w:val="auto"/>
        </w:rPr>
      </w:pPr>
    </w:p>
    <w:p>
      <w:pPr>
        <w:ind w:left="120" w:right="140" w:firstLine="551"/>
        <w:spacing w:after="0" w:line="242"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fair value of the common stock and the exercise price, multiplied by the number of in-the-money options) that would have been received by the option holders had all option holders exercised their in-the-money options on each date. This amount will change in future periods based on the fair value of the Company’s stock and the number of options outstanding. The aggregate intrinsic value of awards exercised during the years ended December 31, 2023 and 2024, and nine months ended September 30, 2025 (unaudited) was $679, $1,250 and $9,559, respectively.</w:t>
      </w:r>
    </w:p>
    <w:p>
      <w:pPr>
        <w:spacing w:after="0" w:line="179" w:lineRule="exact"/>
        <w:rPr>
          <w:sz w:val="20"/>
          <w:szCs w:val="20"/>
          <w:color w:val="auto"/>
        </w:rPr>
      </w:pPr>
    </w:p>
    <w:p>
      <w:pPr>
        <w:ind w:left="120" w:right="200" w:firstLine="551"/>
        <w:spacing w:after="0" w:line="247" w:lineRule="auto"/>
        <w:rPr>
          <w:sz w:val="20"/>
          <w:szCs w:val="20"/>
          <w:color w:val="auto"/>
        </w:rPr>
      </w:pPr>
      <w:r>
        <w:rPr>
          <w:rFonts w:ascii="Arial" w:cs="Arial" w:eastAsia="Arial" w:hAnsi="Arial"/>
          <w:sz w:val="18"/>
          <w:szCs w:val="18"/>
          <w:color w:val="auto"/>
        </w:rPr>
        <w:t>The Company recorded compensation expense for stock options of $3,309, $ 3,833, $2,379 and $10,868 for the years ended December 31, 2023 and 2024, and the nine months ended September 30, 2024 and 2025 (unaudited), respectively. As of December 31, 2024, total unrecognized compensation cost, adjusted for estimated forfeitures, related to non-vested stock options was $3,845 and is expected to be recognized over a weighted-average period of 1.34 years.</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5" w:right="4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right="320" w:firstLine="551"/>
        <w:spacing w:after="0" w:line="271" w:lineRule="auto"/>
        <w:rPr>
          <w:sz w:val="20"/>
          <w:szCs w:val="20"/>
          <w:color w:val="auto"/>
        </w:rPr>
      </w:pPr>
      <w:r>
        <w:rPr>
          <w:rFonts w:ascii="Arial" w:cs="Arial" w:eastAsia="Arial" w:hAnsi="Arial"/>
          <w:sz w:val="18"/>
          <w:szCs w:val="18"/>
          <w:color w:val="auto"/>
        </w:rPr>
        <w:t>As of September 30, 2025 (unaudited), total unrecognized compensation cost, adjusted for estimated forfeitures, related to non-vested stock options was $34 and is expected to be recognized over a weighted-average period of 0.10 years.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Non-vested restricted stock units as of December 31, 2023 and 2024 and changes during the years ended December 31, 2023 and</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2024 were as follows: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8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Average Grant</w:t>
            </w:r>
          </w:p>
        </w:tc>
      </w:tr>
      <w:tr>
        <w:trPr>
          <w:trHeight w:val="171"/>
        </w:trPr>
        <w:tc>
          <w:tcPr>
            <w:tcW w:w="87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Date Fair Value</w:t>
            </w:r>
          </w:p>
        </w:tc>
      </w:tr>
      <w:tr>
        <w:trPr>
          <w:trHeight w:val="196"/>
        </w:trPr>
        <w:tc>
          <w:tcPr>
            <w:tcW w:w="8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2022</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3,689</w:t>
            </w: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12.28</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Granted</w:t>
            </w: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2,850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9.53</w:t>
            </w:r>
          </w:p>
        </w:tc>
      </w:tr>
      <w:tr>
        <w:trPr>
          <w:trHeight w:val="203"/>
        </w:trPr>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Forfeited</w:t>
            </w: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(1,585)</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12.46</w:t>
            </w:r>
          </w:p>
        </w:tc>
      </w:tr>
      <w:tr>
        <w:trPr>
          <w:trHeight w:val="203"/>
        </w:trPr>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Vested</w:t>
            </w: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
        </w:trPr>
        <w:tc>
          <w:tcPr>
            <w:tcW w:w="87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2023</w:t>
            </w: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4,954</w:t>
            </w:r>
          </w:p>
        </w:tc>
        <w:tc>
          <w:tcPr>
            <w:tcW w:w="4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10.64</w:t>
            </w:r>
          </w:p>
        </w:tc>
      </w:tr>
      <w:tr>
        <w:trPr>
          <w:trHeight w:val="203"/>
        </w:trPr>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Granted</w:t>
            </w: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1,047</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23.75</w:t>
            </w:r>
          </w:p>
        </w:tc>
      </w:tr>
      <w:tr>
        <w:trPr>
          <w:trHeight w:val="203"/>
        </w:trPr>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Forfeited</w:t>
            </w: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(491)</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15.19</w:t>
            </w:r>
          </w:p>
        </w:tc>
      </w:tr>
      <w:tr>
        <w:trPr>
          <w:trHeight w:val="203"/>
        </w:trPr>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Vested</w:t>
            </w: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
        </w:trPr>
        <w:tc>
          <w:tcPr>
            <w:tcW w:w="87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2024</w:t>
            </w: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5,510</w:t>
            </w:r>
          </w:p>
        </w:tc>
        <w:tc>
          <w:tcPr>
            <w:tcW w:w="4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12.73</w:t>
            </w:r>
          </w:p>
        </w:tc>
      </w:tr>
      <w:tr>
        <w:trPr>
          <w:trHeight w:val="20"/>
        </w:trPr>
        <w:tc>
          <w:tcPr>
            <w:tcW w:w="87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Non-vested restricted stock units as of September 30, 2025 and changes during the nine months ended September 30, 2025 were as follows (unaudited):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8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Average Grant</w:t>
            </w:r>
          </w:p>
        </w:tc>
      </w:tr>
      <w:tr>
        <w:trPr>
          <w:trHeight w:val="171"/>
        </w:trPr>
        <w:tc>
          <w:tcPr>
            <w:tcW w:w="878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Shares</w:t>
            </w:r>
          </w:p>
        </w:tc>
        <w:tc>
          <w:tcPr>
            <w:tcW w:w="280" w:type="dxa"/>
            <w:vAlign w:val="bottom"/>
          </w:tcPr>
          <w:p>
            <w:pPr>
              <w:spacing w:after="0"/>
              <w:rPr>
                <w:sz w:val="14"/>
                <w:szCs w:val="14"/>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Date Fair Value</w:t>
            </w:r>
          </w:p>
        </w:tc>
      </w:tr>
      <w:tr>
        <w:trPr>
          <w:trHeight w:val="196"/>
        </w:trPr>
        <w:tc>
          <w:tcPr>
            <w:tcW w:w="8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2024</w:t>
            </w: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5,510</w:t>
            </w: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12.73</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8780" w:type="dxa"/>
            <w:vAlign w:val="bottom"/>
          </w:tcPr>
          <w:p>
            <w:pPr>
              <w:ind w:left="360"/>
              <w:spacing w:after="0" w:line="202" w:lineRule="exact"/>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4,644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40.89</w:t>
            </w:r>
          </w:p>
        </w:tc>
      </w:tr>
      <w:tr>
        <w:trPr>
          <w:trHeight w:val="203"/>
        </w:trPr>
        <w:tc>
          <w:tcPr>
            <w:tcW w:w="87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Forfeited</w:t>
            </w:r>
          </w:p>
        </w:tc>
        <w:tc>
          <w:tcPr>
            <w:tcW w:w="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(149)</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23.30</w:t>
            </w:r>
          </w:p>
        </w:tc>
      </w:tr>
      <w:tr>
        <w:trPr>
          <w:trHeight w:val="203"/>
        </w:trPr>
        <w:tc>
          <w:tcPr>
            <w:tcW w:w="8780" w:type="dxa"/>
            <w:vAlign w:val="bottom"/>
          </w:tcPr>
          <w:p>
            <w:pPr>
              <w:ind w:left="360"/>
              <w:spacing w:after="0" w:line="202" w:lineRule="exact"/>
              <w:rPr>
                <w:sz w:val="20"/>
                <w:szCs w:val="20"/>
                <w:color w:val="auto"/>
              </w:rPr>
            </w:pPr>
            <w:r>
              <w:rPr>
                <w:rFonts w:ascii="Arial" w:cs="Arial" w:eastAsia="Arial" w:hAnsi="Arial"/>
                <w:sz w:val="18"/>
                <w:szCs w:val="18"/>
                <w:color w:val="auto"/>
              </w:rPr>
              <w:t>Vested</w:t>
            </w: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(268)</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10.76</w:t>
            </w:r>
          </w:p>
        </w:tc>
      </w:tr>
      <w:tr>
        <w:trPr>
          <w:trHeight w:val="27"/>
        </w:trPr>
        <w:tc>
          <w:tcPr>
            <w:tcW w:w="87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September 30, 2025 (unaudited)</w:t>
            </w: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9,737</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26.05</w:t>
            </w:r>
          </w:p>
        </w:tc>
      </w:tr>
      <w:tr>
        <w:trPr>
          <w:trHeight w:val="20"/>
        </w:trPr>
        <w:tc>
          <w:tcPr>
            <w:tcW w:w="8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There was no compensation expense related to restricted stock units for the years ended December 31, 2023 and 2024 due to the related performance triggers not having been met. Had the performance triggers been met, compensation expense related to restricted stock units would have been $40,682 for the year ended December 31, 2024, with $22,381 of total unrecognized compensation cost to be recognized over a weighted-average period of 1.84 years. The weighted-average grant date fair value of restricted stock granted during the year ended December 31, 2024 was $ 23.75, which was determined based on the Company’s stock price at the grant date and assuming no expected dividend payments during the vesting period.</w:t>
      </w:r>
    </w:p>
    <w:p>
      <w:pPr>
        <w:spacing w:after="0" w:line="179"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8"/>
          <w:szCs w:val="18"/>
          <w:color w:val="auto"/>
        </w:rPr>
        <w:t>In February 2025, the performance triggers were lifted for 268 RSUs, the awards were vested and $7,964 was recognized as compensation expense. For the remaining restricted stock units, had the performance triggers been met, compensation expense related to restricted stock units would have been $155,296 for the nine months ended September 30, 2025 (unaudited), with $92,122 of total</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5" w:right="4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unrecognized compensation cost to be recognized over a weighted-average period of 2.01 years. The weighted-average grant date fair value of restricted stock granted for the nine months ended September 30, 2025 (unaudited) was $40.89, which was determined based on the Company’s stock price at the grant date and assuming no expected dividend payments during the vesting period.</w:t>
      </w:r>
    </w:p>
    <w:p>
      <w:pPr>
        <w:spacing w:after="0" w:line="277" w:lineRule="exact"/>
        <w:rPr>
          <w:sz w:val="20"/>
          <w:szCs w:val="20"/>
          <w:color w:val="auto"/>
        </w:rPr>
      </w:pPr>
    </w:p>
    <w:p>
      <w:pPr>
        <w:jc w:val="right"/>
        <w:ind w:right="8880"/>
        <w:spacing w:after="0"/>
        <w:rPr>
          <w:sz w:val="20"/>
          <w:szCs w:val="20"/>
          <w:color w:val="auto"/>
        </w:rPr>
      </w:pPr>
      <w:r>
        <w:rPr>
          <w:rFonts w:ascii="Arial" w:cs="Arial" w:eastAsia="Arial" w:hAnsi="Arial"/>
          <w:sz w:val="18"/>
          <w:szCs w:val="18"/>
          <w:b w:val="1"/>
          <w:bCs w:val="1"/>
          <w:color w:val="auto"/>
        </w:rPr>
        <w:t>Common Stock Warrants</w:t>
      </w:r>
    </w:p>
    <w:p>
      <w:pPr>
        <w:spacing w:after="0" w:line="106" w:lineRule="exact"/>
        <w:rPr>
          <w:sz w:val="20"/>
          <w:szCs w:val="20"/>
          <w:color w:val="auto"/>
        </w:rPr>
      </w:pPr>
    </w:p>
    <w:p>
      <w:pPr>
        <w:jc w:val="right"/>
        <w:ind w:right="8880"/>
        <w:spacing w:after="0"/>
        <w:rPr>
          <w:sz w:val="20"/>
          <w:szCs w:val="20"/>
          <w:color w:val="auto"/>
        </w:rPr>
      </w:pPr>
      <w:r>
        <w:rPr>
          <w:rFonts w:ascii="Arial" w:cs="Arial" w:eastAsia="Arial" w:hAnsi="Arial"/>
          <w:sz w:val="18"/>
          <w:szCs w:val="18"/>
          <w:b w:val="1"/>
          <w:bCs w:val="1"/>
          <w:i w:val="1"/>
          <w:iCs w:val="1"/>
          <w:color w:val="auto"/>
        </w:rPr>
        <w:t>April 2024 Warrant</w:t>
      </w:r>
    </w:p>
    <w:p>
      <w:pPr>
        <w:spacing w:after="0" w:line="102"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In April 2024, the Company issued warrants to a third party to purchase an aggregate of up to 385 shares of Common Stock at an exercise price of $10.15 per share (“April 2024 Warrant”). The April 2024 Warrant expires in 2027, and 21 warrants vested during the nine months ended September 30, 2025 (unaudited). The remainder of the shares underlying the April 2024 Warrant may vest and become exercisable over the contractual term, contingent upon the achievement of certain performance conditions. For the year ended December 31, 2024 and nine months ended September 30, 2024 and 2025 (unaudited), the Company recognized $200, $36 and $54, respectively, related to the issuance of the April 2024 Warrant.</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January 2025 Warrant (unaudited)</w:t>
      </w:r>
    </w:p>
    <w:p>
      <w:pPr>
        <w:spacing w:after="0" w:line="102"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8"/>
          <w:szCs w:val="18"/>
          <w:color w:val="auto"/>
        </w:rPr>
        <w:t>In January 2025, the Company issued fully vested warrants to a third party to purchase an aggregate of up to 32 shares of common stock at an exercise price of $0.07 per share (“January 2025 Warrant”). The January 2025 Warrant expires in 2030. For the nine months ended September 30, 2025 (unaudited), the Company recognized $1,292, related to the issuance of the January 2025 Warrant.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April 2025 Warrant (unaudited)</w:t>
      </w:r>
    </w:p>
    <w:p>
      <w:pPr>
        <w:spacing w:after="0" w:line="102" w:lineRule="exact"/>
        <w:rPr>
          <w:sz w:val="20"/>
          <w:szCs w:val="20"/>
          <w:color w:val="auto"/>
        </w:rPr>
      </w:pPr>
    </w:p>
    <w:p>
      <w:pPr>
        <w:ind w:left="120" w:right="240" w:firstLine="551"/>
        <w:spacing w:after="0" w:line="244" w:lineRule="auto"/>
        <w:rPr>
          <w:sz w:val="20"/>
          <w:szCs w:val="20"/>
          <w:color w:val="auto"/>
        </w:rPr>
      </w:pPr>
      <w:r>
        <w:rPr>
          <w:rFonts w:ascii="Arial" w:cs="Arial" w:eastAsia="Arial" w:hAnsi="Arial"/>
          <w:sz w:val="18"/>
          <w:szCs w:val="18"/>
          <w:color w:val="auto"/>
        </w:rPr>
        <w:t>In April 2025, the Company issued warrants to a third party to purchase an aggregate of up to 77 shares of common stock at an exercise price of $40.32 per share (“April 2025 Warrant”). The April 2025 Warrant expires in 2027 and 4 warrants vested during the nine months ended September 30, 2025 (unaudited). The remainder of the shares underlying the April 2025 Warrant may vest and become exercisable over the contractual term, contingent upon the achievement of certain performance conditions. For the nine months ended September 30, 2025 (unaudited), the Company recognized $46, related to the issuance of the April 2025 Warrant.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grant date fair value of the April 2024 Warrant, January 2025 Warrant, and April 2025 Warrant were determined using the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Black-Scholes option pricing model using the following assumptions: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8"/>
              </w:rPr>
              <w:t>April 2024</w:t>
            </w:r>
          </w:p>
        </w:tc>
        <w:tc>
          <w:tcPr>
            <w:tcW w:w="14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January 2025</w:t>
            </w:r>
          </w:p>
        </w:tc>
        <w:tc>
          <w:tcPr>
            <w:tcW w:w="3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April 2025</w:t>
            </w:r>
          </w:p>
        </w:tc>
      </w:tr>
      <w:tr>
        <w:trPr>
          <w:trHeight w:val="171"/>
        </w:trPr>
        <w:tc>
          <w:tcPr>
            <w:tcW w:w="38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4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Warrant</w:t>
            </w:r>
          </w:p>
        </w:tc>
        <w:tc>
          <w:tcPr>
            <w:tcW w:w="140" w:type="dxa"/>
            <w:vAlign w:val="bottom"/>
          </w:tcPr>
          <w:p>
            <w:pPr>
              <w:spacing w:after="0"/>
              <w:rPr>
                <w:sz w:val="14"/>
                <w:szCs w:val="14"/>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Warrant</w:t>
            </w:r>
          </w:p>
        </w:tc>
        <w:tc>
          <w:tcPr>
            <w:tcW w:w="3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Warrant</w:t>
            </w:r>
          </w:p>
        </w:tc>
      </w:tr>
      <w:tr>
        <w:trPr>
          <w:trHeight w:val="155"/>
        </w:trPr>
        <w:tc>
          <w:tcPr>
            <w:tcW w:w="38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3"/>
                <w:szCs w:val="13"/>
                <w:color w:val="auto"/>
              </w:rPr>
            </w:pPr>
          </w:p>
        </w:tc>
      </w:tr>
      <w:tr>
        <w:trPr>
          <w:trHeight w:val="203"/>
        </w:trPr>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4360" w:type="dxa"/>
            <w:vAlign w:val="bottom"/>
            <w:gridSpan w:val="3"/>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68.0%</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63.6%</w:t>
            </w:r>
          </w:p>
        </w:tc>
        <w:tc>
          <w:tcPr>
            <w:tcW w:w="13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64.2%</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Expected risk-free interest rate</w:t>
            </w:r>
          </w:p>
        </w:tc>
        <w:tc>
          <w:tcPr>
            <w:tcW w:w="4360" w:type="dxa"/>
            <w:vAlign w:val="bottom"/>
            <w:gridSpan w:val="3"/>
          </w:tcPr>
          <w:p>
            <w:pPr>
              <w:jc w:val="right"/>
              <w:ind w:right="700"/>
              <w:spacing w:after="0" w:line="202" w:lineRule="exact"/>
              <w:rPr>
                <w:sz w:val="20"/>
                <w:szCs w:val="20"/>
                <w:color w:val="auto"/>
              </w:rPr>
            </w:pPr>
            <w:r>
              <w:rPr>
                <w:rFonts w:ascii="Arial" w:cs="Arial" w:eastAsia="Arial" w:hAnsi="Arial"/>
                <w:sz w:val="18"/>
                <w:szCs w:val="18"/>
                <w:color w:val="auto"/>
              </w:rPr>
              <w:t>4.8%</w:t>
            </w:r>
          </w:p>
        </w:tc>
        <w:tc>
          <w:tcPr>
            <w:tcW w:w="140" w:type="dxa"/>
            <w:vAlign w:val="bottom"/>
          </w:tcPr>
          <w:p>
            <w:pPr>
              <w:spacing w:after="0"/>
              <w:rPr>
                <w:sz w:val="17"/>
                <w:szCs w:val="17"/>
                <w:color w:val="auto"/>
              </w:rPr>
            </w:pP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4.3%</w:t>
            </w:r>
          </w:p>
        </w:tc>
        <w:tc>
          <w:tcPr>
            <w:tcW w:w="13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3.7%</w:t>
            </w:r>
          </w:p>
        </w:tc>
      </w:tr>
      <w:tr>
        <w:trPr>
          <w:trHeight w:val="203"/>
        </w:trPr>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(in years)</w:t>
            </w:r>
          </w:p>
        </w:tc>
        <w:tc>
          <w:tcPr>
            <w:tcW w:w="4360" w:type="dxa"/>
            <w:vAlign w:val="bottom"/>
            <w:gridSpan w:val="3"/>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2.50</w:t>
            </w:r>
          </w:p>
        </w:tc>
        <w:tc>
          <w:tcPr>
            <w:tcW w:w="13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1.73</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2820" w:type="dxa"/>
            <w:vAlign w:val="bottom"/>
          </w:tcPr>
          <w:p>
            <w:pPr>
              <w:spacing w:after="0"/>
              <w:rPr>
                <w:sz w:val="17"/>
                <w:szCs w:val="17"/>
                <w:color w:val="auto"/>
              </w:rPr>
            </w:pPr>
          </w:p>
        </w:tc>
        <w:tc>
          <w:tcPr>
            <w:tcW w:w="15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N/A</w:t>
            </w:r>
          </w:p>
        </w:tc>
        <w:tc>
          <w:tcPr>
            <w:tcW w:w="140" w:type="dxa"/>
            <w:vAlign w:val="bottom"/>
          </w:tcPr>
          <w:p>
            <w:pPr>
              <w:spacing w:after="0"/>
              <w:rPr>
                <w:sz w:val="17"/>
                <w:szCs w:val="17"/>
                <w:color w:val="auto"/>
              </w:rPr>
            </w:pPr>
          </w:p>
        </w:tc>
        <w:tc>
          <w:tcPr>
            <w:tcW w:w="12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N/A</w:t>
            </w:r>
          </w:p>
        </w:tc>
        <w:tc>
          <w:tcPr>
            <w:tcW w:w="34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w:t>
            </w:r>
          </w:p>
        </w:tc>
        <w:tc>
          <w:tcPr>
            <w:tcW w:w="4360" w:type="dxa"/>
            <w:vAlign w:val="bottom"/>
            <w:gridSpan w:val="3"/>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  12.65</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40.25</w:t>
            </w:r>
          </w:p>
        </w:tc>
        <w:tc>
          <w:tcPr>
            <w:tcW w:w="13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14.14</w:t>
            </w:r>
          </w:p>
        </w:tc>
      </w:tr>
      <w:tr>
        <w:trPr>
          <w:trHeight w:val="368"/>
        </w:trPr>
        <w:tc>
          <w:tcPr>
            <w:tcW w:w="3880" w:type="dxa"/>
            <w:vAlign w:val="bottom"/>
          </w:tcPr>
          <w:p>
            <w:pPr>
              <w:spacing w:after="0"/>
              <w:rPr>
                <w:sz w:val="24"/>
                <w:szCs w:val="24"/>
                <w:color w:val="auto"/>
              </w:rPr>
            </w:pPr>
          </w:p>
        </w:tc>
        <w:tc>
          <w:tcPr>
            <w:tcW w:w="4360" w:type="dxa"/>
            <w:vAlign w:val="bottom"/>
            <w:gridSpan w:val="3"/>
          </w:tcPr>
          <w:p>
            <w:pPr>
              <w:jc w:val="right"/>
              <w:ind w:right="2560"/>
              <w:spacing w:after="0"/>
              <w:rPr>
                <w:sz w:val="20"/>
                <w:szCs w:val="20"/>
                <w:color w:val="auto"/>
              </w:rPr>
            </w:pPr>
            <w:r>
              <w:rPr>
                <w:rFonts w:ascii="Arial" w:cs="Arial" w:eastAsia="Arial" w:hAnsi="Arial"/>
                <w:sz w:val="18"/>
                <w:szCs w:val="18"/>
                <w:color w:val="auto"/>
              </w:rPr>
              <w:t>F-36</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Secondary Sale of Stock (unaudited)</w:t>
      </w:r>
    </w:p>
    <w:p>
      <w:pPr>
        <w:spacing w:after="0" w:line="104" w:lineRule="exact"/>
        <w:rPr>
          <w:sz w:val="20"/>
          <w:szCs w:val="20"/>
          <w:color w:val="auto"/>
        </w:rPr>
      </w:pPr>
    </w:p>
    <w:p>
      <w:pPr>
        <w:ind w:left="120" w:right="360" w:firstLine="551"/>
        <w:spacing w:after="0" w:line="253" w:lineRule="auto"/>
        <w:rPr>
          <w:sz w:val="20"/>
          <w:szCs w:val="20"/>
          <w:color w:val="auto"/>
        </w:rPr>
      </w:pPr>
      <w:r>
        <w:rPr>
          <w:rFonts w:ascii="Arial" w:cs="Arial" w:eastAsia="Arial" w:hAnsi="Arial"/>
          <w:sz w:val="18"/>
          <w:szCs w:val="18"/>
          <w:color w:val="auto"/>
        </w:rPr>
        <w:t>In February 2025, the Company completed a secondary sale of 496 shares of common stock from employees to new investors. The secondary sale price was based on an independent appraisal of Company’s fair market value. There was no stock-based compensation expense related to this transaction.</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Income Taxes</w:t>
      </w:r>
    </w:p>
    <w:p>
      <w:pPr>
        <w:spacing w:after="0" w:line="104" w:lineRule="exact"/>
        <w:rPr>
          <w:sz w:val="20"/>
          <w:szCs w:val="20"/>
          <w:color w:val="auto"/>
        </w:rPr>
      </w:pPr>
    </w:p>
    <w:p>
      <w:pPr>
        <w:ind w:left="120" w:right="260" w:firstLine="551"/>
        <w:spacing w:after="0" w:line="247" w:lineRule="auto"/>
        <w:rPr>
          <w:sz w:val="20"/>
          <w:szCs w:val="20"/>
          <w:color w:val="auto"/>
        </w:rPr>
      </w:pPr>
      <w:r>
        <w:rPr>
          <w:rFonts w:ascii="Arial" w:cs="Arial" w:eastAsia="Arial" w:hAnsi="Arial"/>
          <w:sz w:val="18"/>
          <w:szCs w:val="18"/>
          <w:color w:val="auto"/>
        </w:rPr>
        <w:t>The Company files income tax returns in the U.S. federal, Singapore, India and various state jurisdictions. For the years ended December 31, 2023 and 2024, the Company has recorded current tax expense of $586 and $1,197 and deferred tax expense of $0 and $3,907, respectively. For the nine months ended September 30, 2024 and 2025 (unaudited), the Company has recorded current tax expense of $942 and $546 and deferred tax expense of $0 and $3,483, respectively.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before provision for income taxes for the years ended December 31, 2023 and 2024 was as follows:</w:t>
      </w:r>
    </w:p>
    <w:p>
      <w:pPr>
        <w:spacing w:after="0" w:line="248"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6350</wp:posOffset>
            </wp:positionV>
            <wp:extent cx="137160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9" w:lineRule="exact"/>
        <w:rPr>
          <w:sz w:val="20"/>
          <w:szCs w:val="20"/>
          <w:color w:val="auto"/>
        </w:rPr>
      </w:pPr>
    </w:p>
    <w:p>
      <w:pPr>
        <w:ind w:left="8980"/>
        <w:spacing w:after="0"/>
        <w:tabs>
          <w:tab w:leader="none" w:pos="10340" w:val="left"/>
        </w:tabs>
        <w:rPr>
          <w:sz w:val="20"/>
          <w:szCs w:val="20"/>
          <w:color w:val="auto"/>
        </w:rPr>
      </w:pPr>
      <w:r>
        <w:rPr>
          <w:rFonts w:ascii="Arial" w:cs="Arial" w:eastAsia="Arial" w:hAnsi="Arial"/>
          <w:sz w:val="14"/>
          <w:szCs w:val="14"/>
          <w:b w:val="1"/>
          <w:bCs w:val="1"/>
          <w:color w:val="auto"/>
        </w:rPr>
        <w:t>  2023 </w:t>
      </w:r>
      <w:r>
        <w:rPr>
          <w:sz w:val="20"/>
          <w:szCs w:val="20"/>
          <w:color w:val="auto"/>
        </w:rPr>
        <w:tab/>
      </w:r>
      <w:r>
        <w:rPr>
          <w:rFonts w:ascii="Arial" w:cs="Arial" w:eastAsia="Arial" w:hAnsi="Arial"/>
          <w:sz w:val="11"/>
          <w:szCs w:val="11"/>
          <w:b w:val="1"/>
          <w:bCs w:val="1"/>
          <w:color w:val="auto"/>
        </w:rPr>
        <w:t>  2024 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-1905</wp:posOffset>
            </wp:positionV>
            <wp:extent cx="13716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ind w:left="9500"/>
        <w:spacing w:after="0"/>
        <w:rPr>
          <w:sz w:val="20"/>
          <w:szCs w:val="20"/>
          <w:color w:val="auto"/>
        </w:rPr>
      </w:pPr>
      <w:r>
        <w:rPr>
          <w:rFonts w:ascii="Arial" w:cs="Arial" w:eastAsia="Arial" w:hAnsi="Arial"/>
          <w:sz w:val="14"/>
          <w:szCs w:val="14"/>
          <w:b w:val="1"/>
          <w:bCs w:val="1"/>
          <w:color w:val="auto"/>
        </w:rPr>
        <w:t>(in thousands)</w:t>
      </w:r>
    </w:p>
    <w:tbl>
      <w:tblPr>
        <w:tblLayout w:type="fixed"/>
        <w:tblInd w:w="120" w:type="dxa"/>
        <w:tblCellMar>
          <w:top w:w="0" w:type="dxa"/>
          <w:left w:w="0" w:type="dxa"/>
          <w:bottom w:w="0" w:type="dxa"/>
          <w:right w:w="0" w:type="dxa"/>
        </w:tblCellMar>
      </w:tblPr>
      <w:tr>
        <w:trPr>
          <w:trHeight w:val="203"/>
        </w:trPr>
        <w:tc>
          <w:tcPr>
            <w:tcW w:w="88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Domestic source</w:t>
            </w:r>
          </w:p>
        </w:tc>
        <w:tc>
          <w:tcPr>
            <w:tcW w:w="20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80"/>
              <w:spacing w:after="0" w:line="203" w:lineRule="exact"/>
              <w:rPr>
                <w:sz w:val="20"/>
                <w:szCs w:val="20"/>
                <w:color w:val="auto"/>
              </w:rPr>
            </w:pPr>
            <w:r>
              <w:rPr>
                <w:rFonts w:ascii="Arial" w:cs="Arial" w:eastAsia="Arial" w:hAnsi="Arial"/>
                <w:sz w:val="18"/>
                <w:szCs w:val="18"/>
                <w:color w:val="auto"/>
              </w:rPr>
              <w:t>805</w:t>
            </w:r>
          </w:p>
        </w:tc>
        <w:tc>
          <w:tcPr>
            <w:tcW w:w="20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52,414</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Foreign source</w:t>
            </w:r>
          </w:p>
        </w:tc>
        <w:tc>
          <w:tcPr>
            <w:tcW w:w="200" w:type="dxa"/>
            <w:vAlign w:val="bottom"/>
          </w:tcPr>
          <w:p>
            <w:pPr>
              <w:spacing w:after="0"/>
              <w:rPr>
                <w:sz w:val="17"/>
                <w:szCs w:val="17"/>
                <w:color w:val="auto"/>
              </w:rPr>
            </w:pPr>
          </w:p>
        </w:tc>
        <w:tc>
          <w:tcPr>
            <w:tcW w:w="11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1,470</w:t>
            </w:r>
          </w:p>
        </w:tc>
        <w:tc>
          <w:tcPr>
            <w:tcW w:w="20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1,522</w:t>
            </w:r>
          </w:p>
        </w:tc>
      </w:tr>
      <w:tr>
        <w:trPr>
          <w:trHeight w:val="27"/>
        </w:trPr>
        <w:tc>
          <w:tcPr>
            <w:tcW w:w="8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Income before provision for income taxes</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2,275</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53,936</w:t>
            </w:r>
          </w:p>
        </w:tc>
      </w:tr>
      <w:tr>
        <w:trPr>
          <w:trHeight w:val="20"/>
        </w:trPr>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20" w:firstLine="551"/>
        <w:spacing w:after="0" w:line="271" w:lineRule="auto"/>
        <w:rPr>
          <w:sz w:val="20"/>
          <w:szCs w:val="20"/>
          <w:color w:val="auto"/>
        </w:rPr>
      </w:pPr>
      <w:r>
        <w:rPr>
          <w:rFonts w:ascii="Arial" w:cs="Arial" w:eastAsia="Arial" w:hAnsi="Arial"/>
          <w:sz w:val="18"/>
          <w:szCs w:val="18"/>
          <w:color w:val="auto"/>
        </w:rPr>
        <w:t>The following is a reconciliation of income taxes computed at the U.S. federal statutory rate to the income taxes reported in the consolidated statements of operations and comprehensive income (loss) for the years ended December 31, 2023 and 2024:</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r>
      <w:tr>
        <w:trPr>
          <w:trHeight w:val="146"/>
        </w:trPr>
        <w:tc>
          <w:tcPr>
            <w:tcW w:w="40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735"/>
              <w:spacing w:after="0" w:line="147" w:lineRule="exact"/>
              <w:rPr>
                <w:sz w:val="20"/>
                <w:szCs w:val="20"/>
                <w:color w:val="auto"/>
              </w:rPr>
            </w:pPr>
            <w:r>
              <w:rPr>
                <w:rFonts w:ascii="Arial" w:cs="Arial" w:eastAsia="Arial" w:hAnsi="Arial"/>
                <w:sz w:val="14"/>
                <w:szCs w:val="14"/>
                <w:b w:val="1"/>
                <w:bCs w:val="1"/>
                <w:color w:val="auto"/>
              </w:rPr>
              <w:t xml:space="preserve">   </w:t>
            </w:r>
          </w:p>
        </w:tc>
        <w:tc>
          <w:tcPr>
            <w:tcW w:w="5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ind w:right="132"/>
              <w:spacing w:after="0" w:line="147" w:lineRule="exact"/>
              <w:rPr>
                <w:sz w:val="20"/>
                <w:szCs w:val="20"/>
                <w:color w:val="auto"/>
              </w:rPr>
            </w:pPr>
            <w:r>
              <w:rPr>
                <w:rFonts w:ascii="Arial" w:cs="Arial" w:eastAsia="Arial" w:hAnsi="Arial"/>
                <w:sz w:val="14"/>
                <w:szCs w:val="14"/>
                <w:b w:val="1"/>
                <w:bCs w:val="1"/>
                <w:color w:val="auto"/>
              </w:rPr>
              <w:t xml:space="preserve">   </w:t>
            </w:r>
          </w:p>
        </w:tc>
        <w:tc>
          <w:tcPr>
            <w:tcW w:w="220" w:type="dxa"/>
            <w:vAlign w:val="bottom"/>
          </w:tcPr>
          <w:p>
            <w:pPr>
              <w:spacing w:after="0"/>
              <w:rPr>
                <w:sz w:val="12"/>
                <w:szCs w:val="12"/>
                <w:color w:val="auto"/>
              </w:rPr>
            </w:pPr>
          </w:p>
        </w:tc>
      </w:tr>
      <w:tr>
        <w:trPr>
          <w:trHeight w:val="171"/>
        </w:trPr>
        <w:tc>
          <w:tcPr>
            <w:tcW w:w="40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2023   </w:t>
            </w: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rPr>
              <w:t xml:space="preserve">2024   </w:t>
            </w:r>
          </w:p>
        </w:tc>
      </w:tr>
      <w:tr>
        <w:trPr>
          <w:trHeight w:val="155"/>
        </w:trPr>
        <w:tc>
          <w:tcPr>
            <w:tcW w:w="40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Book income before tax</w:t>
            </w:r>
          </w:p>
        </w:tc>
        <w:tc>
          <w:tcPr>
            <w:tcW w:w="4620" w:type="dxa"/>
            <w:vAlign w:val="bottom"/>
            <w:gridSpan w:val="2"/>
            <w:shd w:val="clear" w:color="auto" w:fill="CCEEFF"/>
          </w:tcPr>
          <w:p>
            <w:pPr>
              <w:ind w:left="44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75"/>
              <w:spacing w:after="0" w:line="202" w:lineRule="exact"/>
              <w:rPr>
                <w:sz w:val="20"/>
                <w:szCs w:val="20"/>
                <w:color w:val="auto"/>
              </w:rPr>
            </w:pPr>
            <w:r>
              <w:rPr>
                <w:rFonts w:ascii="Arial" w:cs="Arial" w:eastAsia="Arial" w:hAnsi="Arial"/>
                <w:sz w:val="18"/>
                <w:szCs w:val="18"/>
                <w:color w:val="auto"/>
              </w:rPr>
              <w:t>2,275</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53,936</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Federal tax at statutory rate</w:t>
            </w:r>
          </w:p>
        </w:tc>
        <w:tc>
          <w:tcPr>
            <w:tcW w:w="4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21.0%</w:t>
            </w:r>
          </w:p>
        </w:tc>
        <w:tc>
          <w:tcPr>
            <w:tcW w:w="5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21.0%</w:t>
            </w: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w:t>
            </w:r>
          </w:p>
        </w:tc>
        <w:tc>
          <w:tcPr>
            <w:tcW w:w="4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15"/>
              <w:spacing w:after="0" w:line="202" w:lineRule="exact"/>
              <w:rPr>
                <w:sz w:val="20"/>
                <w:szCs w:val="20"/>
                <w:color w:val="auto"/>
              </w:rPr>
            </w:pPr>
            <w:r>
              <w:rPr>
                <w:rFonts w:ascii="Arial" w:cs="Arial" w:eastAsia="Arial" w:hAnsi="Arial"/>
                <w:sz w:val="18"/>
                <w:szCs w:val="18"/>
                <w:color w:val="auto"/>
              </w:rPr>
              <w:t>5.3%</w:t>
            </w:r>
          </w:p>
        </w:tc>
        <w:tc>
          <w:tcPr>
            <w:tcW w:w="5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0.1%</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4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74.2%</w:t>
            </w:r>
          </w:p>
        </w:tc>
        <w:tc>
          <w:tcPr>
            <w:tcW w:w="5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-18.5%</w:t>
            </w: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taxes</w:t>
            </w:r>
          </w:p>
        </w:tc>
        <w:tc>
          <w:tcPr>
            <w:tcW w:w="4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15"/>
              <w:spacing w:after="0" w:line="202" w:lineRule="exact"/>
              <w:rPr>
                <w:sz w:val="20"/>
                <w:szCs w:val="20"/>
                <w:color w:val="auto"/>
              </w:rPr>
            </w:pPr>
            <w:r>
              <w:rPr>
                <w:rFonts w:ascii="Arial" w:cs="Arial" w:eastAsia="Arial" w:hAnsi="Arial"/>
                <w:sz w:val="18"/>
                <w:szCs w:val="18"/>
                <w:color w:val="auto"/>
              </w:rPr>
              <w:t>10.8%</w:t>
            </w:r>
          </w:p>
        </w:tc>
        <w:tc>
          <w:tcPr>
            <w:tcW w:w="5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Research and development credits</w:t>
            </w:r>
          </w:p>
        </w:tc>
        <w:tc>
          <w:tcPr>
            <w:tcW w:w="4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-97.4%</w:t>
            </w:r>
          </w:p>
        </w:tc>
        <w:tc>
          <w:tcPr>
            <w:tcW w:w="5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w:t>
            </w: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Non-deductible expenses and other</w:t>
            </w:r>
          </w:p>
        </w:tc>
        <w:tc>
          <w:tcPr>
            <w:tcW w:w="4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15"/>
              <w:spacing w:after="0" w:line="202" w:lineRule="exact"/>
              <w:rPr>
                <w:sz w:val="20"/>
                <w:szCs w:val="20"/>
                <w:color w:val="auto"/>
              </w:rPr>
            </w:pPr>
            <w:r>
              <w:rPr>
                <w:rFonts w:ascii="Arial" w:cs="Arial" w:eastAsia="Arial" w:hAnsi="Arial"/>
                <w:sz w:val="18"/>
                <w:szCs w:val="18"/>
                <w:color w:val="auto"/>
              </w:rPr>
              <w:t>0.0%</w:t>
            </w:r>
          </w:p>
        </w:tc>
        <w:tc>
          <w:tcPr>
            <w:tcW w:w="5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0.1%</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Prior year true ups</w:t>
            </w:r>
          </w:p>
        </w:tc>
        <w:tc>
          <w:tcPr>
            <w:tcW w:w="4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11.9%</w:t>
            </w:r>
          </w:p>
        </w:tc>
        <w:tc>
          <w:tcPr>
            <w:tcW w:w="5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w:t>
            </w: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expense</w:t>
            </w:r>
          </w:p>
        </w:tc>
        <w:tc>
          <w:tcPr>
            <w:tcW w:w="4620" w:type="dxa"/>
            <w:vAlign w:val="bottom"/>
            <w:gridSpan w:val="2"/>
            <w:shd w:val="clear" w:color="auto" w:fill="CCEEFF"/>
          </w:tcPr>
          <w:p>
            <w:pPr>
              <w:ind w:left="44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75"/>
              <w:spacing w:after="0" w:line="202" w:lineRule="exact"/>
              <w:rPr>
                <w:sz w:val="20"/>
                <w:szCs w:val="20"/>
                <w:color w:val="auto"/>
              </w:rPr>
            </w:pPr>
            <w:r>
              <w:rPr>
                <w:rFonts w:ascii="Arial" w:cs="Arial" w:eastAsia="Arial" w:hAnsi="Arial"/>
                <w:sz w:val="18"/>
                <w:szCs w:val="18"/>
                <w:color w:val="auto"/>
              </w:rPr>
              <w:t>586</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5,104</w:t>
            </w:r>
          </w:p>
        </w:tc>
      </w:tr>
      <w:tr>
        <w:trPr>
          <w:trHeight w:val="368"/>
        </w:trPr>
        <w:tc>
          <w:tcPr>
            <w:tcW w:w="4080" w:type="dxa"/>
            <w:vAlign w:val="bottom"/>
          </w:tcPr>
          <w:p>
            <w:pPr>
              <w:spacing w:after="0"/>
              <w:rPr>
                <w:sz w:val="24"/>
                <w:szCs w:val="24"/>
                <w:color w:val="auto"/>
              </w:rPr>
            </w:pPr>
          </w:p>
        </w:tc>
        <w:tc>
          <w:tcPr>
            <w:tcW w:w="4620" w:type="dxa"/>
            <w:vAlign w:val="bottom"/>
            <w:gridSpan w:val="2"/>
          </w:tcPr>
          <w:p>
            <w:pPr>
              <w:ind w:left="1240"/>
              <w:spacing w:after="0"/>
              <w:rPr>
                <w:sz w:val="20"/>
                <w:szCs w:val="20"/>
                <w:color w:val="auto"/>
              </w:rPr>
            </w:pPr>
            <w:r>
              <w:rPr>
                <w:rFonts w:ascii="Arial" w:cs="Arial" w:eastAsia="Arial" w:hAnsi="Arial"/>
                <w:sz w:val="18"/>
                <w:szCs w:val="18"/>
                <w:color w:val="auto"/>
              </w:rPr>
              <w:t>F-37</w:t>
            </w: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color w:val="auto"/>
        </w:rPr>
        <w:t>The tax effects of temporary differences giving rise to deferred income tax assets and liabilities as of December 31, 2023 and 2024 were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r>
      <w:tr>
        <w:trPr>
          <w:trHeight w:val="146"/>
        </w:trPr>
        <w:tc>
          <w:tcPr>
            <w:tcW w:w="8580" w:type="dxa"/>
            <w:vAlign w:val="bottom"/>
          </w:tcPr>
          <w:p>
            <w:pPr>
              <w:spacing w:after="0"/>
              <w:rPr>
                <w:sz w:val="12"/>
                <w:szCs w:val="12"/>
                <w:color w:val="auto"/>
              </w:rPr>
            </w:pPr>
          </w:p>
        </w:tc>
        <w:tc>
          <w:tcPr>
            <w:tcW w:w="2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 </w:t>
            </w:r>
          </w:p>
        </w:tc>
        <w:tc>
          <w:tcPr>
            <w:tcW w:w="920" w:type="dxa"/>
            <w:vAlign w:val="bottom"/>
            <w:tcBorders>
              <w:top w:val="single" w:sz="8" w:color="auto"/>
            </w:tcBorders>
            <w:gridSpan w:val="2"/>
          </w:tcPr>
          <w:p>
            <w:pPr>
              <w:jc w:val="right"/>
              <w:ind w:right="780"/>
              <w:spacing w:after="0" w:line="147" w:lineRule="exact"/>
              <w:rPr>
                <w:sz w:val="20"/>
                <w:szCs w:val="20"/>
                <w:color w:val="auto"/>
              </w:rPr>
            </w:pPr>
            <w:r>
              <w:rPr>
                <w:rFonts w:ascii="Arial" w:cs="Arial" w:eastAsia="Arial" w:hAnsi="Arial"/>
                <w:sz w:val="14"/>
                <w:szCs w:val="14"/>
                <w:b w:val="1"/>
                <w:bCs w:val="1"/>
                <w:color w:val="auto"/>
                <w:w w:val="85"/>
              </w:rPr>
              <w:t> </w:t>
            </w: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ind w:right="151"/>
              <w:spacing w:after="0" w:line="147" w:lineRule="exact"/>
              <w:rPr>
                <w:sz w:val="20"/>
                <w:szCs w:val="20"/>
                <w:color w:val="auto"/>
              </w:rPr>
            </w:pPr>
            <w:r>
              <w:rPr>
                <w:rFonts w:ascii="Arial" w:cs="Arial" w:eastAsia="Arial" w:hAnsi="Arial"/>
                <w:sz w:val="14"/>
                <w:szCs w:val="14"/>
                <w:b w:val="1"/>
                <w:bCs w:val="1"/>
                <w:color w:val="auto"/>
              </w:rPr>
              <w:t xml:space="preserve">   </w:t>
            </w:r>
          </w:p>
        </w:tc>
        <w:tc>
          <w:tcPr>
            <w:tcW w:w="120" w:type="dxa"/>
            <w:vAlign w:val="bottom"/>
          </w:tcPr>
          <w:p>
            <w:pPr>
              <w:spacing w:after="0"/>
              <w:rPr>
                <w:sz w:val="12"/>
                <w:szCs w:val="12"/>
                <w:color w:val="auto"/>
              </w:rPr>
            </w:pPr>
          </w:p>
        </w:tc>
      </w:tr>
      <w:tr>
        <w:trPr>
          <w:trHeight w:val="171"/>
        </w:trPr>
        <w:tc>
          <w:tcPr>
            <w:tcW w:w="8580" w:type="dxa"/>
            <w:vAlign w:val="bottom"/>
          </w:tcPr>
          <w:p>
            <w:pPr>
              <w:spacing w:after="0"/>
              <w:rPr>
                <w:sz w:val="14"/>
                <w:szCs w:val="14"/>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 xml:space="preserve">2023   </w:t>
            </w:r>
          </w:p>
        </w:tc>
        <w:tc>
          <w:tcPr>
            <w:tcW w:w="40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 xml:space="preserve">2024   </w:t>
            </w:r>
          </w:p>
        </w:tc>
      </w:tr>
      <w:tr>
        <w:trPr>
          <w:trHeight w:val="156"/>
        </w:trPr>
        <w:tc>
          <w:tcPr>
            <w:tcW w:w="85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580" w:type="dxa"/>
            <w:vAlign w:val="bottom"/>
          </w:tcPr>
          <w:p>
            <w:pPr>
              <w:ind w:left="360"/>
              <w:spacing w:after="0" w:line="202" w:lineRule="exact"/>
              <w:rPr>
                <w:sz w:val="20"/>
                <w:szCs w:val="20"/>
                <w:color w:val="auto"/>
              </w:rPr>
            </w:pPr>
            <w:r>
              <w:rPr>
                <w:rFonts w:ascii="Arial" w:cs="Arial" w:eastAsia="Arial" w:hAnsi="Arial"/>
                <w:sz w:val="18"/>
                <w:szCs w:val="18"/>
                <w:color w:val="auto"/>
              </w:rPr>
              <w:t>Accruals and reserves</w:t>
            </w:r>
          </w:p>
        </w:tc>
        <w:tc>
          <w:tcPr>
            <w:tcW w:w="260" w:type="dxa"/>
            <w:vAlign w:val="bottom"/>
          </w:tcPr>
          <w:p>
            <w:pPr>
              <w:jc w:val="right"/>
              <w:ind w:right="74"/>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180</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w:t>
            </w:r>
          </w:p>
        </w:tc>
      </w:tr>
      <w:tr>
        <w:trPr>
          <w:trHeight w:val="203"/>
        </w:trPr>
        <w:tc>
          <w:tcPr>
            <w:tcW w:w="8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operating loss carryforwards</w:t>
            </w:r>
          </w:p>
        </w:tc>
        <w:tc>
          <w:tcPr>
            <w:tcW w:w="118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41,539</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62,001</w:t>
            </w:r>
          </w:p>
        </w:tc>
      </w:tr>
      <w:tr>
        <w:trPr>
          <w:trHeight w:val="203"/>
        </w:trPr>
        <w:tc>
          <w:tcPr>
            <w:tcW w:w="8580" w:type="dxa"/>
            <w:vAlign w:val="bottom"/>
          </w:tcPr>
          <w:p>
            <w:pPr>
              <w:ind w:left="360"/>
              <w:spacing w:after="0" w:line="202" w:lineRule="exact"/>
              <w:rPr>
                <w:sz w:val="20"/>
                <w:szCs w:val="20"/>
                <w:color w:val="auto"/>
              </w:rPr>
            </w:pPr>
            <w:r>
              <w:rPr>
                <w:rFonts w:ascii="Arial" w:cs="Arial" w:eastAsia="Arial" w:hAnsi="Arial"/>
                <w:sz w:val="18"/>
                <w:szCs w:val="18"/>
                <w:color w:val="auto"/>
              </w:rPr>
              <w:t>Asset basis differences</w:t>
            </w:r>
          </w:p>
        </w:tc>
        <w:tc>
          <w:tcPr>
            <w:tcW w:w="260" w:type="dxa"/>
            <w:vAlign w:val="bottom"/>
          </w:tcPr>
          <w:p>
            <w:pPr>
              <w:spacing w:after="0"/>
              <w:rPr>
                <w:sz w:val="17"/>
                <w:szCs w:val="17"/>
                <w:color w:val="auto"/>
              </w:rPr>
            </w:pPr>
          </w:p>
        </w:tc>
        <w:tc>
          <w:tcPr>
            <w:tcW w:w="9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4,997</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7,358</w:t>
            </w:r>
          </w:p>
        </w:tc>
      </w:tr>
      <w:tr>
        <w:trPr>
          <w:trHeight w:val="203"/>
        </w:trPr>
        <w:tc>
          <w:tcPr>
            <w:tcW w:w="8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Lease liability</w:t>
            </w: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199</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670</w:t>
            </w:r>
          </w:p>
        </w:tc>
      </w:tr>
      <w:tr>
        <w:trPr>
          <w:trHeight w:val="203"/>
        </w:trPr>
        <w:tc>
          <w:tcPr>
            <w:tcW w:w="8580" w:type="dxa"/>
            <w:vAlign w:val="bottom"/>
          </w:tcPr>
          <w:p>
            <w:pPr>
              <w:ind w:left="360"/>
              <w:spacing w:after="0" w:line="202" w:lineRule="exact"/>
              <w:rPr>
                <w:sz w:val="20"/>
                <w:szCs w:val="20"/>
                <w:color w:val="auto"/>
              </w:rPr>
            </w:pPr>
            <w:r>
              <w:rPr>
                <w:rFonts w:ascii="Arial" w:cs="Arial" w:eastAsia="Arial" w:hAnsi="Arial"/>
                <w:sz w:val="18"/>
                <w:szCs w:val="18"/>
                <w:color w:val="auto"/>
              </w:rPr>
              <w:t>Settlements</w:t>
            </w:r>
          </w:p>
        </w:tc>
        <w:tc>
          <w:tcPr>
            <w:tcW w:w="260" w:type="dxa"/>
            <w:vAlign w:val="bottom"/>
          </w:tcPr>
          <w:p>
            <w:pPr>
              <w:spacing w:after="0"/>
              <w:rPr>
                <w:sz w:val="17"/>
                <w:szCs w:val="17"/>
                <w:color w:val="auto"/>
              </w:rPr>
            </w:pPr>
          </w:p>
        </w:tc>
        <w:tc>
          <w:tcPr>
            <w:tcW w:w="9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862</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577</w:t>
            </w:r>
          </w:p>
        </w:tc>
      </w:tr>
      <w:tr>
        <w:trPr>
          <w:trHeight w:val="203"/>
        </w:trPr>
        <w:tc>
          <w:tcPr>
            <w:tcW w:w="8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Credit carryforwards</w:t>
            </w: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3,435</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2,480</w:t>
            </w:r>
          </w:p>
        </w:tc>
      </w:tr>
      <w:tr>
        <w:trPr>
          <w:trHeight w:val="209"/>
        </w:trPr>
        <w:tc>
          <w:tcPr>
            <w:tcW w:w="8580" w:type="dxa"/>
            <w:vAlign w:val="bottom"/>
          </w:tcPr>
          <w:p>
            <w:pPr>
              <w:ind w:left="360"/>
              <w:spacing w:after="0" w:line="202" w:lineRule="exact"/>
              <w:rPr>
                <w:sz w:val="20"/>
                <w:szCs w:val="20"/>
                <w:color w:val="auto"/>
              </w:rPr>
            </w:pPr>
            <w:r>
              <w:rPr>
                <w:rFonts w:ascii="Arial" w:cs="Arial" w:eastAsia="Arial" w:hAnsi="Arial"/>
                <w:sz w:val="18"/>
                <w:szCs w:val="18"/>
                <w:color w:val="auto"/>
              </w:rPr>
              <w:t>Equity based compensation</w:t>
            </w:r>
          </w:p>
        </w:tc>
        <w:tc>
          <w:tcPr>
            <w:tcW w:w="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2,092</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2,794</w:t>
            </w:r>
          </w:p>
        </w:tc>
        <w:tc>
          <w:tcPr>
            <w:tcW w:w="120" w:type="dxa"/>
            <w:vAlign w:val="bottom"/>
          </w:tcPr>
          <w:p>
            <w:pPr>
              <w:spacing w:after="0"/>
              <w:rPr>
                <w:sz w:val="18"/>
                <w:szCs w:val="18"/>
                <w:color w:val="auto"/>
              </w:rPr>
            </w:pPr>
          </w:p>
        </w:tc>
      </w:tr>
      <w:tr>
        <w:trPr>
          <w:trHeight w:val="203"/>
        </w:trPr>
        <w:tc>
          <w:tcPr>
            <w:tcW w:w="85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53,304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75,901</w:t>
            </w:r>
          </w:p>
        </w:tc>
      </w:tr>
      <w:tr>
        <w:trPr>
          <w:trHeight w:val="209"/>
        </w:trPr>
        <w:tc>
          <w:tcPr>
            <w:tcW w:w="858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118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(50,302)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(39,699)</w:t>
            </w: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 net of valuation allowance</w:t>
            </w:r>
          </w:p>
        </w:tc>
        <w:tc>
          <w:tcPr>
            <w:tcW w:w="2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3,002</w:t>
            </w: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36,202</w:t>
            </w:r>
          </w:p>
        </w:tc>
        <w:tc>
          <w:tcPr>
            <w:tcW w:w="120" w:type="dxa"/>
            <w:vAlign w:val="bottom"/>
            <w:shd w:val="clear" w:color="auto" w:fill="CCEEFF"/>
          </w:tcPr>
          <w:p>
            <w:pPr>
              <w:spacing w:after="0"/>
              <w:rPr>
                <w:sz w:val="17"/>
                <w:szCs w:val="17"/>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prepaids</w:t>
            </w: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(352)</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(432)</w:t>
            </w:r>
          </w:p>
        </w:tc>
      </w:tr>
      <w:tr>
        <w:trPr>
          <w:trHeight w:val="203"/>
        </w:trPr>
        <w:tc>
          <w:tcPr>
            <w:tcW w:w="8580" w:type="dxa"/>
            <w:vAlign w:val="bottom"/>
          </w:tcPr>
          <w:p>
            <w:pPr>
              <w:ind w:left="360"/>
              <w:spacing w:after="0" w:line="202" w:lineRule="exact"/>
              <w:rPr>
                <w:sz w:val="20"/>
                <w:szCs w:val="20"/>
                <w:color w:val="auto"/>
              </w:rPr>
            </w:pPr>
            <w:r>
              <w:rPr>
                <w:rFonts w:ascii="Arial" w:cs="Arial" w:eastAsia="Arial" w:hAnsi="Arial"/>
                <w:sz w:val="18"/>
                <w:szCs w:val="18"/>
                <w:color w:val="auto"/>
              </w:rPr>
              <w:t>Right-of-use asset</w:t>
            </w:r>
          </w:p>
        </w:tc>
        <w:tc>
          <w:tcPr>
            <w:tcW w:w="260" w:type="dxa"/>
            <w:vAlign w:val="bottom"/>
          </w:tcPr>
          <w:p>
            <w:pPr>
              <w:spacing w:after="0"/>
              <w:rPr>
                <w:sz w:val="17"/>
                <w:szCs w:val="17"/>
                <w:color w:val="auto"/>
              </w:rPr>
            </w:pPr>
          </w:p>
        </w:tc>
        <w:tc>
          <w:tcPr>
            <w:tcW w:w="9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(190)</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(650)</w:t>
            </w:r>
          </w:p>
        </w:tc>
      </w:tr>
      <w:tr>
        <w:trPr>
          <w:trHeight w:val="203"/>
        </w:trPr>
        <w:tc>
          <w:tcPr>
            <w:tcW w:w="8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Commission receivable</w:t>
            </w:r>
          </w:p>
        </w:tc>
        <w:tc>
          <w:tcPr>
            <w:tcW w:w="118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(2,460)</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(39,027)</w:t>
            </w:r>
          </w:p>
        </w:tc>
      </w:tr>
      <w:tr>
        <w:trPr>
          <w:trHeight w:val="217"/>
        </w:trPr>
        <w:tc>
          <w:tcPr>
            <w:tcW w:w="858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(3,002)</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(40,109)</w:t>
            </w:r>
          </w:p>
        </w:tc>
        <w:tc>
          <w:tcPr>
            <w:tcW w:w="120" w:type="dxa"/>
            <w:vAlign w:val="bottom"/>
          </w:tcPr>
          <w:p>
            <w:pPr>
              <w:spacing w:after="0"/>
              <w:rPr>
                <w:sz w:val="18"/>
                <w:szCs w:val="18"/>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liabilities</w:t>
            </w:r>
          </w:p>
        </w:tc>
        <w:tc>
          <w:tcPr>
            <w:tcW w:w="2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(3,907)</w:t>
            </w:r>
          </w:p>
        </w:tc>
      </w:tr>
      <w:tr>
        <w:trPr>
          <w:trHeight w:val="20"/>
        </w:trPr>
        <w:tc>
          <w:tcPr>
            <w:tcW w:w="8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Company records a valuation allowance to reduce deferred tax assets to the amount management believes is more likely than not to be realized. The utilization of deferred tax assets is limited by the amount of taxable income expected to be generated within the allowable carryforward period and other factors. Management also considers the scheduled reversal of deferred tax liabilities, projected future taxable income, and tax planning strategies in making this assessment. The net increase in the total valuation allowance for the year ending December 31, 2023 was $1,270, primarily from net operating losses generated. The net decrease in the total valuation allowance for the year ending December 31, 2024 is $10,603, primarily from changes in temporary differences as well as the generation of research and development credits.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the following tax loss and credit carryforwards as of December 31, 2023 and 2024:</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Beginning</w:t>
            </w:r>
          </w:p>
        </w:tc>
      </w:tr>
      <w:tr>
        <w:trPr>
          <w:trHeight w:val="162"/>
        </w:trPr>
        <w:tc>
          <w:tcPr>
            <w:tcW w:w="4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 of</w:t>
            </w:r>
          </w:p>
        </w:tc>
      </w:tr>
      <w:tr>
        <w:trPr>
          <w:trHeight w:val="171"/>
        </w:trPr>
        <w:tc>
          <w:tcPr>
            <w:tcW w:w="4300" w:type="dxa"/>
            <w:vAlign w:val="bottom"/>
          </w:tcPr>
          <w:p>
            <w:pPr>
              <w:spacing w:after="0"/>
              <w:rPr>
                <w:sz w:val="14"/>
                <w:szCs w:val="14"/>
                <w:color w:val="auto"/>
              </w:rPr>
            </w:pPr>
          </w:p>
        </w:tc>
        <w:tc>
          <w:tcPr>
            <w:tcW w:w="548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Expiration</w:t>
            </w:r>
          </w:p>
        </w:tc>
      </w:tr>
      <w:tr>
        <w:trPr>
          <w:trHeight w:val="155"/>
        </w:trPr>
        <w:tc>
          <w:tcPr>
            <w:tcW w:w="43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0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federal loss carryforwards</w:t>
            </w:r>
          </w:p>
        </w:tc>
        <w:tc>
          <w:tcPr>
            <w:tcW w:w="586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   173,783</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2036</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U.S. state and local loss carryforwards</w:t>
            </w:r>
          </w:p>
        </w:tc>
        <w:tc>
          <w:tcPr>
            <w:tcW w:w="586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121,637</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2030</w:t>
            </w: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research and development credit</w:t>
            </w:r>
          </w:p>
        </w:tc>
        <w:tc>
          <w:tcPr>
            <w:tcW w:w="586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4,966</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2037</w:t>
            </w:r>
          </w:p>
        </w:tc>
      </w:tr>
      <w:tr>
        <w:trPr>
          <w:trHeight w:val="239"/>
        </w:trPr>
        <w:tc>
          <w:tcPr>
            <w:tcW w:w="4300" w:type="dxa"/>
            <w:vAlign w:val="bottom"/>
          </w:tcPr>
          <w:p>
            <w:pPr>
              <w:spacing w:after="0"/>
              <w:rPr>
                <w:sz w:val="20"/>
                <w:szCs w:val="20"/>
                <w:color w:val="auto"/>
              </w:rPr>
            </w:pPr>
            <w:r>
              <w:rPr>
                <w:rFonts w:ascii="Arial" w:cs="Arial" w:eastAsia="Arial" w:hAnsi="Arial"/>
                <w:sz w:val="18"/>
                <w:szCs w:val="18"/>
                <w:color w:val="auto"/>
              </w:rPr>
              <w:t>State research and development credit</w:t>
            </w:r>
          </w:p>
        </w:tc>
        <w:tc>
          <w:tcPr>
            <w:tcW w:w="5860" w:type="dxa"/>
            <w:vAlign w:val="bottom"/>
            <w:gridSpan w:val="3"/>
          </w:tcPr>
          <w:p>
            <w:pPr>
              <w:jc w:val="right"/>
              <w:ind w:right="380"/>
              <w:spacing w:after="0"/>
              <w:rPr>
                <w:sz w:val="20"/>
                <w:szCs w:val="20"/>
                <w:color w:val="auto"/>
              </w:rPr>
            </w:pPr>
            <w:r>
              <w:rPr>
                <w:rFonts w:ascii="Arial" w:cs="Arial" w:eastAsia="Arial" w:hAnsi="Arial"/>
                <w:sz w:val="18"/>
                <w:szCs w:val="18"/>
                <w:color w:val="auto"/>
              </w:rPr>
              <w:t>1,801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Indefinite</w:t>
            </w:r>
          </w:p>
        </w:tc>
      </w:tr>
      <w:tr>
        <w:trPr>
          <w:trHeight w:val="332"/>
        </w:trPr>
        <w:tc>
          <w:tcPr>
            <w:tcW w:w="4300" w:type="dxa"/>
            <w:vAlign w:val="bottom"/>
          </w:tcPr>
          <w:p>
            <w:pPr>
              <w:spacing w:after="0"/>
              <w:rPr>
                <w:sz w:val="24"/>
                <w:szCs w:val="24"/>
                <w:color w:val="auto"/>
              </w:rPr>
            </w:pPr>
          </w:p>
        </w:tc>
        <w:tc>
          <w:tcPr>
            <w:tcW w:w="5860" w:type="dxa"/>
            <w:vAlign w:val="bottom"/>
            <w:gridSpan w:val="3"/>
          </w:tcPr>
          <w:p>
            <w:pPr>
              <w:jc w:val="right"/>
              <w:ind w:right="4480"/>
              <w:spacing w:after="0"/>
              <w:rPr>
                <w:sz w:val="20"/>
                <w:szCs w:val="20"/>
                <w:color w:val="auto"/>
              </w:rPr>
            </w:pPr>
            <w:r>
              <w:rPr>
                <w:rFonts w:ascii="Arial" w:cs="Arial" w:eastAsia="Arial" w:hAnsi="Arial"/>
                <w:sz w:val="18"/>
                <w:szCs w:val="18"/>
                <w:color w:val="auto"/>
              </w:rPr>
              <w:t>F-38</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Beginning</w:t>
            </w:r>
          </w:p>
        </w:tc>
      </w:tr>
      <w:tr>
        <w:trPr>
          <w:trHeight w:val="162"/>
        </w:trPr>
        <w:tc>
          <w:tcPr>
            <w:tcW w:w="8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of</w:t>
            </w:r>
          </w:p>
        </w:tc>
      </w:tr>
      <w:tr>
        <w:trPr>
          <w:trHeight w:val="171"/>
        </w:trPr>
        <w:tc>
          <w:tcPr>
            <w:tcW w:w="8680" w:type="dxa"/>
            <w:vAlign w:val="bottom"/>
          </w:tcPr>
          <w:p>
            <w:pPr>
              <w:spacing w:after="0"/>
              <w:rPr>
                <w:sz w:val="14"/>
                <w:szCs w:val="14"/>
                <w:color w:val="auto"/>
              </w:rPr>
            </w:pPr>
          </w:p>
        </w:tc>
        <w:tc>
          <w:tcPr>
            <w:tcW w:w="1100" w:type="dxa"/>
            <w:vAlign w:val="bottom"/>
          </w:tcPr>
          <w:p>
            <w:pPr>
              <w:jc w:val="right"/>
              <w:ind w:right="296"/>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Expiration</w:t>
            </w:r>
          </w:p>
        </w:tc>
      </w:tr>
      <w:tr>
        <w:trPr>
          <w:trHeight w:val="156"/>
        </w:trPr>
        <w:tc>
          <w:tcPr>
            <w:tcW w:w="8680" w:type="dxa"/>
            <w:vAlign w:val="bottom"/>
          </w:tcPr>
          <w:p>
            <w:pPr>
              <w:spacing w:after="0"/>
              <w:rPr>
                <w:sz w:val="13"/>
                <w:szCs w:val="13"/>
                <w:color w:val="auto"/>
              </w:rPr>
            </w:pPr>
          </w:p>
        </w:tc>
        <w:tc>
          <w:tcPr>
            <w:tcW w:w="11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federal loss carryforwards</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     255,959</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2036</w:t>
            </w: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U.S. state and local loss carryforwards</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146,636</w:t>
            </w: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2030</w:t>
            </w: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research and development credit</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3,653</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2037</w:t>
            </w:r>
          </w:p>
        </w:tc>
      </w:tr>
      <w:tr>
        <w:trPr>
          <w:trHeight w:val="239"/>
        </w:trPr>
        <w:tc>
          <w:tcPr>
            <w:tcW w:w="8680" w:type="dxa"/>
            <w:vAlign w:val="bottom"/>
          </w:tcPr>
          <w:p>
            <w:pPr>
              <w:spacing w:after="0"/>
              <w:rPr>
                <w:sz w:val="20"/>
                <w:szCs w:val="20"/>
                <w:color w:val="auto"/>
              </w:rPr>
            </w:pPr>
            <w:r>
              <w:rPr>
                <w:rFonts w:ascii="Arial" w:cs="Arial" w:eastAsia="Arial" w:hAnsi="Arial"/>
                <w:sz w:val="18"/>
                <w:szCs w:val="18"/>
                <w:color w:val="auto"/>
              </w:rPr>
              <w:t>State research and development credit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1,778</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Indefinite</w:t>
            </w:r>
          </w:p>
        </w:tc>
      </w:tr>
    </w:tbl>
    <w:p>
      <w:pPr>
        <w:spacing w:after="0" w:line="161"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18"/>
          <w:szCs w:val="18"/>
          <w:color w:val="auto"/>
        </w:rPr>
        <w:t>Certain tax attributes are subject to an annual limitation under Internal Revenue Code Section 382 due to changes in ownership. As a result, $2,600 of gross net operating losses and $1,200 of research and development credits are expected to expire.</w:t>
      </w:r>
    </w:p>
    <w:p>
      <w:pPr>
        <w:spacing w:after="0" w:line="154"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color w:val="auto"/>
        </w:rPr>
        <w:t>The Company’s tax returns are subject to the normal statute of limitations, three years from the filing date for federal income tax purposes. The federal and state statute of limitations generally remain open for years in which tax losses are generated until three years from the year those losses are utilized. Under these rules, the 2016 and later year NOLs of Ethos Technologies Inc. are still subject to audit by the IRS and state and local jurisdictions. The December 31, 2021 and later period Singapore returns of Ethos Singapore Pte Ltd. are subject to exam by the Singapore tax authorities.</w:t>
      </w:r>
    </w:p>
    <w:p>
      <w:pPr>
        <w:spacing w:after="0" w:line="176" w:lineRule="exact"/>
        <w:rPr>
          <w:sz w:val="20"/>
          <w:szCs w:val="20"/>
          <w:color w:val="auto"/>
        </w:rPr>
      </w:pPr>
    </w:p>
    <w:p>
      <w:pPr>
        <w:ind w:left="120" w:right="220" w:firstLine="551"/>
        <w:spacing w:after="0" w:line="271" w:lineRule="auto"/>
        <w:rPr>
          <w:sz w:val="20"/>
          <w:szCs w:val="20"/>
          <w:color w:val="auto"/>
        </w:rPr>
      </w:pPr>
      <w:r>
        <w:rPr>
          <w:rFonts w:ascii="Arial" w:cs="Arial" w:eastAsia="Arial" w:hAnsi="Arial"/>
          <w:sz w:val="18"/>
          <w:szCs w:val="18"/>
          <w:color w:val="auto"/>
        </w:rPr>
        <w:t>The following table summarizes the Company’s unrecognized tax benefit activity during the years ended December 31, 2023 and 2024, excluding the related accrual for interest:</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rPr>
              <w:t>Year Ended December 31,</w:t>
            </w:r>
          </w:p>
        </w:tc>
      </w:tr>
      <w:tr>
        <w:trPr>
          <w:trHeight w:val="146"/>
        </w:trPr>
        <w:tc>
          <w:tcPr>
            <w:tcW w:w="8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280"/>
              <w:spacing w:after="0" w:line="147" w:lineRule="exact"/>
              <w:rPr>
                <w:sz w:val="20"/>
                <w:szCs w:val="20"/>
                <w:color w:val="auto"/>
              </w:rPr>
            </w:pPr>
            <w:r>
              <w:rPr>
                <w:rFonts w:ascii="Arial" w:cs="Arial" w:eastAsia="Arial" w:hAnsi="Arial"/>
                <w:sz w:val="14"/>
                <w:szCs w:val="14"/>
                <w:b w:val="1"/>
                <w:bCs w:val="1"/>
                <w:color w:val="auto"/>
              </w:rPr>
              <w:t xml:space="preserve">   </w:t>
            </w: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94"/>
              <w:spacing w:after="0" w:line="147" w:lineRule="exact"/>
              <w:rPr>
                <w:sz w:val="20"/>
                <w:szCs w:val="20"/>
                <w:color w:val="auto"/>
              </w:rPr>
            </w:pPr>
            <w:r>
              <w:rPr>
                <w:rFonts w:ascii="Arial" w:cs="Arial" w:eastAsia="Arial" w:hAnsi="Arial"/>
                <w:sz w:val="14"/>
                <w:szCs w:val="14"/>
                <w:b w:val="1"/>
                <w:bCs w:val="1"/>
                <w:color w:val="auto"/>
              </w:rPr>
              <w:t xml:space="preserve">   </w:t>
            </w:r>
          </w:p>
        </w:tc>
        <w:tc>
          <w:tcPr>
            <w:tcW w:w="120" w:type="dxa"/>
            <w:vAlign w:val="bottom"/>
          </w:tcPr>
          <w:p>
            <w:pPr>
              <w:spacing w:after="0"/>
              <w:rPr>
                <w:sz w:val="12"/>
                <w:szCs w:val="12"/>
                <w:color w:val="auto"/>
              </w:rPr>
            </w:pPr>
          </w:p>
        </w:tc>
      </w:tr>
      <w:tr>
        <w:trPr>
          <w:trHeight w:val="171"/>
        </w:trPr>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2023   </w:t>
            </w:r>
          </w:p>
        </w:tc>
        <w:tc>
          <w:tcPr>
            <w:tcW w:w="68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2024   </w:t>
            </w:r>
          </w:p>
        </w:tc>
      </w:tr>
      <w:tr>
        <w:trPr>
          <w:trHeight w:val="156"/>
        </w:trPr>
        <w:tc>
          <w:tcPr>
            <w:tcW w:w="8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4"/>
          </w:tcPr>
          <w:p>
            <w:pPr>
              <w:jc w:val="center"/>
              <w:ind w:left="256"/>
              <w:spacing w:after="0" w:line="155" w:lineRule="exact"/>
              <w:rPr>
                <w:sz w:val="20"/>
                <w:szCs w:val="20"/>
                <w:color w:val="auto"/>
              </w:rPr>
            </w:pPr>
            <w:r>
              <w:rPr>
                <w:rFonts w:ascii="Arial" w:cs="Arial" w:eastAsia="Arial" w:hAnsi="Arial"/>
                <w:sz w:val="14"/>
                <w:szCs w:val="14"/>
                <w:b w:val="1"/>
                <w:bCs w:val="1"/>
                <w:color w:val="auto"/>
              </w:rPr>
              <w:t>(in thousands)</w:t>
            </w: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260</w:t>
            </w:r>
          </w:p>
        </w:tc>
        <w:tc>
          <w:tcPr>
            <w:tcW w:w="84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3,383</w:t>
            </w:r>
          </w:p>
        </w:tc>
      </w:tr>
      <w:tr>
        <w:trPr>
          <w:trHeight w:val="203"/>
        </w:trPr>
        <w:tc>
          <w:tcPr>
            <w:tcW w:w="8940" w:type="dxa"/>
            <w:vAlign w:val="bottom"/>
          </w:tcPr>
          <w:p>
            <w:pPr>
              <w:ind w:left="360"/>
              <w:spacing w:after="0" w:line="202" w:lineRule="exact"/>
              <w:rPr>
                <w:sz w:val="20"/>
                <w:szCs w:val="20"/>
                <w:color w:val="auto"/>
              </w:rPr>
            </w:pPr>
            <w:r>
              <w:rPr>
                <w:rFonts w:ascii="Arial" w:cs="Arial" w:eastAsia="Arial" w:hAnsi="Arial"/>
                <w:sz w:val="18"/>
                <w:szCs w:val="18"/>
                <w:color w:val="auto"/>
              </w:rPr>
              <w:t>Additions (reductions) for tax positions taken in prior years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1,956</w:t>
            </w:r>
          </w:p>
        </w:tc>
        <w:tc>
          <w:tcPr>
            <w:tcW w:w="84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(515)</w:t>
            </w:r>
          </w:p>
        </w:tc>
      </w:tr>
      <w:tr>
        <w:trPr>
          <w:trHeight w:val="203"/>
        </w:trPr>
        <w:tc>
          <w:tcPr>
            <w:tcW w:w="8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Additions for tax positions taken in the current year</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1,167</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134</w:t>
            </w:r>
          </w:p>
        </w:tc>
      </w:tr>
      <w:tr>
        <w:trPr>
          <w:trHeight w:val="209"/>
        </w:trPr>
        <w:tc>
          <w:tcPr>
            <w:tcW w:w="89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3,383</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3,002</w:t>
            </w:r>
          </w:p>
        </w:tc>
        <w:tc>
          <w:tcPr>
            <w:tcW w:w="120" w:type="dxa"/>
            <w:vAlign w:val="bottom"/>
          </w:tcPr>
          <w:p>
            <w:pPr>
              <w:spacing w:after="0"/>
              <w:rPr>
                <w:sz w:val="18"/>
                <w:szCs w:val="18"/>
                <w:color w:val="auto"/>
              </w:rPr>
            </w:pPr>
          </w:p>
        </w:tc>
      </w:tr>
      <w:tr>
        <w:trPr>
          <w:trHeight w:val="20"/>
        </w:trPr>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160" w:firstLine="551"/>
        <w:spacing w:after="0" w:line="244" w:lineRule="auto"/>
        <w:rPr>
          <w:sz w:val="20"/>
          <w:szCs w:val="20"/>
          <w:color w:val="auto"/>
        </w:rPr>
      </w:pPr>
      <w:r>
        <w:rPr>
          <w:rFonts w:ascii="Arial" w:cs="Arial" w:eastAsia="Arial" w:hAnsi="Arial"/>
          <w:sz w:val="18"/>
          <w:szCs w:val="18"/>
          <w:color w:val="auto"/>
        </w:rPr>
        <w:t>The Company records interest and penalties, if any, as a component of its income tax expense in the consolidated statements of operations and comprehensive income (loss). No interest expense or penalties were recognized during the years ended December 31, 2023 and 2024 and the nine months ended September 30, 2024 and 2025 (unaudited). There are no positions for which it is reasonably possible that the total amounts of unrecognized tax benefits will significantly increase or decrease within 12 months of the reporting date. None of the unrecognized tax benefits would affect the effective tax rate if reversed due to the valuation allowance.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Net Income Per Share Attributable to Common Stockholders</w:t>
      </w:r>
    </w:p>
    <w:p>
      <w:pPr>
        <w:spacing w:after="0" w:line="104"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Basic earnings per share is computed by dividing net income attributable to common stockholders by the weighted-average number of common shares outstanding during the period without consideration for common stock equivalents. Diluted net income per share attributable to common stockholders is computed by dividing net income by the weighted-average number of common shares outstanding during the period and potentially dilutive common stock equivalents. For periods of net loss, basic and diluted earnings per share are the same as the effect of potential common stock is anti-dilutive.</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ETHOS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denominator used in the calculation of basic and diluted earnings per share is as follows (in thousands):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20" w:type="dxa"/>
            <w:vAlign w:val="bottom"/>
            <w:gridSpan w:val="7"/>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r>
      <w:tr>
        <w:trPr>
          <w:trHeight w:val="146"/>
        </w:trPr>
        <w:tc>
          <w:tcPr>
            <w:tcW w:w="5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rPr>
              <w:t xml:space="preserve">   </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ind w:right="131"/>
              <w:spacing w:after="0" w:line="147" w:lineRule="exact"/>
              <w:rPr>
                <w:sz w:val="20"/>
                <w:szCs w:val="20"/>
                <w:color w:val="auto"/>
              </w:rPr>
            </w:pPr>
            <w:r>
              <w:rPr>
                <w:rFonts w:ascii="Arial" w:cs="Arial" w:eastAsia="Arial" w:hAnsi="Arial"/>
                <w:sz w:val="14"/>
                <w:szCs w:val="14"/>
                <w:b w:val="1"/>
                <w:bCs w:val="1"/>
                <w:color w:val="auto"/>
              </w:rPr>
              <w:t xml:space="preserve">   </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5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 xml:space="preserve">2023   </w:t>
            </w:r>
          </w:p>
        </w:tc>
        <w:tc>
          <w:tcPr>
            <w:tcW w:w="400" w:type="dxa"/>
            <w:vAlign w:val="bottom"/>
          </w:tcPr>
          <w:p>
            <w:pPr>
              <w:spacing w:after="0"/>
              <w:rPr>
                <w:sz w:val="14"/>
                <w:szCs w:val="14"/>
                <w:color w:val="auto"/>
              </w:rPr>
            </w:pPr>
          </w:p>
        </w:tc>
        <w:tc>
          <w:tcPr>
            <w:tcW w:w="9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 xml:space="preserve">2024   </w:t>
            </w:r>
          </w:p>
        </w:tc>
        <w:tc>
          <w:tcPr>
            <w:tcW w:w="2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w w:val="99"/>
              </w:rPr>
              <w:t> </w:t>
            </w: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  2024   </w:t>
            </w:r>
          </w:p>
        </w:tc>
        <w:tc>
          <w:tcPr>
            <w:tcW w:w="1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    2025   </w:t>
            </w:r>
          </w:p>
        </w:tc>
      </w:tr>
      <w:tr>
        <w:trPr>
          <w:trHeight w:val="187"/>
        </w:trPr>
        <w:tc>
          <w:tcPr>
            <w:tcW w:w="5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0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71"/>
        </w:trPr>
        <w:tc>
          <w:tcPr>
            <w:tcW w:w="5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80" w:type="dxa"/>
            <w:vAlign w:val="bottom"/>
            <w:gridSpan w:val="9"/>
          </w:tcPr>
          <w:p>
            <w:pPr>
              <w:jc w:val="right"/>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net income per share: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84"/>
        </w:trPr>
        <w:tc>
          <w:tcPr>
            <w:tcW w:w="5160" w:type="dxa"/>
            <w:vAlign w:val="bottom"/>
          </w:tcPr>
          <w:p>
            <w:pPr>
              <w:ind w:left="360"/>
              <w:spacing w:after="0" w:line="183" w:lineRule="exact"/>
              <w:rPr>
                <w:sz w:val="20"/>
                <w:szCs w:val="20"/>
                <w:color w:val="auto"/>
              </w:rPr>
            </w:pPr>
            <w:r>
              <w:rPr>
                <w:rFonts w:ascii="Arial" w:cs="Arial" w:eastAsia="Arial" w:hAnsi="Arial"/>
                <w:sz w:val="18"/>
                <w:szCs w:val="18"/>
                <w:color w:val="auto"/>
              </w:rPr>
              <w:t>Net income attributable to common stockholders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1"/>
        </w:trPr>
        <w:tc>
          <w:tcPr>
            <w:tcW w:w="5160" w:type="dxa"/>
            <w:vAlign w:val="bottom"/>
          </w:tcPr>
          <w:p>
            <w:pPr>
              <w:ind w:left="540"/>
              <w:spacing w:after="0"/>
              <w:rPr>
                <w:sz w:val="20"/>
                <w:szCs w:val="20"/>
                <w:color w:val="auto"/>
              </w:rPr>
            </w:pPr>
            <w:r>
              <w:rPr>
                <w:rFonts w:ascii="Arial" w:cs="Arial" w:eastAsia="Arial" w:hAnsi="Arial"/>
                <w:sz w:val="18"/>
                <w:szCs w:val="18"/>
                <w:color w:val="auto"/>
              </w:rPr>
              <w:t>(numerator)</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1,689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48,832</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39,284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46,590</w:t>
            </w:r>
          </w:p>
        </w:tc>
      </w:tr>
      <w:tr>
        <w:trPr>
          <w:trHeight w:val="203"/>
        </w:trPr>
        <w:tc>
          <w:tcPr>
            <w:tcW w:w="5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Less: Net income attributable to participating securities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7"/>
        </w:trPr>
        <w:tc>
          <w:tcPr>
            <w:tcW w:w="5160" w:type="dxa"/>
            <w:vAlign w:val="bottom"/>
          </w:tcPr>
          <w:p>
            <w:pPr>
              <w:ind w:left="360"/>
              <w:spacing w:after="0"/>
              <w:rPr>
                <w:sz w:val="20"/>
                <w:szCs w:val="20"/>
                <w:color w:val="auto"/>
              </w:rPr>
            </w:pPr>
            <w:r>
              <w:rPr>
                <w:rFonts w:ascii="Arial" w:cs="Arial" w:eastAsia="Arial" w:hAnsi="Arial"/>
                <w:sz w:val="18"/>
                <w:szCs w:val="18"/>
                <w:color w:val="auto"/>
              </w:rPr>
              <w:t>Net income attributable to common stockholders</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48,832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39,284</w:t>
            </w:r>
          </w:p>
        </w:tc>
        <w:tc>
          <w:tcPr>
            <w:tcW w:w="6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46,590</w:t>
            </w:r>
          </w:p>
        </w:tc>
        <w:tc>
          <w:tcPr>
            <w:tcW w:w="60" w:type="dxa"/>
            <w:vAlign w:val="bottom"/>
          </w:tcPr>
          <w:p>
            <w:pPr>
              <w:spacing w:after="0"/>
              <w:rPr>
                <w:sz w:val="18"/>
                <w:szCs w:val="18"/>
                <w:color w:val="auto"/>
              </w:rPr>
            </w:pPr>
          </w:p>
        </w:tc>
      </w:tr>
      <w:tr>
        <w:trPr>
          <w:trHeight w:val="203"/>
        </w:trPr>
        <w:tc>
          <w:tcPr>
            <w:tcW w:w="5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Shares used in computation (denominator):</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160" w:type="dxa"/>
            <w:vAlign w:val="bottom"/>
          </w:tcPr>
          <w:p>
            <w:pPr>
              <w:ind w:left="360"/>
              <w:spacing w:after="0" w:line="202" w:lineRule="exact"/>
              <w:rPr>
                <w:sz w:val="20"/>
                <w:szCs w:val="20"/>
                <w:color w:val="auto"/>
              </w:rPr>
            </w:pPr>
            <w:r>
              <w:rPr>
                <w:rFonts w:ascii="Arial" w:cs="Arial" w:eastAsia="Arial" w:hAnsi="Arial"/>
                <w:sz w:val="18"/>
                <w:szCs w:val="18"/>
                <w:color w:val="auto"/>
              </w:rPr>
              <w:t>Weighted-average common shares outstanding</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8"/>
              </w:rPr>
              <w:t>15,926</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8"/>
              </w:rPr>
              <w:t>16,007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15,999</w:t>
            </w:r>
          </w:p>
        </w:tc>
        <w:tc>
          <w:tcPr>
            <w:tcW w:w="12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16,453</w:t>
            </w:r>
          </w:p>
        </w:tc>
      </w:tr>
      <w:tr>
        <w:trPr>
          <w:trHeight w:val="27"/>
        </w:trPr>
        <w:tc>
          <w:tcPr>
            <w:tcW w:w="5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net income per share</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0.11</w:t>
            </w: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3.05</w:t>
            </w:r>
          </w:p>
        </w:tc>
        <w:tc>
          <w:tcPr>
            <w:tcW w:w="48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2.83</w:t>
            </w:r>
          </w:p>
        </w:tc>
      </w:tr>
      <w:tr>
        <w:trPr>
          <w:trHeight w:val="20"/>
        </w:trPr>
        <w:tc>
          <w:tcPr>
            <w:tcW w:w="5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net income per share: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84"/>
        </w:trPr>
        <w:tc>
          <w:tcPr>
            <w:tcW w:w="5160" w:type="dxa"/>
            <w:vAlign w:val="bottom"/>
          </w:tcPr>
          <w:p>
            <w:pPr>
              <w:ind w:left="360"/>
              <w:spacing w:after="0" w:line="183" w:lineRule="exact"/>
              <w:rPr>
                <w:sz w:val="20"/>
                <w:szCs w:val="20"/>
                <w:color w:val="auto"/>
              </w:rPr>
            </w:pPr>
            <w:r>
              <w:rPr>
                <w:rFonts w:ascii="Arial" w:cs="Arial" w:eastAsia="Arial" w:hAnsi="Arial"/>
                <w:sz w:val="18"/>
                <w:szCs w:val="18"/>
                <w:color w:val="auto"/>
              </w:rPr>
              <w:t>Net income attributable to common stockholders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1"/>
        </w:trPr>
        <w:tc>
          <w:tcPr>
            <w:tcW w:w="5160" w:type="dxa"/>
            <w:vAlign w:val="bottom"/>
          </w:tcPr>
          <w:p>
            <w:pPr>
              <w:ind w:left="540"/>
              <w:spacing w:after="0"/>
              <w:rPr>
                <w:sz w:val="20"/>
                <w:szCs w:val="20"/>
                <w:color w:val="auto"/>
              </w:rPr>
            </w:pPr>
            <w:r>
              <w:rPr>
                <w:rFonts w:ascii="Arial" w:cs="Arial" w:eastAsia="Arial" w:hAnsi="Arial"/>
                <w:sz w:val="18"/>
                <w:szCs w:val="18"/>
                <w:color w:val="auto"/>
              </w:rPr>
              <w:t>(numerator)</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1,689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48,832</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39,284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46,590</w:t>
            </w:r>
          </w:p>
        </w:tc>
      </w:tr>
      <w:tr>
        <w:trPr>
          <w:trHeight w:val="203"/>
        </w:trPr>
        <w:tc>
          <w:tcPr>
            <w:tcW w:w="5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Shares used in computation (denominator):</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160" w:type="dxa"/>
            <w:vAlign w:val="bottom"/>
          </w:tcPr>
          <w:p>
            <w:pPr>
              <w:ind w:left="720"/>
              <w:spacing w:after="0" w:line="202" w:lineRule="exact"/>
              <w:rPr>
                <w:sz w:val="20"/>
                <w:szCs w:val="20"/>
                <w:color w:val="auto"/>
              </w:rPr>
            </w:pPr>
            <w:r>
              <w:rPr>
                <w:rFonts w:ascii="Arial" w:cs="Arial" w:eastAsia="Arial" w:hAnsi="Arial"/>
                <w:sz w:val="18"/>
                <w:szCs w:val="18"/>
                <w:color w:val="auto"/>
              </w:rPr>
              <w:t>Weighted-average common shares outstanding</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8"/>
              </w:rPr>
              <w:t>15,926</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8"/>
              </w:rPr>
              <w:t>16,007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15,999</w:t>
            </w:r>
          </w:p>
        </w:tc>
        <w:tc>
          <w:tcPr>
            <w:tcW w:w="12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16,453</w:t>
            </w:r>
          </w:p>
        </w:tc>
      </w:tr>
      <w:tr>
        <w:trPr>
          <w:trHeight w:val="203"/>
        </w:trPr>
        <w:tc>
          <w:tcPr>
            <w:tcW w:w="51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Effect of dilutive securities: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160" w:type="dxa"/>
            <w:vAlign w:val="bottom"/>
          </w:tcPr>
          <w:p>
            <w:pPr>
              <w:ind w:left="1080"/>
              <w:spacing w:after="0" w:line="202" w:lineRule="exact"/>
              <w:rPr>
                <w:sz w:val="20"/>
                <w:szCs w:val="20"/>
                <w:color w:val="auto"/>
              </w:rPr>
            </w:pPr>
            <w:r>
              <w:rPr>
                <w:rFonts w:ascii="Arial" w:cs="Arial" w:eastAsia="Arial" w:hAnsi="Arial"/>
                <w:sz w:val="18"/>
                <w:szCs w:val="18"/>
                <w:color w:val="auto"/>
              </w:rPr>
              <w:t>Stock options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1,022</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1,274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1,256</w:t>
            </w:r>
          </w:p>
        </w:tc>
        <w:tc>
          <w:tcPr>
            <w:tcW w:w="12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1,144</w:t>
            </w:r>
          </w:p>
        </w:tc>
      </w:tr>
      <w:tr>
        <w:trPr>
          <w:trHeight w:val="202"/>
        </w:trPr>
        <w:tc>
          <w:tcPr>
            <w:tcW w:w="51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Redeemable Convertible Preferred Stock</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37,296</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8"/>
              </w:rPr>
              <w:t>37,296</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37,296</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37,296</w:t>
            </w:r>
          </w:p>
        </w:tc>
      </w:tr>
      <w:tr>
        <w:trPr>
          <w:trHeight w:val="203"/>
        </w:trPr>
        <w:tc>
          <w:tcPr>
            <w:tcW w:w="5160" w:type="dxa"/>
            <w:vAlign w:val="bottom"/>
          </w:tcPr>
          <w:p>
            <w:pPr>
              <w:ind w:left="1080"/>
              <w:spacing w:after="0" w:line="202" w:lineRule="exact"/>
              <w:rPr>
                <w:sz w:val="20"/>
                <w:szCs w:val="20"/>
                <w:color w:val="auto"/>
              </w:rPr>
            </w:pPr>
            <w:r>
              <w:rPr>
                <w:rFonts w:ascii="Arial" w:cs="Arial" w:eastAsia="Arial" w:hAnsi="Arial"/>
                <w:sz w:val="18"/>
                <w:szCs w:val="18"/>
                <w:color w:val="auto"/>
              </w:rPr>
              <w:t>Warrants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79</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110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87</w:t>
            </w:r>
          </w:p>
        </w:tc>
        <w:tc>
          <w:tcPr>
            <w:tcW w:w="12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w:t>
            </w:r>
          </w:p>
        </w:tc>
      </w:tr>
      <w:tr>
        <w:trPr>
          <w:trHeight w:val="203"/>
        </w:trPr>
        <w:tc>
          <w:tcPr>
            <w:tcW w:w="51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Restricted stock units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400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2,913</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2,667</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3,558</w:t>
            </w:r>
          </w:p>
        </w:tc>
      </w:tr>
      <w:tr>
        <w:trPr>
          <w:trHeight w:val="216"/>
        </w:trPr>
        <w:tc>
          <w:tcPr>
            <w:tcW w:w="5160" w:type="dxa"/>
            <w:vAlign w:val="bottom"/>
          </w:tcPr>
          <w:p>
            <w:pPr>
              <w:ind w:left="720"/>
              <w:spacing w:after="0"/>
              <w:rPr>
                <w:sz w:val="20"/>
                <w:szCs w:val="20"/>
                <w:color w:val="auto"/>
              </w:rPr>
            </w:pPr>
            <w:r>
              <w:rPr>
                <w:rFonts w:ascii="Arial" w:cs="Arial" w:eastAsia="Arial" w:hAnsi="Arial"/>
                <w:sz w:val="18"/>
                <w:szCs w:val="18"/>
                <w:color w:val="auto"/>
              </w:rPr>
              <w:t>Weighted-average diluted shares</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54,723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57,600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57,305</w:t>
            </w:r>
          </w:p>
        </w:tc>
        <w:tc>
          <w:tcPr>
            <w:tcW w:w="6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58,593</w:t>
            </w:r>
          </w:p>
        </w:tc>
        <w:tc>
          <w:tcPr>
            <w:tcW w:w="60" w:type="dxa"/>
            <w:vAlign w:val="bottom"/>
          </w:tcPr>
          <w:p>
            <w:pPr>
              <w:spacing w:after="0"/>
              <w:rPr>
                <w:sz w:val="18"/>
                <w:szCs w:val="18"/>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net income per share</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0.03</w:t>
            </w: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0.85</w:t>
            </w:r>
          </w:p>
        </w:tc>
        <w:tc>
          <w:tcPr>
            <w:tcW w:w="48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0.69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0.80</w:t>
            </w:r>
          </w:p>
        </w:tc>
      </w:tr>
      <w:tr>
        <w:trPr>
          <w:trHeight w:val="20"/>
        </w:trPr>
        <w:tc>
          <w:tcPr>
            <w:tcW w:w="5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firstLine="551"/>
        <w:spacing w:after="0" w:line="271" w:lineRule="auto"/>
        <w:rPr>
          <w:sz w:val="20"/>
          <w:szCs w:val="20"/>
          <w:color w:val="auto"/>
        </w:rPr>
      </w:pPr>
      <w:r>
        <w:rPr>
          <w:rFonts w:ascii="Arial" w:cs="Arial" w:eastAsia="Arial" w:hAnsi="Arial"/>
          <w:sz w:val="18"/>
          <w:szCs w:val="18"/>
          <w:color w:val="auto"/>
        </w:rPr>
        <w:t>The weighted-average impact of potentially dilutive securities that were not included in the diluted per share calculations because they would be anti-dilutive was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120" w:type="dxa"/>
            <w:vAlign w:val="bottom"/>
            <w:gridSpan w:val="3"/>
          </w:tcPr>
          <w:p>
            <w:pPr>
              <w:ind w:left="340"/>
              <w:spacing w:after="0"/>
              <w:rPr>
                <w:sz w:val="20"/>
                <w:szCs w:val="20"/>
                <w:color w:val="auto"/>
              </w:rPr>
            </w:pPr>
            <w:r>
              <w:rPr>
                <w:rFonts w:ascii="Arial" w:cs="Arial" w:eastAsia="Arial" w:hAnsi="Arial"/>
                <w:sz w:val="14"/>
                <w:szCs w:val="14"/>
                <w:b w:val="1"/>
                <w:bCs w:val="1"/>
                <w:color w:val="auto"/>
              </w:rPr>
              <w:t>Nine Months Ended September 30,</w:t>
            </w:r>
          </w:p>
        </w:tc>
      </w:tr>
      <w:tr>
        <w:trPr>
          <w:trHeight w:val="146"/>
        </w:trPr>
        <w:tc>
          <w:tcPr>
            <w:tcW w:w="4980" w:type="dxa"/>
            <w:vAlign w:val="bottom"/>
          </w:tcPr>
          <w:p>
            <w:pPr>
              <w:spacing w:after="0"/>
              <w:rPr>
                <w:sz w:val="12"/>
                <w:szCs w:val="12"/>
                <w:color w:val="auto"/>
              </w:rPr>
            </w:pPr>
          </w:p>
        </w:tc>
        <w:tc>
          <w:tcPr>
            <w:tcW w:w="260" w:type="dxa"/>
            <w:vAlign w:val="bottom"/>
            <w:tcBorders>
              <w:top w:val="single" w:sz="8" w:color="auto"/>
            </w:tcBorders>
          </w:tcPr>
          <w:p>
            <w:pPr>
              <w:ind w:left="160"/>
              <w:spacing w:after="0"/>
              <w:rPr>
                <w:sz w:val="20"/>
                <w:szCs w:val="20"/>
                <w:color w:val="auto"/>
              </w:rPr>
            </w:pPr>
            <w:r>
              <w:rPr>
                <w:rFonts w:ascii="Arial" w:cs="Arial" w:eastAsia="Arial" w:hAnsi="Arial"/>
                <w:sz w:val="11"/>
                <w:szCs w:val="11"/>
                <w:b w:val="1"/>
                <w:bCs w:val="1"/>
                <w:color w:val="auto"/>
                <w:w w:val="72"/>
              </w:rPr>
              <w:t> </w:t>
            </w:r>
          </w:p>
        </w:tc>
        <w:tc>
          <w:tcPr>
            <w:tcW w:w="1200" w:type="dxa"/>
            <w:vAlign w:val="bottom"/>
            <w:tcBorders>
              <w:top w:val="single" w:sz="8" w:color="auto"/>
            </w:tcBorders>
            <w:gridSpan w:val="2"/>
          </w:tcPr>
          <w:p>
            <w:pPr>
              <w:ind w:left="40"/>
              <w:spacing w:after="0" w:line="147" w:lineRule="exact"/>
              <w:rPr>
                <w:sz w:val="20"/>
                <w:szCs w:val="20"/>
                <w:color w:val="auto"/>
              </w:rPr>
            </w:pPr>
            <w:r>
              <w:rPr>
                <w:rFonts w:ascii="Arial" w:cs="Arial" w:eastAsia="Arial" w:hAnsi="Arial"/>
                <w:sz w:val="14"/>
                <w:szCs w:val="14"/>
                <w:b w:val="1"/>
                <w:bCs w:val="1"/>
                <w:color w:val="auto"/>
              </w:rPr>
              <w:t> </w:t>
            </w:r>
          </w:p>
        </w:tc>
        <w:tc>
          <w:tcPr>
            <w:tcW w:w="620" w:type="dxa"/>
            <w:vAlign w:val="bottom"/>
            <w:tcBorders>
              <w:top w:val="single" w:sz="8" w:color="auto"/>
            </w:tcBorders>
          </w:tcPr>
          <w:p>
            <w:pPr>
              <w:jc w:val="center"/>
              <w:ind w:right="37"/>
              <w:spacing w:after="0" w:line="147" w:lineRule="exact"/>
              <w:rPr>
                <w:sz w:val="20"/>
                <w:szCs w:val="20"/>
                <w:color w:val="auto"/>
              </w:rPr>
            </w:pPr>
            <w:r>
              <w:rPr>
                <w:rFonts w:ascii="Arial" w:cs="Arial" w:eastAsia="Arial" w:hAnsi="Arial"/>
                <w:sz w:val="14"/>
                <w:szCs w:val="14"/>
                <w:b w:val="1"/>
                <w:bCs w:val="1"/>
                <w:color w:val="auto"/>
              </w:rPr>
              <w:t xml:space="preserve">   </w:t>
            </w:r>
          </w:p>
        </w:tc>
        <w:tc>
          <w:tcPr>
            <w:tcW w:w="8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49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2023   </w:t>
            </w:r>
          </w:p>
        </w:tc>
        <w:tc>
          <w:tcPr>
            <w:tcW w:w="14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rPr>
              <w:t xml:space="preserve">2024   </w:t>
            </w:r>
          </w:p>
        </w:tc>
        <w:tc>
          <w:tcPr>
            <w:tcW w:w="1120" w:type="dxa"/>
            <w:vAlign w:val="bottom"/>
          </w:tcPr>
          <w:p>
            <w:pPr>
              <w:jc w:val="right"/>
              <w:ind w:right="137"/>
              <w:spacing w:after="0"/>
              <w:rPr>
                <w:sz w:val="20"/>
                <w:szCs w:val="20"/>
                <w:color w:val="auto"/>
              </w:rPr>
            </w:pPr>
            <w:r>
              <w:rPr>
                <w:rFonts w:ascii="Arial" w:cs="Arial" w:eastAsia="Arial" w:hAnsi="Arial"/>
                <w:sz w:val="14"/>
                <w:szCs w:val="14"/>
                <w:b w:val="1"/>
                <w:bCs w:val="1"/>
                <w:color w:val="auto"/>
              </w:rPr>
              <w:t xml:space="preserve">    2024   </w:t>
            </w:r>
          </w:p>
        </w:tc>
        <w:tc>
          <w:tcPr>
            <w:tcW w:w="2000" w:type="dxa"/>
            <w:vAlign w:val="bottom"/>
            <w:gridSpan w:val="2"/>
          </w:tcPr>
          <w:p>
            <w:pPr>
              <w:ind w:left="940"/>
              <w:spacing w:after="0"/>
              <w:rPr>
                <w:sz w:val="20"/>
                <w:szCs w:val="20"/>
                <w:color w:val="auto"/>
              </w:rPr>
            </w:pPr>
            <w:r>
              <w:rPr>
                <w:rFonts w:ascii="Arial" w:cs="Arial" w:eastAsia="Arial" w:hAnsi="Arial"/>
                <w:sz w:val="14"/>
                <w:szCs w:val="14"/>
                <w:b w:val="1"/>
                <w:bCs w:val="1"/>
                <w:color w:val="auto"/>
              </w:rPr>
              <w:t xml:space="preserve">    2025   </w:t>
            </w:r>
          </w:p>
        </w:tc>
      </w:tr>
      <w:tr>
        <w:trPr>
          <w:trHeight w:val="155"/>
        </w:trPr>
        <w:tc>
          <w:tcPr>
            <w:tcW w:w="49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jc w:val="right"/>
              <w:ind w:right="1057"/>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3"/>
        </w:trPr>
        <w:tc>
          <w:tcPr>
            <w:tcW w:w="5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Common stock options</w:t>
            </w:r>
          </w:p>
        </w:tc>
        <w:tc>
          <w:tcPr>
            <w:tcW w:w="120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59</w:t>
            </w:r>
          </w:p>
        </w:tc>
        <w:tc>
          <w:tcPr>
            <w:tcW w:w="146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Restricted stock units</w:t>
            </w:r>
          </w:p>
        </w:tc>
        <w:tc>
          <w:tcPr>
            <w:tcW w:w="120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787</w:t>
            </w:r>
          </w:p>
        </w:tc>
        <w:tc>
          <w:tcPr>
            <w:tcW w:w="146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122</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195</w:t>
            </w:r>
          </w:p>
        </w:tc>
        <w:tc>
          <w:tcPr>
            <w:tcW w:w="2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4,886</w:t>
            </w:r>
          </w:p>
        </w:tc>
      </w:tr>
      <w:tr>
        <w:trPr>
          <w:trHeight w:val="203"/>
        </w:trPr>
        <w:tc>
          <w:tcPr>
            <w:tcW w:w="5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Warrants</w:t>
            </w:r>
          </w:p>
        </w:tc>
        <w:tc>
          <w:tcPr>
            <w:tcW w:w="120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368"/>
        </w:trPr>
        <w:tc>
          <w:tcPr>
            <w:tcW w:w="4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F-40</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960" w:type="dxa"/>
            <w:vAlign w:val="bottom"/>
          </w:tcPr>
          <w:p>
            <w:pPr>
              <w:jc w:val="center"/>
              <w:ind w:left="950"/>
              <w:spacing w:after="0"/>
              <w:rPr>
                <w:sz w:val="20"/>
                <w:szCs w:val="20"/>
                <w:color w:val="auto"/>
              </w:rPr>
            </w:pPr>
            <w:r>
              <w:rPr>
                <w:rFonts w:ascii="Arial" w:cs="Arial" w:eastAsia="Arial" w:hAnsi="Arial"/>
                <w:sz w:val="18"/>
                <w:szCs w:val="18"/>
                <w:b w:val="1"/>
                <w:bCs w:val="1"/>
                <w:color w:val="auto"/>
                <w:w w:val="99"/>
              </w:rPr>
              <w:t>ETHOS TECHNOLOGIES INC.</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960" w:type="dxa"/>
            <w:vAlign w:val="bottom"/>
          </w:tcPr>
          <w:p>
            <w:pPr>
              <w:jc w:val="center"/>
              <w:ind w:left="950"/>
              <w:spacing w:after="0" w:line="202" w:lineRule="exact"/>
              <w:rPr>
                <w:sz w:val="20"/>
                <w:szCs w:val="20"/>
                <w:color w:val="auto"/>
              </w:rPr>
            </w:pPr>
            <w:r>
              <w:rPr>
                <w:rFonts w:ascii="Arial" w:cs="Arial" w:eastAsia="Arial" w:hAnsi="Arial"/>
                <w:sz w:val="18"/>
                <w:szCs w:val="18"/>
                <w:b w:val="1"/>
                <w:bCs w:val="1"/>
                <w:color w:val="auto"/>
                <w:w w:val="99"/>
              </w:rPr>
              <w:t>Notes to Consolidated Financial Statements</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9"/>
        </w:trPr>
        <w:tc>
          <w:tcPr>
            <w:tcW w:w="9960" w:type="dxa"/>
            <w:vAlign w:val="bottom"/>
          </w:tcPr>
          <w:p>
            <w:pPr>
              <w:jc w:val="center"/>
              <w:ind w:left="970"/>
              <w:spacing w:after="0"/>
              <w:rPr>
                <w:sz w:val="20"/>
                <w:szCs w:val="20"/>
                <w:color w:val="auto"/>
              </w:rPr>
            </w:pPr>
            <w:r>
              <w:rPr>
                <w:rFonts w:ascii="Arial" w:cs="Arial" w:eastAsia="Arial" w:hAnsi="Arial"/>
                <w:sz w:val="18"/>
                <w:szCs w:val="18"/>
                <w:color w:val="auto"/>
                <w:w w:val="99"/>
              </w:rPr>
              <w:t>(In Thousands, Except Per Share Data)</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3"/>
        </w:trPr>
        <w:tc>
          <w:tcPr>
            <w:tcW w:w="9960" w:type="dxa"/>
            <w:vAlign w:val="bottom"/>
          </w:tcPr>
          <w:p>
            <w:pPr>
              <w:spacing w:after="0"/>
              <w:rPr>
                <w:sz w:val="20"/>
                <w:szCs w:val="20"/>
                <w:color w:val="auto"/>
              </w:rPr>
            </w:pPr>
            <w:r>
              <w:rPr>
                <w:rFonts w:ascii="Arial" w:cs="Arial" w:eastAsia="Arial" w:hAnsi="Arial"/>
                <w:sz w:val="18"/>
                <w:szCs w:val="18"/>
                <w:b w:val="1"/>
                <w:bCs w:val="1"/>
                <w:color w:val="auto"/>
              </w:rPr>
              <w:t>16. Goodwill</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3"/>
        </w:trPr>
        <w:tc>
          <w:tcPr>
            <w:tcW w:w="9960" w:type="dxa"/>
            <w:vAlign w:val="bottom"/>
          </w:tcPr>
          <w:p>
            <w:pPr>
              <w:ind w:left="540"/>
              <w:spacing w:after="0"/>
              <w:rPr>
                <w:sz w:val="20"/>
                <w:szCs w:val="20"/>
                <w:color w:val="auto"/>
              </w:rPr>
            </w:pPr>
            <w:r>
              <w:rPr>
                <w:rFonts w:ascii="Arial" w:cs="Arial" w:eastAsia="Arial" w:hAnsi="Arial"/>
                <w:sz w:val="18"/>
                <w:szCs w:val="18"/>
                <w:color w:val="auto"/>
              </w:rPr>
              <w:t>The changes in the carrying amount of goodwill for the years ended December 31, 2023 and 2024 are as follows: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8"/>
        </w:trPr>
        <w:tc>
          <w:tcPr>
            <w:tcW w:w="996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9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2022</w:t>
            </w:r>
          </w:p>
        </w:tc>
        <w:tc>
          <w:tcPr>
            <w:tcW w:w="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2,238</w:t>
            </w:r>
          </w:p>
        </w:tc>
      </w:tr>
      <w:tr>
        <w:trPr>
          <w:trHeight w:val="209"/>
        </w:trPr>
        <w:tc>
          <w:tcPr>
            <w:tcW w:w="9960" w:type="dxa"/>
            <w:vAlign w:val="bottom"/>
          </w:tcPr>
          <w:p>
            <w:pPr>
              <w:ind w:left="360"/>
              <w:spacing w:after="0" w:line="202" w:lineRule="exact"/>
              <w:rPr>
                <w:sz w:val="20"/>
                <w:szCs w:val="20"/>
                <w:color w:val="auto"/>
              </w:rPr>
            </w:pPr>
            <w:r>
              <w:rPr>
                <w:rFonts w:ascii="Arial" w:cs="Arial" w:eastAsia="Arial" w:hAnsi="Arial"/>
                <w:sz w:val="18"/>
                <w:szCs w:val="18"/>
                <w:color w:val="auto"/>
              </w:rPr>
              <w:t>Goodwill acquired</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9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2023</w:t>
            </w:r>
          </w:p>
        </w:tc>
        <w:tc>
          <w:tcPr>
            <w:tcW w:w="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2,238</w:t>
            </w:r>
          </w:p>
        </w:tc>
      </w:tr>
      <w:tr>
        <w:trPr>
          <w:trHeight w:val="210"/>
        </w:trPr>
        <w:tc>
          <w:tcPr>
            <w:tcW w:w="9960" w:type="dxa"/>
            <w:vAlign w:val="bottom"/>
          </w:tcPr>
          <w:p>
            <w:pPr>
              <w:ind w:left="360"/>
              <w:spacing w:after="0" w:line="202" w:lineRule="exact"/>
              <w:rPr>
                <w:sz w:val="20"/>
                <w:szCs w:val="20"/>
                <w:color w:val="auto"/>
              </w:rPr>
            </w:pPr>
            <w:r>
              <w:rPr>
                <w:rFonts w:ascii="Arial" w:cs="Arial" w:eastAsia="Arial" w:hAnsi="Arial"/>
                <w:sz w:val="18"/>
                <w:szCs w:val="18"/>
                <w:color w:val="auto"/>
              </w:rPr>
              <w:t>Goodwill acquired</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9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2024</w:t>
            </w:r>
          </w:p>
        </w:tc>
        <w:tc>
          <w:tcPr>
            <w:tcW w:w="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2,238</w:t>
            </w:r>
          </w:p>
        </w:tc>
      </w:tr>
      <w:tr>
        <w:trPr>
          <w:trHeight w:val="209"/>
        </w:trPr>
        <w:tc>
          <w:tcPr>
            <w:tcW w:w="9960" w:type="dxa"/>
            <w:vAlign w:val="bottom"/>
          </w:tcPr>
          <w:p>
            <w:pPr>
              <w:ind w:left="360"/>
              <w:spacing w:after="0" w:line="202" w:lineRule="exact"/>
              <w:rPr>
                <w:sz w:val="20"/>
                <w:szCs w:val="20"/>
                <w:color w:val="auto"/>
              </w:rPr>
            </w:pPr>
            <w:r>
              <w:rPr>
                <w:rFonts w:ascii="Arial" w:cs="Arial" w:eastAsia="Arial" w:hAnsi="Arial"/>
                <w:sz w:val="18"/>
                <w:szCs w:val="18"/>
                <w:color w:val="auto"/>
              </w:rPr>
              <w:t>Goodwill acquired</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9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September 30, 2025 (unaudited)</w:t>
            </w:r>
          </w:p>
        </w:tc>
        <w:tc>
          <w:tcPr>
            <w:tcW w:w="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2,238</w:t>
            </w:r>
          </w:p>
        </w:tc>
      </w:tr>
      <w:tr>
        <w:trPr>
          <w:trHeight w:val="20"/>
        </w:trPr>
        <w:tc>
          <w:tcPr>
            <w:tcW w:w="9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Subsequent Events (unaudited)</w:t>
      </w:r>
    </w:p>
    <w:p>
      <w:pPr>
        <w:spacing w:after="0" w:line="104" w:lineRule="exact"/>
        <w:rPr>
          <w:sz w:val="20"/>
          <w:szCs w:val="20"/>
          <w:color w:val="auto"/>
        </w:rPr>
      </w:pPr>
    </w:p>
    <w:p>
      <w:pPr>
        <w:jc w:val="both"/>
        <w:ind w:left="120" w:right="520" w:firstLine="551"/>
        <w:spacing w:after="0" w:line="253" w:lineRule="auto"/>
        <w:rPr>
          <w:sz w:val="20"/>
          <w:szCs w:val="20"/>
          <w:color w:val="auto"/>
        </w:rPr>
      </w:pPr>
      <w:r>
        <w:rPr>
          <w:rFonts w:ascii="Arial" w:cs="Arial" w:eastAsia="Arial" w:hAnsi="Arial"/>
          <w:sz w:val="18"/>
          <w:szCs w:val="18"/>
          <w:color w:val="auto"/>
        </w:rPr>
        <w:t>The Company evaluated subsequent events from September 30, 2025 through [      ], 2025, the date the unaudited interim consolidated financial statements were available to be issued. There were no other events or transactions requiring disclosure in the accompanying consolidated financial statements.</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5" w:right="4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3395980</wp:posOffset>
            </wp:positionV>
            <wp:extent cx="3857625" cy="38576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857625" cy="385762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48" w:name="page249"/>
    <w:bookmarkEnd w:id="2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32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04"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 registration fee, the Financial Industry Regulatory Authority, Inc., or FINRA, filing fee, and the exchange listing fee.</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120" w:type="dxa"/>
            <w:vAlign w:val="bottom"/>
          </w:tcPr>
          <w:p>
            <w:pPr>
              <w:spacing w:after="0"/>
              <w:rPr>
                <w:sz w:val="14"/>
                <w:szCs w:val="14"/>
                <w:color w:val="auto"/>
              </w:rPr>
            </w:pPr>
          </w:p>
        </w:tc>
        <w:tc>
          <w:tcPr>
            <w:tcW w:w="900" w:type="dxa"/>
            <w:vAlign w:val="bottom"/>
            <w:gridSpan w:val="4"/>
          </w:tcPr>
          <w:p>
            <w:pPr>
              <w:ind w:left="60"/>
              <w:spacing w:after="0"/>
              <w:rPr>
                <w:sz w:val="20"/>
                <w:szCs w:val="20"/>
                <w:color w:val="auto"/>
              </w:rPr>
            </w:pPr>
            <w:r>
              <w:rPr>
                <w:rFonts w:ascii="Arial" w:cs="Arial" w:eastAsia="Arial" w:hAnsi="Arial"/>
                <w:sz w:val="14"/>
                <w:szCs w:val="14"/>
                <w:b w:val="1"/>
                <w:bCs w:val="1"/>
                <w:color w:val="auto"/>
              </w:rPr>
              <w:t>Amount</w:t>
            </w:r>
          </w:p>
        </w:tc>
      </w:tr>
      <w:tr>
        <w:trPr>
          <w:trHeight w:val="196"/>
        </w:trPr>
        <w:tc>
          <w:tcPr>
            <w:tcW w:w="10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8"/>
              </w:rPr>
              <w:t>15,310</w:t>
            </w:r>
          </w:p>
        </w:tc>
        <w:tc>
          <w:tcPr>
            <w:tcW w:w="220" w:type="dxa"/>
            <w:vAlign w:val="bottom"/>
            <w:tcBorders>
              <w:top w:val="single" w:sz="8" w:color="CCEEFF"/>
            </w:tcBorders>
            <w:shd w:val="clear" w:color="auto" w:fill="CCEEFF"/>
          </w:tcPr>
          <w:p>
            <w:pPr>
              <w:spacing w:after="0"/>
              <w:rPr>
                <w:sz w:val="17"/>
                <w:szCs w:val="17"/>
                <w:color w:val="auto"/>
              </w:rPr>
            </w:pP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120" w:type="dxa"/>
            <w:vAlign w:val="bottom"/>
          </w:tcPr>
          <w:p>
            <w:pPr>
              <w:spacing w:after="0"/>
              <w:rPr>
                <w:sz w:val="17"/>
                <w:szCs w:val="17"/>
                <w:color w:val="auto"/>
              </w:rPr>
            </w:pPr>
          </w:p>
        </w:tc>
        <w:tc>
          <w:tcPr>
            <w:tcW w:w="780" w:type="dxa"/>
            <w:vAlign w:val="bottom"/>
            <w:gridSpan w:val="3"/>
          </w:tcPr>
          <w:p>
            <w:pPr>
              <w:spacing w:after="0" w:line="202" w:lineRule="exact"/>
              <w:rPr>
                <w:sz w:val="20"/>
                <w:szCs w:val="20"/>
                <w:color w:val="auto"/>
              </w:rPr>
            </w:pPr>
            <w:r>
              <w:rPr>
                <w:rFonts w:ascii="Arial" w:cs="Arial" w:eastAsia="Arial" w:hAnsi="Arial"/>
                <w:sz w:val="18"/>
                <w:szCs w:val="18"/>
                <w:color w:val="auto"/>
              </w:rPr>
              <w:t>15,500</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Exchange listing fee</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 xml:space="preserve">* </w:t>
            </w:r>
          </w:p>
        </w:tc>
        <w:tc>
          <w:tcPr>
            <w:tcW w:w="4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 </w:t>
            </w:r>
          </w:p>
        </w:tc>
      </w:tr>
      <w:tr>
        <w:trPr>
          <w:trHeight w:val="202"/>
        </w:trPr>
        <w:tc>
          <w:tcPr>
            <w:tcW w:w="1012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120" w:type="dxa"/>
            <w:vAlign w:val="bottom"/>
          </w:tcPr>
          <w:p>
            <w:pPr>
              <w:spacing w:after="0"/>
              <w:rPr>
                <w:sz w:val="17"/>
                <w:szCs w:val="17"/>
                <w:color w:val="auto"/>
              </w:rPr>
            </w:pPr>
          </w:p>
        </w:tc>
        <w:tc>
          <w:tcPr>
            <w:tcW w:w="320" w:type="dxa"/>
            <w:vAlign w:val="bottom"/>
          </w:tcPr>
          <w:p>
            <w:pPr>
              <w:ind w:left="120"/>
              <w:spacing w:after="0" w:line="202" w:lineRule="exact"/>
              <w:rPr>
                <w:sz w:val="20"/>
                <w:szCs w:val="20"/>
                <w:color w:val="auto"/>
              </w:rPr>
            </w:pPr>
            <w:r>
              <w:rPr>
                <w:rFonts w:ascii="Arial" w:cs="Arial" w:eastAsia="Arial" w:hAnsi="Arial"/>
                <w:sz w:val="18"/>
                <w:szCs w:val="18"/>
                <w:color w:val="auto"/>
              </w:rPr>
              <w:t xml:space="preserve">* </w:t>
            </w:r>
          </w:p>
        </w:tc>
        <w:tc>
          <w:tcPr>
            <w:tcW w:w="46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 </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 xml:space="preserve">* </w:t>
            </w:r>
          </w:p>
        </w:tc>
        <w:tc>
          <w:tcPr>
            <w:tcW w:w="4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 </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120" w:type="dxa"/>
            <w:vAlign w:val="bottom"/>
          </w:tcPr>
          <w:p>
            <w:pPr>
              <w:spacing w:after="0"/>
              <w:rPr>
                <w:sz w:val="17"/>
                <w:szCs w:val="17"/>
                <w:color w:val="auto"/>
              </w:rPr>
            </w:pPr>
          </w:p>
        </w:tc>
        <w:tc>
          <w:tcPr>
            <w:tcW w:w="320" w:type="dxa"/>
            <w:vAlign w:val="bottom"/>
          </w:tcPr>
          <w:p>
            <w:pPr>
              <w:ind w:left="120"/>
              <w:spacing w:after="0" w:line="202" w:lineRule="exact"/>
              <w:rPr>
                <w:sz w:val="20"/>
                <w:szCs w:val="20"/>
                <w:color w:val="auto"/>
              </w:rPr>
            </w:pPr>
            <w:r>
              <w:rPr>
                <w:rFonts w:ascii="Arial" w:cs="Arial" w:eastAsia="Arial" w:hAnsi="Arial"/>
                <w:sz w:val="18"/>
                <w:szCs w:val="18"/>
                <w:color w:val="auto"/>
              </w:rPr>
              <w:t xml:space="preserve">* </w:t>
            </w:r>
          </w:p>
        </w:tc>
        <w:tc>
          <w:tcPr>
            <w:tcW w:w="46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 </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Transfer agent and registrar fees</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 xml:space="preserve">* </w:t>
            </w:r>
          </w:p>
        </w:tc>
        <w:tc>
          <w:tcPr>
            <w:tcW w:w="4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 </w:t>
            </w:r>
          </w:p>
        </w:tc>
      </w:tr>
      <w:tr>
        <w:trPr>
          <w:trHeight w:val="210"/>
        </w:trPr>
        <w:tc>
          <w:tcPr>
            <w:tcW w:w="10120" w:type="dxa"/>
            <w:vAlign w:val="bottom"/>
          </w:tcPr>
          <w:p>
            <w:pPr>
              <w:spacing w:after="0" w:line="202" w:lineRule="exact"/>
              <w:rPr>
                <w:sz w:val="20"/>
                <w:szCs w:val="20"/>
                <w:color w:val="auto"/>
              </w:rPr>
            </w:pPr>
            <w:r>
              <w:rPr>
                <w:rFonts w:ascii="Arial" w:cs="Arial" w:eastAsia="Arial" w:hAnsi="Arial"/>
                <w:sz w:val="18"/>
                <w:szCs w:val="18"/>
                <w:color w:val="auto"/>
              </w:rPr>
              <w:t>Miscellaneous expenses</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 xml:space="preserve">* </w:t>
            </w:r>
          </w:p>
        </w:tc>
        <w:tc>
          <w:tcPr>
            <w:tcW w:w="24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w w:val="88"/>
              </w:rPr>
              <w:t> </w:t>
            </w:r>
          </w:p>
        </w:tc>
        <w:tc>
          <w:tcPr>
            <w:tcW w:w="220" w:type="dxa"/>
            <w:vAlign w:val="bottom"/>
          </w:tcPr>
          <w:p>
            <w:pPr>
              <w:spacing w:after="0"/>
              <w:rPr>
                <w:sz w:val="18"/>
                <w:szCs w:val="18"/>
                <w:color w:val="auto"/>
              </w:rPr>
            </w:pP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 xml:space="preserve">* </w:t>
            </w:r>
          </w:p>
        </w:tc>
        <w:tc>
          <w:tcPr>
            <w:tcW w:w="4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04"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or the Securities Act. Our amended and restated certificate of incorporation that will be in effect immediately prior to the closing of this offering permits indemnification of our directors, officers, employees, and other agents to the maximum extent permitted by the Delaware General Corporation Law, and our amended and restated bylaws that will be in effect immediately prior to the closing of this offering provide that we will indemnify our directors and officers and permit us to indemnify our employees and other agents, in each case to the maximum extent permitted by the Delaware General Corporation Law.</w:t>
      </w:r>
    </w:p>
    <w:p>
      <w:pPr>
        <w:spacing w:after="0" w:line="180"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Upon the closing of this offering, we intend to enter into indemnification agreements with our directors and executive officers, whereby we have agreed to indemnify our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ours, provided that such director or executive officer acted in good faith and in a manner that the director or officer reasonably believed to be in, or not opposed to, our best interest.</w:t>
      </w:r>
    </w:p>
    <w:p>
      <w:pPr>
        <w:spacing w:after="0" w:line="179"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The indemnification provisions in our amended and restated certificate of incorporation, amended and restated bylaws, and the indemnification agreements that we intend to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5" w:right="4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360"/>
        <w:spacing w:after="0" w:line="253" w:lineRule="auto"/>
        <w:rPr>
          <w:sz w:val="20"/>
          <w:szCs w:val="20"/>
          <w:color w:val="auto"/>
        </w:rPr>
      </w:pPr>
      <w:r>
        <w:rPr>
          <w:rFonts w:ascii="Arial" w:cs="Arial" w:eastAsia="Arial" w:hAnsi="Arial"/>
          <w:sz w:val="18"/>
          <w:szCs w:val="18"/>
          <w:color w:val="auto"/>
        </w:rPr>
        <w:t>as required by these indemnification provisions. At present, there is no pending litigation or proceeding involving a director or officer of ours regarding which indemnification is sought, nor is the registrant aware of any threatened litigation that may result in claims for indemnification.</w:t>
      </w:r>
    </w:p>
    <w:p>
      <w:pPr>
        <w:spacing w:after="0" w:line="169" w:lineRule="exact"/>
        <w:rPr>
          <w:sz w:val="20"/>
          <w:szCs w:val="20"/>
          <w:color w:val="auto"/>
        </w:rPr>
      </w:pPr>
    </w:p>
    <w:p>
      <w:pPr>
        <w:ind w:left="120" w:right="120" w:firstLine="551"/>
        <w:spacing w:after="0" w:line="301" w:lineRule="auto"/>
        <w:rPr>
          <w:sz w:val="20"/>
          <w:szCs w:val="20"/>
          <w:color w:val="auto"/>
        </w:rPr>
      </w:pPr>
      <w:r>
        <w:rPr>
          <w:rFonts w:ascii="Arial" w:cs="Arial" w:eastAsia="Arial" w:hAnsi="Arial"/>
          <w:sz w:val="17"/>
          <w:szCs w:val="17"/>
          <w:color w:val="auto"/>
        </w:rPr>
        <w:t>We will maintain insurance policies that indemnify our directors and officers against various liabilities arising under the Securities Act and the Securities Exchange Act of 1934, as amended, that might be incurred by any director or officer in his or her capacity as such.</w:t>
      </w:r>
    </w:p>
    <w:p>
      <w:pPr>
        <w:spacing w:after="0" w:line="131" w:lineRule="exact"/>
        <w:rPr>
          <w:sz w:val="20"/>
          <w:szCs w:val="20"/>
          <w:color w:val="auto"/>
        </w:rPr>
      </w:pPr>
    </w:p>
    <w:p>
      <w:pPr>
        <w:ind w:left="120" w:right="140" w:firstLine="551"/>
        <w:spacing w:after="0" w:line="271"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54"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color w:val="auto"/>
        </w:rPr>
        <w:t>The proposed form of underwriting agreement to be filed as Exhibit 1.1 to this registration statement provides for indemnification by the underwriters of us and our directors and executive officers for certain liabilities arising under the Securities Act or otherwise.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January 1, 2022, we have made the following sales of unregistered securities:</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Plan-Related Issuances</w:t>
      </w:r>
    </w:p>
    <w:p>
      <w:pPr>
        <w:spacing w:after="0" w:line="115" w:lineRule="exact"/>
        <w:rPr>
          <w:sz w:val="20"/>
          <w:szCs w:val="20"/>
          <w:color w:val="auto"/>
        </w:rPr>
      </w:pPr>
    </w:p>
    <w:p>
      <w:pPr>
        <w:ind w:left="880" w:right="440" w:hanging="224"/>
        <w:spacing w:after="0" w:line="245" w:lineRule="auto"/>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Since January 1, 2022, we have issued to our directors, officers, employees, consultants and other service providers an aggregate of        shares of our Class A common stock at per share purchase prices ranging from $        to $       </w:t>
      </w:r>
    </w:p>
    <w:p>
      <w:pPr>
        <w:ind w:left="880"/>
        <w:spacing w:after="0"/>
        <w:rPr>
          <w:rFonts w:ascii="Arial" w:cs="Arial" w:eastAsia="Arial" w:hAnsi="Arial"/>
          <w:sz w:val="18"/>
          <w:szCs w:val="18"/>
          <w:color w:val="auto"/>
        </w:rPr>
      </w:pPr>
      <w:r>
        <w:rPr>
          <w:rFonts w:ascii="Arial" w:cs="Arial" w:eastAsia="Arial" w:hAnsi="Arial"/>
          <w:sz w:val="18"/>
          <w:szCs w:val="18"/>
          <w:color w:val="auto"/>
        </w:rPr>
        <w:t>pursuant to exercises of options under our 2016 Plan.</w:t>
      </w:r>
    </w:p>
    <w:p>
      <w:pPr>
        <w:spacing w:after="0" w:line="99" w:lineRule="exact"/>
        <w:rPr>
          <w:rFonts w:ascii="Arial" w:cs="Arial" w:eastAsia="Arial" w:hAnsi="Arial"/>
          <w:sz w:val="18"/>
          <w:szCs w:val="18"/>
          <w:color w:val="auto"/>
        </w:rPr>
      </w:pPr>
    </w:p>
    <w:p>
      <w:pPr>
        <w:ind w:left="880" w:right="60" w:hanging="224"/>
        <w:spacing w:after="0" w:line="245" w:lineRule="auto"/>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Since January 1, 2022, we have granted to our directors, officers, employees, consultants and other service providers options to purchase        shares of our Class A common stock with per share exercise prices ranging from $        to $       </w:t>
      </w:r>
    </w:p>
    <w:p>
      <w:pPr>
        <w:ind w:left="880"/>
        <w:spacing w:after="0"/>
        <w:rPr>
          <w:rFonts w:ascii="Arial" w:cs="Arial" w:eastAsia="Arial" w:hAnsi="Arial"/>
          <w:sz w:val="18"/>
          <w:szCs w:val="18"/>
          <w:color w:val="auto"/>
        </w:rPr>
      </w:pPr>
      <w:r>
        <w:rPr>
          <w:rFonts w:ascii="Arial" w:cs="Arial" w:eastAsia="Arial" w:hAnsi="Arial"/>
          <w:sz w:val="18"/>
          <w:szCs w:val="18"/>
          <w:color w:val="auto"/>
        </w:rPr>
        <w:t>under our 2016 Plan.</w:t>
      </w:r>
    </w:p>
    <w:p>
      <w:pPr>
        <w:spacing w:after="0" w:line="99" w:lineRule="exact"/>
        <w:rPr>
          <w:rFonts w:ascii="Arial" w:cs="Arial" w:eastAsia="Arial" w:hAnsi="Arial"/>
          <w:sz w:val="18"/>
          <w:szCs w:val="18"/>
          <w:color w:val="auto"/>
        </w:rPr>
      </w:pPr>
    </w:p>
    <w:p>
      <w:pPr>
        <w:ind w:left="880" w:hanging="224"/>
        <w:spacing w:after="0"/>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Since January 1, 2022, we have granted to our directors, officers, employees, consultants and other service providers restricted</w:t>
      </w:r>
    </w:p>
    <w:p>
      <w:pPr>
        <w:spacing w:after="0" w:line="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stock units to purchase            shares of our Class A common stock under our 2016 Plan.</w:t>
      </w:r>
    </w:p>
    <w:p>
      <w:pPr>
        <w:spacing w:after="0" w:line="99" w:lineRule="exact"/>
        <w:rPr>
          <w:sz w:val="20"/>
          <w:szCs w:val="20"/>
          <w:color w:val="auto"/>
        </w:rPr>
      </w:pPr>
    </w:p>
    <w:p>
      <w:pPr>
        <w:ind w:left="880" w:right="60" w:hanging="224"/>
        <w:spacing w:after="0" w:line="271"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April 2025, we issued a warrant to purchase up to 77,088 shares of our Class A common stock to an accredited investor at an exercise price of $40.32 per share.</w:t>
      </w:r>
    </w:p>
    <w:p>
      <w:pPr>
        <w:spacing w:after="0" w:line="59" w:lineRule="exact"/>
        <w:rPr>
          <w:rFonts w:ascii="Arial" w:cs="Arial" w:eastAsia="Arial" w:hAnsi="Arial"/>
          <w:sz w:val="18"/>
          <w:szCs w:val="18"/>
          <w:color w:val="auto"/>
        </w:rPr>
      </w:pPr>
    </w:p>
    <w:p>
      <w:pPr>
        <w:ind w:left="880" w:right="80" w:hanging="224"/>
        <w:spacing w:after="0" w:line="253"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March 2025, we issued warrants to purchase up to 32,090 of our Class A common stock to an accredited investor at an exercise price of $0.07 per share. In October 2025, we issued 32,090 shares of our Class A common stock upon the exercise of such warrants.</w:t>
      </w:r>
    </w:p>
    <w:p>
      <w:pPr>
        <w:spacing w:after="0" w:line="74" w:lineRule="exact"/>
        <w:rPr>
          <w:rFonts w:ascii="Arial" w:cs="Arial" w:eastAsia="Arial" w:hAnsi="Arial"/>
          <w:sz w:val="18"/>
          <w:szCs w:val="18"/>
          <w:color w:val="auto"/>
        </w:rPr>
      </w:pPr>
    </w:p>
    <w:p>
      <w:pPr>
        <w:ind w:left="880" w:right="220" w:hanging="224"/>
        <w:spacing w:after="0" w:line="271"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April 2024, we issued a warrant to purchase up to 385,439 shares of our Class A common stock to an accredited investor at an exercise price of $10.15 per share.</w:t>
      </w:r>
    </w:p>
    <w:p>
      <w:pPr>
        <w:spacing w:after="0" w:line="15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None of the foregoing transactions involved or will involve any underwriters, underwriting discounts or commissions, or any public offering. Unless otherwise stated, the sales of the above securities were or will be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Exhibits.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8"/>
        </w:trPr>
        <w:tc>
          <w:tcPr>
            <w:tcW w:w="16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600" w:type="dxa"/>
            <w:vAlign w:val="bottom"/>
          </w:tcPr>
          <w:p>
            <w:pPr>
              <w:spacing w:after="0"/>
              <w:rPr>
                <w:sz w:val="15"/>
                <w:szCs w:val="15"/>
                <w:color w:val="auto"/>
              </w:rPr>
            </w:pPr>
          </w:p>
        </w:tc>
        <w:tc>
          <w:tcPr>
            <w:tcW w:w="27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Description of Exhibit</w:t>
            </w: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r>
      <w:tr>
        <w:trPr>
          <w:trHeight w:val="315"/>
        </w:trPr>
        <w:tc>
          <w:tcPr>
            <w:tcW w:w="720" w:type="dxa"/>
            <w:vAlign w:val="bottom"/>
            <w:gridSpan w:val="2"/>
          </w:tcPr>
          <w:p>
            <w:pPr>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Form of Underwriting Agreement.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66"/>
        </w:trPr>
        <w:tc>
          <w:tcPr>
            <w:tcW w:w="720" w:type="dxa"/>
            <w:vAlign w:val="bottom"/>
            <w:gridSpan w:val="2"/>
          </w:tcPr>
          <w:p>
            <w:pPr>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23"/>
                <w:szCs w:val="23"/>
                <w:color w:val="auto"/>
              </w:rPr>
            </w:pPr>
          </w:p>
        </w:tc>
        <w:tc>
          <w:tcPr>
            <w:tcW w:w="9700" w:type="dxa"/>
            <w:vAlign w:val="bottom"/>
            <w:gridSpan w:val="15"/>
          </w:tcPr>
          <w:p>
            <w:pPr>
              <w:spacing w:after="0"/>
              <w:rPr>
                <w:rFonts w:ascii="Arial" w:cs="Arial" w:eastAsia="Arial" w:hAnsi="Arial"/>
                <w:sz w:val="18"/>
                <w:szCs w:val="18"/>
                <w:color w:val="0000EE"/>
              </w:rPr>
            </w:pPr>
            <w:hyperlink r:id="rId362">
              <w:r>
                <w:rPr>
                  <w:rFonts w:ascii="Arial" w:cs="Arial" w:eastAsia="Arial" w:hAnsi="Arial"/>
                  <w:sz w:val="18"/>
                  <w:szCs w:val="18"/>
                  <w:color w:val="0000EE"/>
                </w:rPr>
                <w:t>Amended and Restated Certificate of Incorporation of the Registrant, as amended, as currently in effect.</w:t>
              </w:r>
            </w:hyperlink>
          </w:p>
        </w:tc>
      </w:tr>
      <w:tr>
        <w:trPr>
          <w:trHeight w:val="20"/>
        </w:trPr>
        <w:tc>
          <w:tcPr>
            <w:tcW w:w="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9"/>
        </w:trPr>
        <w:tc>
          <w:tcPr>
            <w:tcW w:w="720" w:type="dxa"/>
            <w:vAlign w:val="bottom"/>
            <w:gridSpan w:val="2"/>
          </w:tcPr>
          <w:p>
            <w:pPr>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24"/>
                <w:szCs w:val="24"/>
                <w:color w:val="auto"/>
              </w:rPr>
            </w:pPr>
          </w:p>
        </w:tc>
        <w:tc>
          <w:tcPr>
            <w:tcW w:w="9700" w:type="dxa"/>
            <w:vAlign w:val="bottom"/>
            <w:gridSpan w:val="15"/>
          </w:tcPr>
          <w:p>
            <w:pPr>
              <w:spacing w:after="0"/>
              <w:rPr>
                <w:sz w:val="20"/>
                <w:szCs w:val="20"/>
                <w:color w:val="auto"/>
              </w:rPr>
            </w:pPr>
            <w:r>
              <w:rPr>
                <w:rFonts w:ascii="Arial" w:cs="Arial" w:eastAsia="Arial" w:hAnsi="Arial"/>
                <w:sz w:val="18"/>
                <w:szCs w:val="18"/>
                <w:color w:val="auto"/>
              </w:rPr>
              <w:t>Form of Amended and Restated Certificate of Incorporation of the Registrant, to be effective upon the closing of this</w:t>
            </w:r>
          </w:p>
        </w:tc>
      </w:tr>
      <w:tr>
        <w:trPr>
          <w:trHeight w:val="239"/>
        </w:trPr>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offering.</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66"/>
        </w:trPr>
        <w:tc>
          <w:tcPr>
            <w:tcW w:w="720" w:type="dxa"/>
            <w:vAlign w:val="bottom"/>
            <w:gridSpan w:val="2"/>
          </w:tcPr>
          <w:p>
            <w:pPr>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23"/>
                <w:szCs w:val="23"/>
                <w:color w:val="auto"/>
              </w:rPr>
            </w:pPr>
          </w:p>
        </w:tc>
        <w:tc>
          <w:tcPr>
            <w:tcW w:w="5640" w:type="dxa"/>
            <w:vAlign w:val="bottom"/>
            <w:tcBorders>
              <w:bottom w:val="single" w:sz="8" w:color="0000EE"/>
            </w:tcBorders>
            <w:gridSpan w:val="9"/>
          </w:tcPr>
          <w:p>
            <w:pPr>
              <w:spacing w:after="0"/>
              <w:rPr>
                <w:rFonts w:ascii="Arial" w:cs="Arial" w:eastAsia="Arial" w:hAnsi="Arial"/>
                <w:sz w:val="18"/>
                <w:szCs w:val="18"/>
                <w:color w:val="0000EE"/>
                <w:w w:val="99"/>
              </w:rPr>
            </w:pPr>
            <w:hyperlink r:id="rId363">
              <w:r>
                <w:rPr>
                  <w:rFonts w:ascii="Arial" w:cs="Arial" w:eastAsia="Arial" w:hAnsi="Arial"/>
                  <w:sz w:val="18"/>
                  <w:szCs w:val="18"/>
                  <w:color w:val="0000EE"/>
                  <w:w w:val="99"/>
                </w:rPr>
                <w:t>Amended and Restated Bylaws of the Registrant, as currently in effect.</w:t>
              </w:r>
            </w:hyperlink>
          </w:p>
        </w:tc>
        <w:tc>
          <w:tcPr>
            <w:tcW w:w="4060" w:type="dxa"/>
            <w:vAlign w:val="bottom"/>
            <w:gridSpan w:val="6"/>
          </w:tcPr>
          <w:p>
            <w:pPr>
              <w:spacing w:after="0"/>
              <w:rPr>
                <w:sz w:val="23"/>
                <w:szCs w:val="23"/>
                <w:color w:val="auto"/>
              </w:rPr>
            </w:pPr>
          </w:p>
        </w:tc>
      </w:tr>
      <w:tr>
        <w:trPr>
          <w:trHeight w:val="335"/>
        </w:trPr>
        <w:tc>
          <w:tcPr>
            <w:tcW w:w="720" w:type="dxa"/>
            <w:vAlign w:val="bottom"/>
            <w:gridSpan w:val="2"/>
          </w:tcPr>
          <w:p>
            <w:pPr>
              <w:spacing w:after="0"/>
              <w:rPr>
                <w:sz w:val="20"/>
                <w:szCs w:val="20"/>
                <w:color w:val="auto"/>
              </w:rPr>
            </w:pPr>
            <w:r>
              <w:rPr>
                <w:rFonts w:ascii="Arial" w:cs="Arial" w:eastAsia="Arial" w:hAnsi="Arial"/>
                <w:sz w:val="18"/>
                <w:szCs w:val="18"/>
                <w:color w:val="auto"/>
              </w:rPr>
              <w:t>3.4*</w:t>
            </w:r>
          </w:p>
        </w:tc>
        <w:tc>
          <w:tcPr>
            <w:tcW w:w="600" w:type="dxa"/>
            <w:vAlign w:val="bottom"/>
          </w:tcPr>
          <w:p>
            <w:pPr>
              <w:spacing w:after="0"/>
              <w:rPr>
                <w:sz w:val="24"/>
                <w:szCs w:val="24"/>
                <w:color w:val="auto"/>
              </w:rPr>
            </w:pPr>
          </w:p>
        </w:tc>
        <w:tc>
          <w:tcPr>
            <w:tcW w:w="9700" w:type="dxa"/>
            <w:vAlign w:val="bottom"/>
            <w:gridSpan w:val="15"/>
          </w:tcPr>
          <w:p>
            <w:pPr>
              <w:spacing w:after="0"/>
              <w:rPr>
                <w:sz w:val="20"/>
                <w:szCs w:val="20"/>
                <w:color w:val="auto"/>
              </w:rPr>
            </w:pPr>
            <w:r>
              <w:rPr>
                <w:rFonts w:ascii="Arial" w:cs="Arial" w:eastAsia="Arial" w:hAnsi="Arial"/>
                <w:sz w:val="18"/>
                <w:szCs w:val="18"/>
                <w:color w:val="auto"/>
              </w:rPr>
              <w:t>Form of Amended and Restated Bylaws of the Registrant, to be effective upon the closing of this offering.</w:t>
            </w:r>
          </w:p>
        </w:tc>
      </w:tr>
      <w:tr>
        <w:trPr>
          <w:trHeight w:val="311"/>
        </w:trPr>
        <w:tc>
          <w:tcPr>
            <w:tcW w:w="720" w:type="dxa"/>
            <w:vAlign w:val="bottom"/>
            <w:gridSpan w:val="2"/>
          </w:tcPr>
          <w:p>
            <w:pPr>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24"/>
                <w:szCs w:val="24"/>
                <w:color w:val="auto"/>
              </w:rPr>
            </w:pPr>
          </w:p>
        </w:tc>
        <w:tc>
          <w:tcPr>
            <w:tcW w:w="9700" w:type="dxa"/>
            <w:vAlign w:val="bottom"/>
            <w:gridSpan w:val="15"/>
          </w:tcPr>
          <w:p>
            <w:pPr>
              <w:spacing w:after="0"/>
              <w:rPr>
                <w:sz w:val="20"/>
                <w:szCs w:val="20"/>
                <w:color w:val="auto"/>
              </w:rPr>
            </w:pPr>
            <w:r>
              <w:rPr>
                <w:rFonts w:ascii="Arial" w:cs="Arial" w:eastAsia="Arial" w:hAnsi="Arial"/>
                <w:sz w:val="18"/>
                <w:szCs w:val="18"/>
                <w:color w:val="auto"/>
              </w:rPr>
              <w:t>Form of Class A Common Stock Certificate of the Registrant.</w:t>
            </w:r>
          </w:p>
        </w:tc>
      </w:tr>
      <w:tr>
        <w:trPr>
          <w:trHeight w:val="266"/>
        </w:trPr>
        <w:tc>
          <w:tcPr>
            <w:tcW w:w="720" w:type="dxa"/>
            <w:vAlign w:val="bottom"/>
            <w:gridSpan w:val="2"/>
          </w:tcPr>
          <w:p>
            <w:pPr>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23"/>
                <w:szCs w:val="23"/>
                <w:color w:val="auto"/>
              </w:rPr>
            </w:pPr>
          </w:p>
        </w:tc>
        <w:tc>
          <w:tcPr>
            <w:tcW w:w="9700" w:type="dxa"/>
            <w:vAlign w:val="bottom"/>
            <w:gridSpan w:val="15"/>
          </w:tcPr>
          <w:p>
            <w:pPr>
              <w:spacing w:after="0"/>
              <w:rPr>
                <w:rFonts w:ascii="Arial" w:cs="Arial" w:eastAsia="Arial" w:hAnsi="Arial"/>
                <w:sz w:val="18"/>
                <w:szCs w:val="18"/>
                <w:color w:val="0000EE"/>
              </w:rPr>
            </w:pPr>
            <w:hyperlink r:id="rId364">
              <w:r>
                <w:rPr>
                  <w:rFonts w:ascii="Arial" w:cs="Arial" w:eastAsia="Arial" w:hAnsi="Arial"/>
                  <w:sz w:val="18"/>
                  <w:szCs w:val="18"/>
                  <w:color w:val="0000EE"/>
                </w:rPr>
                <w:t>Amended and Restated Investors’ Rights Agreement, dated as of July 26, 2021, by and among the Registrant and</w:t>
              </w:r>
            </w:hyperlink>
          </w:p>
        </w:tc>
      </w:tr>
      <w:tr>
        <w:trPr>
          <w:trHeight w:val="183"/>
        </w:trPr>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7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r:id="rId364">
              <w:r>
                <w:rPr>
                  <w:rFonts w:ascii="Arial" w:cs="Arial" w:eastAsia="Arial" w:hAnsi="Arial"/>
                  <w:sz w:val="18"/>
                  <w:szCs w:val="18"/>
                  <w:color w:val="0000EE"/>
                  <w:w w:val="98"/>
                </w:rPr>
                <w:t>certain investors of the Registrant.</w:t>
              </w:r>
            </w:hyperlink>
          </w:p>
        </w:tc>
        <w:tc>
          <w:tcPr>
            <w:tcW w:w="1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20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580" w:type="dxa"/>
            <w:vAlign w:val="bottom"/>
          </w:tcPr>
          <w:p>
            <w:pPr>
              <w:spacing w:after="0"/>
              <w:rPr>
                <w:sz w:val="15"/>
                <w:szCs w:val="15"/>
                <w:color w:val="auto"/>
              </w:rPr>
            </w:pPr>
          </w:p>
        </w:tc>
      </w:tr>
      <w:tr>
        <w:trPr>
          <w:trHeight w:val="290"/>
        </w:trPr>
        <w:tc>
          <w:tcPr>
            <w:tcW w:w="720" w:type="dxa"/>
            <w:vAlign w:val="bottom"/>
            <w:gridSpan w:val="2"/>
          </w:tcPr>
          <w:p>
            <w:pPr>
              <w:spacing w:after="0"/>
              <w:rPr>
                <w:sz w:val="20"/>
                <w:szCs w:val="20"/>
                <w:color w:val="auto"/>
              </w:rPr>
            </w:pPr>
            <w:r>
              <w:rPr>
                <w:rFonts w:ascii="Arial" w:cs="Arial" w:eastAsia="Arial" w:hAnsi="Arial"/>
                <w:sz w:val="18"/>
                <w:szCs w:val="18"/>
                <w:color w:val="auto"/>
              </w:rPr>
              <w:t>4.3^**</w:t>
            </w:r>
          </w:p>
        </w:tc>
        <w:tc>
          <w:tcPr>
            <w:tcW w:w="600" w:type="dxa"/>
            <w:vAlign w:val="bottom"/>
          </w:tcPr>
          <w:p>
            <w:pPr>
              <w:spacing w:after="0"/>
              <w:rPr>
                <w:sz w:val="24"/>
                <w:szCs w:val="24"/>
                <w:color w:val="auto"/>
              </w:rPr>
            </w:pPr>
          </w:p>
        </w:tc>
        <w:tc>
          <w:tcPr>
            <w:tcW w:w="9700" w:type="dxa"/>
            <w:vAlign w:val="bottom"/>
            <w:gridSpan w:val="15"/>
          </w:tcPr>
          <w:p>
            <w:pPr>
              <w:spacing w:after="0"/>
              <w:rPr>
                <w:rFonts w:ascii="Arial" w:cs="Arial" w:eastAsia="Arial" w:hAnsi="Arial"/>
                <w:sz w:val="18"/>
                <w:szCs w:val="18"/>
                <w:color w:val="0000EE"/>
              </w:rPr>
            </w:pPr>
            <w:hyperlink r:id="rId365">
              <w:r>
                <w:rPr>
                  <w:rFonts w:ascii="Arial" w:cs="Arial" w:eastAsia="Arial" w:hAnsi="Arial"/>
                  <w:sz w:val="18"/>
                  <w:szCs w:val="18"/>
                  <w:color w:val="0000EE"/>
                </w:rPr>
                <w:t>Form of Common Stock Warrant for Silicon Valley Bank.</w:t>
              </w:r>
            </w:hyperlink>
          </w:p>
        </w:tc>
      </w:tr>
      <w:tr>
        <w:trPr>
          <w:trHeight w:val="291"/>
        </w:trPr>
        <w:tc>
          <w:tcPr>
            <w:tcW w:w="720" w:type="dxa"/>
            <w:vAlign w:val="bottom"/>
            <w:gridSpan w:val="2"/>
          </w:tcPr>
          <w:p>
            <w:pPr>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24"/>
                <w:szCs w:val="24"/>
                <w:color w:val="auto"/>
              </w:rPr>
            </w:pPr>
          </w:p>
        </w:tc>
        <w:tc>
          <w:tcPr>
            <w:tcW w:w="26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9"/>
              </w:rPr>
            </w:pPr>
            <w:hyperlink r:id="rId366">
              <w:r>
                <w:rPr>
                  <w:rFonts w:ascii="Arial" w:cs="Arial" w:eastAsia="Arial" w:hAnsi="Arial"/>
                  <w:sz w:val="18"/>
                  <w:szCs w:val="18"/>
                  <w:color w:val="0000EE"/>
                  <w:w w:val="99"/>
                </w:rPr>
                <w:t>Form of Common Stock Warrant.</w:t>
              </w:r>
            </w:hyperlink>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35"/>
        </w:trPr>
        <w:tc>
          <w:tcPr>
            <w:tcW w:w="720" w:type="dxa"/>
            <w:vAlign w:val="bottom"/>
            <w:gridSpan w:val="2"/>
          </w:tcPr>
          <w:p>
            <w:pPr>
              <w:spacing w:after="0"/>
              <w:rPr>
                <w:sz w:val="20"/>
                <w:szCs w:val="20"/>
                <w:color w:val="auto"/>
              </w:rPr>
            </w:pPr>
            <w:r>
              <w:rPr>
                <w:rFonts w:ascii="Arial" w:cs="Arial" w:eastAsia="Arial" w:hAnsi="Arial"/>
                <w:sz w:val="18"/>
                <w:szCs w:val="18"/>
                <w:color w:val="auto"/>
              </w:rPr>
              <w:t>5.1*</w:t>
            </w:r>
          </w:p>
        </w:tc>
        <w:tc>
          <w:tcPr>
            <w:tcW w:w="6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Opinion of Cooley LLP.</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66"/>
        </w:trPr>
        <w:tc>
          <w:tcPr>
            <w:tcW w:w="720" w:type="dxa"/>
            <w:vAlign w:val="bottom"/>
            <w:gridSpan w:val="2"/>
          </w:tcPr>
          <w:p>
            <w:pPr>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23"/>
                <w:szCs w:val="23"/>
                <w:color w:val="auto"/>
              </w:rPr>
            </w:pPr>
          </w:p>
        </w:tc>
        <w:tc>
          <w:tcPr>
            <w:tcW w:w="9700" w:type="dxa"/>
            <w:vAlign w:val="bottom"/>
            <w:gridSpan w:val="15"/>
          </w:tcPr>
          <w:p>
            <w:pPr>
              <w:spacing w:after="0"/>
              <w:rPr>
                <w:rFonts w:ascii="Arial" w:cs="Arial" w:eastAsia="Arial" w:hAnsi="Arial"/>
                <w:sz w:val="18"/>
                <w:szCs w:val="18"/>
                <w:color w:val="0000EE"/>
              </w:rPr>
            </w:pPr>
            <w:hyperlink r:id="rId367">
              <w:r>
                <w:rPr>
                  <w:rFonts w:ascii="Arial" w:cs="Arial" w:eastAsia="Arial" w:hAnsi="Arial"/>
                  <w:sz w:val="18"/>
                  <w:szCs w:val="18"/>
                  <w:color w:val="0000EE"/>
                </w:rPr>
                <w:t>2016 Equity Incentive Plan and forms of agreements thereunder.</w:t>
              </w:r>
            </w:hyperlink>
          </w:p>
        </w:tc>
      </w:tr>
      <w:tr>
        <w:trPr>
          <w:trHeight w:val="20"/>
        </w:trPr>
        <w:tc>
          <w:tcPr>
            <w:tcW w:w="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335"/>
        </w:trPr>
        <w:tc>
          <w:tcPr>
            <w:tcW w:w="720" w:type="dxa"/>
            <w:vAlign w:val="bottom"/>
            <w:gridSpan w:val="2"/>
          </w:tcPr>
          <w:p>
            <w:pPr>
              <w:spacing w:after="0"/>
              <w:rPr>
                <w:sz w:val="20"/>
                <w:szCs w:val="20"/>
                <w:color w:val="auto"/>
              </w:rPr>
            </w:pPr>
            <w:r>
              <w:rPr>
                <w:rFonts w:ascii="Arial" w:cs="Arial" w:eastAsia="Arial" w:hAnsi="Arial"/>
                <w:sz w:val="18"/>
                <w:szCs w:val="18"/>
                <w:color w:val="auto"/>
              </w:rPr>
              <w:t>10.2+*</w:t>
            </w:r>
          </w:p>
        </w:tc>
        <w:tc>
          <w:tcPr>
            <w:tcW w:w="600" w:type="dxa"/>
            <w:vAlign w:val="bottom"/>
          </w:tcPr>
          <w:p>
            <w:pPr>
              <w:spacing w:after="0"/>
              <w:rPr>
                <w:sz w:val="24"/>
                <w:szCs w:val="24"/>
                <w:color w:val="auto"/>
              </w:rPr>
            </w:pPr>
          </w:p>
        </w:tc>
        <w:tc>
          <w:tcPr>
            <w:tcW w:w="9700" w:type="dxa"/>
            <w:vAlign w:val="bottom"/>
            <w:gridSpan w:val="15"/>
          </w:tcPr>
          <w:p>
            <w:pPr>
              <w:spacing w:after="0"/>
              <w:rPr>
                <w:sz w:val="20"/>
                <w:szCs w:val="20"/>
                <w:color w:val="auto"/>
              </w:rPr>
            </w:pPr>
            <w:r>
              <w:rPr>
                <w:rFonts w:ascii="Arial" w:cs="Arial" w:eastAsia="Arial" w:hAnsi="Arial"/>
                <w:sz w:val="18"/>
                <w:szCs w:val="18"/>
                <w:color w:val="auto"/>
              </w:rPr>
              <w:t>2026 Equity Incentive Plan and forms of agreements thereunder.</w:t>
            </w:r>
          </w:p>
        </w:tc>
      </w:tr>
      <w:tr>
        <w:trPr>
          <w:trHeight w:val="311"/>
        </w:trPr>
        <w:tc>
          <w:tcPr>
            <w:tcW w:w="720" w:type="dxa"/>
            <w:vAlign w:val="bottom"/>
            <w:gridSpan w:val="2"/>
          </w:tcPr>
          <w:p>
            <w:pPr>
              <w:spacing w:after="0"/>
              <w:rPr>
                <w:sz w:val="20"/>
                <w:szCs w:val="20"/>
                <w:color w:val="auto"/>
              </w:rPr>
            </w:pPr>
            <w:r>
              <w:rPr>
                <w:rFonts w:ascii="Arial" w:cs="Arial" w:eastAsia="Arial" w:hAnsi="Arial"/>
                <w:sz w:val="18"/>
                <w:szCs w:val="18"/>
                <w:color w:val="auto"/>
              </w:rPr>
              <w:t>10.3+*</w:t>
            </w:r>
          </w:p>
        </w:tc>
        <w:tc>
          <w:tcPr>
            <w:tcW w:w="600" w:type="dxa"/>
            <w:vAlign w:val="bottom"/>
          </w:tcPr>
          <w:p>
            <w:pPr>
              <w:spacing w:after="0"/>
              <w:rPr>
                <w:sz w:val="24"/>
                <w:szCs w:val="24"/>
                <w:color w:val="auto"/>
              </w:rPr>
            </w:pPr>
          </w:p>
        </w:tc>
        <w:tc>
          <w:tcPr>
            <w:tcW w:w="9700" w:type="dxa"/>
            <w:vAlign w:val="bottom"/>
            <w:gridSpan w:val="15"/>
          </w:tcPr>
          <w:p>
            <w:pPr>
              <w:spacing w:after="0"/>
              <w:rPr>
                <w:sz w:val="20"/>
                <w:szCs w:val="20"/>
                <w:color w:val="auto"/>
              </w:rPr>
            </w:pPr>
            <w:r>
              <w:rPr>
                <w:rFonts w:ascii="Arial" w:cs="Arial" w:eastAsia="Arial" w:hAnsi="Arial"/>
                <w:sz w:val="18"/>
                <w:szCs w:val="18"/>
                <w:color w:val="auto"/>
              </w:rPr>
              <w:t>2026 Employee Stock Purchase Plan and forms of agreements thereunder.</w:t>
            </w:r>
          </w:p>
        </w:tc>
      </w:tr>
      <w:tr>
        <w:trPr>
          <w:trHeight w:val="266"/>
        </w:trPr>
        <w:tc>
          <w:tcPr>
            <w:tcW w:w="720" w:type="dxa"/>
            <w:vAlign w:val="bottom"/>
            <w:gridSpan w:val="2"/>
          </w:tcPr>
          <w:p>
            <w:pPr>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3"/>
                <w:szCs w:val="23"/>
                <w:color w:val="auto"/>
              </w:rPr>
            </w:pPr>
          </w:p>
        </w:tc>
        <w:tc>
          <w:tcPr>
            <w:tcW w:w="9700" w:type="dxa"/>
            <w:vAlign w:val="bottom"/>
            <w:gridSpan w:val="15"/>
          </w:tcPr>
          <w:p>
            <w:pPr>
              <w:spacing w:after="0"/>
              <w:rPr>
                <w:rFonts w:ascii="Arial" w:cs="Arial" w:eastAsia="Arial" w:hAnsi="Arial"/>
                <w:sz w:val="18"/>
                <w:szCs w:val="18"/>
                <w:color w:val="0000EE"/>
              </w:rPr>
            </w:pPr>
            <w:hyperlink r:id="rId368">
              <w:r>
                <w:rPr>
                  <w:rFonts w:ascii="Arial" w:cs="Arial" w:eastAsia="Arial" w:hAnsi="Arial"/>
                  <w:sz w:val="18"/>
                  <w:szCs w:val="18"/>
                  <w:color w:val="0000EE"/>
                </w:rPr>
                <w:t>Non-Employee Director Compensation Policy.</w:t>
              </w:r>
            </w:hyperlink>
          </w:p>
        </w:tc>
      </w:tr>
      <w:tr>
        <w:trPr>
          <w:trHeight w:val="291"/>
        </w:trPr>
        <w:tc>
          <w:tcPr>
            <w:tcW w:w="720" w:type="dxa"/>
            <w:vAlign w:val="bottom"/>
            <w:gridSpan w:val="2"/>
          </w:tcPr>
          <w:p>
            <w:pPr>
              <w:spacing w:after="0"/>
              <w:rPr>
                <w:sz w:val="20"/>
                <w:szCs w:val="20"/>
                <w:color w:val="auto"/>
              </w:rPr>
            </w:pPr>
            <w:r>
              <w:rPr>
                <w:rFonts w:ascii="Arial" w:cs="Arial" w:eastAsia="Arial" w:hAnsi="Arial"/>
                <w:sz w:val="18"/>
                <w:szCs w:val="18"/>
                <w:color w:val="auto"/>
              </w:rPr>
              <w:t>10.5+**</w:t>
            </w:r>
          </w:p>
        </w:tc>
        <w:tc>
          <w:tcPr>
            <w:tcW w:w="600" w:type="dxa"/>
            <w:vAlign w:val="bottom"/>
          </w:tcPr>
          <w:p>
            <w:pPr>
              <w:spacing w:after="0"/>
              <w:rPr>
                <w:sz w:val="24"/>
                <w:szCs w:val="24"/>
                <w:color w:val="auto"/>
              </w:rPr>
            </w:pPr>
          </w:p>
        </w:tc>
        <w:tc>
          <w:tcPr>
            <w:tcW w:w="3640" w:type="dxa"/>
            <w:vAlign w:val="bottom"/>
            <w:tcBorders>
              <w:top w:val="single" w:sz="8" w:color="0000EE"/>
            </w:tcBorders>
            <w:gridSpan w:val="6"/>
          </w:tcPr>
          <w:p>
            <w:pPr>
              <w:spacing w:after="0"/>
              <w:rPr>
                <w:rFonts w:ascii="Arial" w:cs="Arial" w:eastAsia="Arial" w:hAnsi="Arial"/>
                <w:sz w:val="18"/>
                <w:szCs w:val="18"/>
                <w:color w:val="0000EE"/>
              </w:rPr>
            </w:pPr>
            <w:hyperlink r:id="rId369">
              <w:r>
                <w:rPr>
                  <w:rFonts w:ascii="Arial" w:cs="Arial" w:eastAsia="Arial" w:hAnsi="Arial"/>
                  <w:sz w:val="18"/>
                  <w:szCs w:val="18"/>
                  <w:color w:val="0000EE"/>
                </w:rPr>
                <w:t>Severance and Change in Control Plan.</w:t>
              </w:r>
            </w:hyperlink>
          </w:p>
        </w:tc>
        <w:tc>
          <w:tcPr>
            <w:tcW w:w="6060" w:type="dxa"/>
            <w:vAlign w:val="bottom"/>
            <w:gridSpan w:val="9"/>
          </w:tcPr>
          <w:p>
            <w:pPr>
              <w:spacing w:after="0"/>
              <w:rPr>
                <w:sz w:val="24"/>
                <w:szCs w:val="24"/>
                <w:color w:val="auto"/>
              </w:rPr>
            </w:pPr>
          </w:p>
        </w:tc>
      </w:tr>
      <w:tr>
        <w:trPr>
          <w:trHeight w:val="20"/>
        </w:trPr>
        <w:tc>
          <w:tcPr>
            <w:tcW w:w="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290"/>
        </w:trPr>
        <w:tc>
          <w:tcPr>
            <w:tcW w:w="720" w:type="dxa"/>
            <w:vAlign w:val="bottom"/>
            <w:gridSpan w:val="2"/>
          </w:tcPr>
          <w:p>
            <w:pPr>
              <w:spacing w:after="0"/>
              <w:rPr>
                <w:sz w:val="20"/>
                <w:szCs w:val="20"/>
                <w:color w:val="auto"/>
              </w:rPr>
            </w:pPr>
            <w:r>
              <w:rPr>
                <w:rFonts w:ascii="Arial" w:cs="Arial" w:eastAsia="Arial" w:hAnsi="Arial"/>
                <w:sz w:val="18"/>
                <w:szCs w:val="18"/>
                <w:color w:val="auto"/>
              </w:rPr>
              <w:t>10.6+**</w:t>
            </w:r>
          </w:p>
        </w:tc>
        <w:tc>
          <w:tcPr>
            <w:tcW w:w="600" w:type="dxa"/>
            <w:vAlign w:val="bottom"/>
          </w:tcPr>
          <w:p>
            <w:pPr>
              <w:spacing w:after="0"/>
              <w:rPr>
                <w:sz w:val="24"/>
                <w:szCs w:val="24"/>
                <w:color w:val="auto"/>
              </w:rPr>
            </w:pPr>
          </w:p>
        </w:tc>
        <w:tc>
          <w:tcPr>
            <w:tcW w:w="9700" w:type="dxa"/>
            <w:vAlign w:val="bottom"/>
            <w:gridSpan w:val="15"/>
          </w:tcPr>
          <w:p>
            <w:pPr>
              <w:spacing w:after="0"/>
              <w:rPr>
                <w:rFonts w:ascii="Arial" w:cs="Arial" w:eastAsia="Arial" w:hAnsi="Arial"/>
                <w:sz w:val="18"/>
                <w:szCs w:val="18"/>
                <w:color w:val="0000EE"/>
              </w:rPr>
            </w:pPr>
            <w:hyperlink r:id="rId370">
              <w:r>
                <w:rPr>
                  <w:rFonts w:ascii="Arial" w:cs="Arial" w:eastAsia="Arial" w:hAnsi="Arial"/>
                  <w:sz w:val="18"/>
                  <w:szCs w:val="18"/>
                  <w:color w:val="0000EE"/>
                </w:rPr>
                <w:t>Form of Indemnity Agreement entered into by and between the Registrant and each director and executive officer.</w:t>
              </w:r>
            </w:hyperlink>
          </w:p>
        </w:tc>
      </w:tr>
      <w:tr>
        <w:trPr>
          <w:trHeight w:val="335"/>
        </w:trPr>
        <w:tc>
          <w:tcPr>
            <w:tcW w:w="720" w:type="dxa"/>
            <w:vAlign w:val="bottom"/>
            <w:gridSpan w:val="2"/>
          </w:tcPr>
          <w:p>
            <w:pPr>
              <w:spacing w:after="0"/>
              <w:rPr>
                <w:sz w:val="20"/>
                <w:szCs w:val="20"/>
                <w:color w:val="auto"/>
              </w:rPr>
            </w:pPr>
            <w:r>
              <w:rPr>
                <w:rFonts w:ascii="Arial" w:cs="Arial" w:eastAsia="Arial" w:hAnsi="Arial"/>
                <w:sz w:val="18"/>
                <w:szCs w:val="18"/>
                <w:color w:val="auto"/>
              </w:rPr>
              <w:t>10.7+*</w:t>
            </w:r>
          </w:p>
        </w:tc>
        <w:tc>
          <w:tcPr>
            <w:tcW w:w="600" w:type="dxa"/>
            <w:vAlign w:val="bottom"/>
          </w:tcPr>
          <w:p>
            <w:pPr>
              <w:spacing w:after="0"/>
              <w:rPr>
                <w:sz w:val="24"/>
                <w:szCs w:val="24"/>
                <w:color w:val="auto"/>
              </w:rPr>
            </w:pPr>
          </w:p>
        </w:tc>
        <w:tc>
          <w:tcPr>
            <w:tcW w:w="27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w w:val="97"/>
              </w:rPr>
              <w:t>Confirmatory Offer Letter, dated  </w:t>
            </w:r>
          </w:p>
        </w:tc>
        <w:tc>
          <w:tcPr>
            <w:tcW w:w="160" w:type="dxa"/>
            <w:vAlign w:val="bottom"/>
            <w:tcBorders>
              <w:top w:val="single" w:sz="8" w:color="0000EE"/>
            </w:tcBorders>
          </w:tcPr>
          <w:p>
            <w:pPr>
              <w:ind w:left="40"/>
              <w:spacing w:after="0"/>
              <w:rPr>
                <w:sz w:val="20"/>
                <w:szCs w:val="20"/>
                <w:color w:val="auto"/>
              </w:rPr>
            </w:pPr>
            <w:r>
              <w:rPr>
                <w:rFonts w:ascii="Arial" w:cs="Arial" w:eastAsia="Arial" w:hAnsi="Arial"/>
                <w:sz w:val="13"/>
                <w:szCs w:val="13"/>
                <w:color w:val="auto"/>
                <w:w w:val="76"/>
              </w:rPr>
              <w:t> </w:t>
            </w:r>
          </w:p>
        </w:tc>
        <w:tc>
          <w:tcPr>
            <w:tcW w:w="6160" w:type="dxa"/>
            <w:vAlign w:val="bottom"/>
            <w:tcBorders>
              <w:top w:val="single" w:sz="8" w:color="0000EE"/>
            </w:tcBorders>
            <w:gridSpan w:val="9"/>
          </w:tcPr>
          <w:p>
            <w:pPr>
              <w:ind w:left="60"/>
              <w:spacing w:after="0"/>
              <w:rPr>
                <w:sz w:val="20"/>
                <w:szCs w:val="20"/>
                <w:color w:val="auto"/>
              </w:rPr>
            </w:pPr>
            <w:r>
              <w:rPr>
                <w:rFonts w:ascii="Arial" w:cs="Arial" w:eastAsia="Arial" w:hAnsi="Arial"/>
                <w:sz w:val="18"/>
                <w:szCs w:val="18"/>
                <w:color w:val="auto"/>
              </w:rPr>
              <w:t>   , 2025 by and between the Registrant and Peter Colis.</w:t>
            </w:r>
          </w:p>
        </w:tc>
        <w:tc>
          <w:tcPr>
            <w:tcW w:w="660" w:type="dxa"/>
            <w:vAlign w:val="bottom"/>
            <w:gridSpan w:val="2"/>
          </w:tcPr>
          <w:p>
            <w:pPr>
              <w:spacing w:after="0"/>
              <w:rPr>
                <w:sz w:val="24"/>
                <w:szCs w:val="24"/>
                <w:color w:val="auto"/>
              </w:rPr>
            </w:pPr>
          </w:p>
        </w:tc>
      </w:tr>
      <w:tr>
        <w:trPr>
          <w:trHeight w:val="311"/>
        </w:trPr>
        <w:tc>
          <w:tcPr>
            <w:tcW w:w="720" w:type="dxa"/>
            <w:vAlign w:val="bottom"/>
            <w:gridSpan w:val="2"/>
          </w:tcPr>
          <w:p>
            <w:pPr>
              <w:spacing w:after="0"/>
              <w:rPr>
                <w:sz w:val="20"/>
                <w:szCs w:val="20"/>
                <w:color w:val="auto"/>
              </w:rPr>
            </w:pPr>
            <w:r>
              <w:rPr>
                <w:rFonts w:ascii="Arial" w:cs="Arial" w:eastAsia="Arial" w:hAnsi="Arial"/>
                <w:sz w:val="18"/>
                <w:szCs w:val="18"/>
                <w:color w:val="auto"/>
              </w:rPr>
              <w:t>10.8+*</w:t>
            </w:r>
          </w:p>
        </w:tc>
        <w:tc>
          <w:tcPr>
            <w:tcW w:w="6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w w:val="97"/>
              </w:rPr>
              <w:t>Confirmatory Offer Letter, dated  </w:t>
            </w:r>
          </w:p>
        </w:tc>
        <w:tc>
          <w:tcPr>
            <w:tcW w:w="160" w:type="dxa"/>
            <w:vAlign w:val="bottom"/>
          </w:tcPr>
          <w:p>
            <w:pPr>
              <w:ind w:left="40"/>
              <w:spacing w:after="0"/>
              <w:rPr>
                <w:sz w:val="20"/>
                <w:szCs w:val="20"/>
                <w:color w:val="auto"/>
              </w:rPr>
            </w:pPr>
            <w:r>
              <w:rPr>
                <w:rFonts w:ascii="Arial" w:cs="Arial" w:eastAsia="Arial" w:hAnsi="Arial"/>
                <w:sz w:val="13"/>
                <w:szCs w:val="13"/>
                <w:color w:val="auto"/>
                <w:w w:val="76"/>
              </w:rPr>
              <w:t> </w:t>
            </w:r>
          </w:p>
        </w:tc>
        <w:tc>
          <w:tcPr>
            <w:tcW w:w="6820" w:type="dxa"/>
            <w:vAlign w:val="bottom"/>
            <w:gridSpan w:val="11"/>
          </w:tcPr>
          <w:p>
            <w:pPr>
              <w:ind w:left="60"/>
              <w:spacing w:after="0"/>
              <w:rPr>
                <w:sz w:val="20"/>
                <w:szCs w:val="20"/>
                <w:color w:val="auto"/>
              </w:rPr>
            </w:pPr>
            <w:r>
              <w:rPr>
                <w:rFonts w:ascii="Arial" w:cs="Arial" w:eastAsia="Arial" w:hAnsi="Arial"/>
                <w:sz w:val="18"/>
                <w:szCs w:val="18"/>
                <w:color w:val="auto"/>
              </w:rPr>
              <w:t>   , 2025, by and between the Registrant and Erin Lantz.</w:t>
            </w:r>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10.9+*</w:t>
            </w:r>
          </w:p>
        </w:tc>
        <w:tc>
          <w:tcPr>
            <w:tcW w:w="6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w w:val="97"/>
              </w:rPr>
              <w:t>Confirmatory Offer Letter, dated  </w:t>
            </w:r>
          </w:p>
        </w:tc>
        <w:tc>
          <w:tcPr>
            <w:tcW w:w="160" w:type="dxa"/>
            <w:vAlign w:val="bottom"/>
          </w:tcPr>
          <w:p>
            <w:pPr>
              <w:ind w:left="40"/>
              <w:spacing w:after="0"/>
              <w:rPr>
                <w:sz w:val="20"/>
                <w:szCs w:val="20"/>
                <w:color w:val="auto"/>
              </w:rPr>
            </w:pPr>
            <w:r>
              <w:rPr>
                <w:rFonts w:ascii="Arial" w:cs="Arial" w:eastAsia="Arial" w:hAnsi="Arial"/>
                <w:sz w:val="13"/>
                <w:szCs w:val="13"/>
                <w:color w:val="auto"/>
                <w:w w:val="76"/>
              </w:rPr>
              <w:t> </w:t>
            </w:r>
          </w:p>
        </w:tc>
        <w:tc>
          <w:tcPr>
            <w:tcW w:w="6820" w:type="dxa"/>
            <w:vAlign w:val="bottom"/>
            <w:gridSpan w:val="11"/>
          </w:tcPr>
          <w:p>
            <w:pPr>
              <w:ind w:left="60"/>
              <w:spacing w:after="0"/>
              <w:rPr>
                <w:sz w:val="20"/>
                <w:szCs w:val="20"/>
                <w:color w:val="auto"/>
              </w:rPr>
            </w:pPr>
            <w:r>
              <w:rPr>
                <w:rFonts w:ascii="Arial" w:cs="Arial" w:eastAsia="Arial" w:hAnsi="Arial"/>
                <w:sz w:val="18"/>
                <w:szCs w:val="18"/>
                <w:color w:val="auto"/>
              </w:rPr>
              <w:t>   , 2025, by and between the Registrant and Kunal Mehta.</w:t>
            </w:r>
          </w:p>
        </w:tc>
      </w:tr>
      <w:tr>
        <w:trPr>
          <w:trHeight w:val="266"/>
        </w:trPr>
        <w:tc>
          <w:tcPr>
            <w:tcW w:w="720" w:type="dxa"/>
            <w:vAlign w:val="bottom"/>
            <w:gridSpan w:val="2"/>
          </w:tcPr>
          <w:p>
            <w:pPr>
              <w:spacing w:after="0"/>
              <w:rPr>
                <w:sz w:val="20"/>
                <w:szCs w:val="20"/>
                <w:color w:val="auto"/>
              </w:rPr>
            </w:pPr>
            <w:r>
              <w:rPr>
                <w:rFonts w:ascii="Arial" w:cs="Arial" w:eastAsia="Arial" w:hAnsi="Arial"/>
                <w:sz w:val="18"/>
                <w:szCs w:val="18"/>
                <w:color w:val="auto"/>
              </w:rPr>
              <w:t>10.10†**</w:t>
            </w:r>
          </w:p>
        </w:tc>
        <w:tc>
          <w:tcPr>
            <w:tcW w:w="600" w:type="dxa"/>
            <w:vAlign w:val="bottom"/>
          </w:tcPr>
          <w:p>
            <w:pPr>
              <w:spacing w:after="0"/>
              <w:rPr>
                <w:sz w:val="23"/>
                <w:szCs w:val="23"/>
                <w:color w:val="auto"/>
              </w:rPr>
            </w:pPr>
          </w:p>
        </w:tc>
        <w:tc>
          <w:tcPr>
            <w:tcW w:w="8420" w:type="dxa"/>
            <w:vAlign w:val="bottom"/>
            <w:tcBorders>
              <w:bottom w:val="single" w:sz="8" w:color="0000EE"/>
            </w:tcBorders>
            <w:gridSpan w:val="12"/>
          </w:tcPr>
          <w:p>
            <w:pPr>
              <w:spacing w:after="0"/>
              <w:rPr>
                <w:rFonts w:ascii="Arial" w:cs="Arial" w:eastAsia="Arial" w:hAnsi="Arial"/>
                <w:sz w:val="18"/>
                <w:szCs w:val="18"/>
                <w:color w:val="0000EE"/>
                <w:w w:val="99"/>
              </w:rPr>
            </w:pPr>
            <w:hyperlink r:id="rId371">
              <w:r>
                <w:rPr>
                  <w:rFonts w:ascii="Arial" w:cs="Arial" w:eastAsia="Arial" w:hAnsi="Arial"/>
                  <w:sz w:val="18"/>
                  <w:szCs w:val="18"/>
                  <w:color w:val="0000EE"/>
                  <w:w w:val="99"/>
                </w:rPr>
                <w:t>Office Lease, dated as of May 3, 2024, by and between the Registrant and 90 New Montgomery Partners.</w:t>
              </w:r>
            </w:hyperlink>
          </w:p>
        </w:tc>
        <w:tc>
          <w:tcPr>
            <w:tcW w:w="1280" w:type="dxa"/>
            <w:vAlign w:val="bottom"/>
            <w:gridSpan w:val="3"/>
          </w:tcPr>
          <w:p>
            <w:pPr>
              <w:spacing w:after="0"/>
              <w:rPr>
                <w:sz w:val="23"/>
                <w:szCs w:val="23"/>
                <w:color w:val="auto"/>
              </w:rPr>
            </w:pPr>
          </w:p>
        </w:tc>
      </w:tr>
      <w:tr>
        <w:trPr>
          <w:trHeight w:val="299"/>
        </w:trPr>
        <w:tc>
          <w:tcPr>
            <w:tcW w:w="720" w:type="dxa"/>
            <w:vAlign w:val="bottom"/>
            <w:gridSpan w:val="2"/>
          </w:tcPr>
          <w:p>
            <w:pPr>
              <w:spacing w:after="0"/>
              <w:rPr>
                <w:sz w:val="20"/>
                <w:szCs w:val="20"/>
                <w:color w:val="auto"/>
              </w:rPr>
            </w:pPr>
            <w:r>
              <w:rPr>
                <w:rFonts w:ascii="Arial" w:cs="Arial" w:eastAsia="Arial" w:hAnsi="Arial"/>
                <w:sz w:val="18"/>
                <w:szCs w:val="18"/>
                <w:color w:val="auto"/>
              </w:rPr>
              <w:t>10.11*</w:t>
            </w:r>
          </w:p>
        </w:tc>
        <w:tc>
          <w:tcPr>
            <w:tcW w:w="600" w:type="dxa"/>
            <w:vAlign w:val="bottom"/>
          </w:tcPr>
          <w:p>
            <w:pPr>
              <w:spacing w:after="0"/>
              <w:rPr>
                <w:sz w:val="24"/>
                <w:szCs w:val="24"/>
                <w:color w:val="auto"/>
              </w:rPr>
            </w:pPr>
          </w:p>
        </w:tc>
        <w:tc>
          <w:tcPr>
            <w:tcW w:w="9700" w:type="dxa"/>
            <w:vAlign w:val="bottom"/>
            <w:gridSpan w:val="15"/>
          </w:tcPr>
          <w:p>
            <w:pPr>
              <w:spacing w:after="0"/>
              <w:rPr>
                <w:sz w:val="20"/>
                <w:szCs w:val="20"/>
                <w:color w:val="auto"/>
              </w:rPr>
            </w:pPr>
            <w:r>
              <w:rPr>
                <w:rFonts w:ascii="Arial" w:cs="Arial" w:eastAsia="Arial" w:hAnsi="Arial"/>
                <w:sz w:val="18"/>
                <w:szCs w:val="18"/>
                <w:color w:val="auto"/>
              </w:rPr>
              <w:t>Form of Exchange Agreement between the Registrant, and each of Peter Colis, Lingke Wang, Accel, and Sequoia</w:t>
            </w:r>
          </w:p>
        </w:tc>
      </w:tr>
      <w:tr>
        <w:trPr>
          <w:trHeight w:val="239"/>
        </w:trPr>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Capital.</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10.12*</w:t>
            </w:r>
          </w:p>
        </w:tc>
        <w:tc>
          <w:tcPr>
            <w:tcW w:w="600" w:type="dxa"/>
            <w:vAlign w:val="bottom"/>
          </w:tcPr>
          <w:p>
            <w:pPr>
              <w:spacing w:after="0"/>
              <w:rPr>
                <w:sz w:val="24"/>
                <w:szCs w:val="24"/>
                <w:color w:val="auto"/>
              </w:rPr>
            </w:pPr>
          </w:p>
        </w:tc>
        <w:tc>
          <w:tcPr>
            <w:tcW w:w="9700" w:type="dxa"/>
            <w:vAlign w:val="bottom"/>
            <w:gridSpan w:val="15"/>
          </w:tcPr>
          <w:p>
            <w:pPr>
              <w:spacing w:after="0"/>
              <w:rPr>
                <w:sz w:val="20"/>
                <w:szCs w:val="20"/>
                <w:color w:val="auto"/>
              </w:rPr>
            </w:pPr>
            <w:r>
              <w:rPr>
                <w:rFonts w:ascii="Arial" w:cs="Arial" w:eastAsia="Arial" w:hAnsi="Arial"/>
                <w:sz w:val="18"/>
                <w:szCs w:val="18"/>
                <w:color w:val="auto"/>
              </w:rPr>
              <w:t>Form of Equity Exchange Right Agreement between the Registrant, and each of Peter Colis and Lingke Wang.</w:t>
            </w:r>
          </w:p>
        </w:tc>
      </w:tr>
      <w:tr>
        <w:trPr>
          <w:trHeight w:val="266"/>
        </w:trPr>
        <w:tc>
          <w:tcPr>
            <w:tcW w:w="720" w:type="dxa"/>
            <w:vAlign w:val="bottom"/>
            <w:gridSpan w:val="2"/>
          </w:tcPr>
          <w:p>
            <w:pPr>
              <w:spacing w:after="0"/>
              <w:rPr>
                <w:sz w:val="20"/>
                <w:szCs w:val="20"/>
                <w:color w:val="auto"/>
              </w:rPr>
            </w:pPr>
            <w:r>
              <w:rPr>
                <w:rFonts w:ascii="Arial" w:cs="Arial" w:eastAsia="Arial" w:hAnsi="Arial"/>
                <w:sz w:val="18"/>
                <w:szCs w:val="18"/>
                <w:color w:val="auto"/>
              </w:rPr>
              <w:t>21.1**</w:t>
            </w:r>
          </w:p>
        </w:tc>
        <w:tc>
          <w:tcPr>
            <w:tcW w:w="600" w:type="dxa"/>
            <w:vAlign w:val="bottom"/>
          </w:tcPr>
          <w:p>
            <w:pPr>
              <w:spacing w:after="0"/>
              <w:rPr>
                <w:sz w:val="23"/>
                <w:szCs w:val="23"/>
                <w:color w:val="auto"/>
              </w:rPr>
            </w:pPr>
          </w:p>
        </w:tc>
        <w:tc>
          <w:tcPr>
            <w:tcW w:w="2720" w:type="dxa"/>
            <w:vAlign w:val="bottom"/>
            <w:gridSpan w:val="3"/>
          </w:tcPr>
          <w:p>
            <w:pPr>
              <w:spacing w:after="0"/>
              <w:rPr>
                <w:rFonts w:ascii="Arial" w:cs="Arial" w:eastAsia="Arial" w:hAnsi="Arial"/>
                <w:sz w:val="18"/>
                <w:szCs w:val="18"/>
                <w:color w:val="0000EE"/>
              </w:rPr>
            </w:pPr>
            <w:hyperlink r:id="rId372">
              <w:r>
                <w:rPr>
                  <w:rFonts w:ascii="Arial" w:cs="Arial" w:eastAsia="Arial" w:hAnsi="Arial"/>
                  <w:sz w:val="18"/>
                  <w:szCs w:val="18"/>
                  <w:color w:val="0000EE"/>
                </w:rPr>
                <w:t>List of Subsidiaries of Registrant.</w:t>
              </w:r>
            </w:hyperlink>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0"/>
        </w:trPr>
        <w:tc>
          <w:tcPr>
            <w:tcW w:w="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3580" w:type="dxa"/>
            <w:vAlign w:val="bottom"/>
            <w:gridSpan w:val="9"/>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r>
      <w:tr>
        <w:trPr>
          <w:trHeight w:val="290"/>
        </w:trPr>
        <w:tc>
          <w:tcPr>
            <w:tcW w:w="720" w:type="dxa"/>
            <w:vAlign w:val="bottom"/>
            <w:gridSpan w:val="2"/>
          </w:tcPr>
          <w:p>
            <w:pPr>
              <w:spacing w:after="0"/>
              <w:rPr>
                <w:sz w:val="20"/>
                <w:szCs w:val="20"/>
                <w:color w:val="auto"/>
              </w:rPr>
            </w:pPr>
            <w:r>
              <w:rPr>
                <w:rFonts w:ascii="Arial" w:cs="Arial" w:eastAsia="Arial" w:hAnsi="Arial"/>
                <w:sz w:val="18"/>
                <w:szCs w:val="18"/>
                <w:color w:val="auto"/>
              </w:rPr>
              <w:t>23.1</w:t>
            </w:r>
          </w:p>
        </w:tc>
        <w:tc>
          <w:tcPr>
            <w:tcW w:w="600" w:type="dxa"/>
            <w:vAlign w:val="bottom"/>
          </w:tcPr>
          <w:p>
            <w:pPr>
              <w:spacing w:after="0"/>
              <w:rPr>
                <w:sz w:val="24"/>
                <w:szCs w:val="24"/>
                <w:color w:val="auto"/>
              </w:rPr>
            </w:pPr>
          </w:p>
        </w:tc>
        <w:tc>
          <w:tcPr>
            <w:tcW w:w="62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9"/>
              </w:rPr>
              <w:t>Consent of Ernst &amp; Young LLP, independent registered public accounting firm.</w:t>
            </w:r>
          </w:p>
        </w:tc>
        <w:tc>
          <w:tcPr>
            <w:tcW w:w="3500" w:type="dxa"/>
            <w:vAlign w:val="bottom"/>
            <w:gridSpan w:val="5"/>
          </w:tcPr>
          <w:p>
            <w:pPr>
              <w:spacing w:after="0"/>
              <w:rPr>
                <w:sz w:val="24"/>
                <w:szCs w:val="24"/>
                <w:color w:val="auto"/>
              </w:rPr>
            </w:pPr>
          </w:p>
        </w:tc>
      </w:tr>
      <w:tr>
        <w:trPr>
          <w:trHeight w:val="375"/>
        </w:trPr>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60" w:type="dxa"/>
            <w:vAlign w:val="bottom"/>
            <w:gridSpan w:val="9"/>
          </w:tcPr>
          <w:p>
            <w:pPr>
              <w:ind w:left="42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140"/>
          </w:cols>
          <w:pgMar w:left="320" w:top="455" w:right="4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78"/>
        </w:trPr>
        <w:tc>
          <w:tcPr>
            <w:tcW w:w="16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600" w:type="dxa"/>
            <w:vAlign w:val="bottom"/>
          </w:tcPr>
          <w:p>
            <w:pPr>
              <w:spacing w:after="0"/>
              <w:rPr>
                <w:sz w:val="15"/>
                <w:szCs w:val="15"/>
                <w:color w:val="auto"/>
              </w:rPr>
            </w:pPr>
          </w:p>
        </w:tc>
        <w:tc>
          <w:tcPr>
            <w:tcW w:w="9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315"/>
        </w:trPr>
        <w:tc>
          <w:tcPr>
            <w:tcW w:w="720" w:type="dxa"/>
            <w:vAlign w:val="bottom"/>
            <w:gridSpan w:val="2"/>
          </w:tcPr>
          <w:p>
            <w:pPr>
              <w:spacing w:after="0"/>
              <w:rPr>
                <w:sz w:val="20"/>
                <w:szCs w:val="20"/>
                <w:color w:val="auto"/>
              </w:rPr>
            </w:pPr>
            <w:r>
              <w:rPr>
                <w:rFonts w:ascii="Arial" w:cs="Arial" w:eastAsia="Arial" w:hAnsi="Arial"/>
                <w:sz w:val="18"/>
                <w:szCs w:val="18"/>
                <w:color w:val="auto"/>
              </w:rPr>
              <w:t>23.2*</w:t>
            </w:r>
          </w:p>
        </w:tc>
        <w:tc>
          <w:tcPr>
            <w:tcW w:w="600" w:type="dxa"/>
            <w:vAlign w:val="bottom"/>
          </w:tcPr>
          <w:p>
            <w:pPr>
              <w:spacing w:after="0"/>
              <w:rPr>
                <w:sz w:val="24"/>
                <w:szCs w:val="24"/>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Consent of Cooley LLP (included in Exhibit 5.1).</w:t>
            </w:r>
          </w:p>
        </w:tc>
      </w:tr>
      <w:tr>
        <w:trPr>
          <w:trHeight w:val="266"/>
        </w:trPr>
        <w:tc>
          <w:tcPr>
            <w:tcW w:w="720" w:type="dxa"/>
            <w:vAlign w:val="bottom"/>
            <w:gridSpan w:val="2"/>
          </w:tcPr>
          <w:p>
            <w:pPr>
              <w:spacing w:after="0"/>
              <w:rPr>
                <w:sz w:val="20"/>
                <w:szCs w:val="20"/>
                <w:color w:val="auto"/>
              </w:rPr>
            </w:pPr>
            <w:r>
              <w:rPr>
                <w:rFonts w:ascii="Arial" w:cs="Arial" w:eastAsia="Arial" w:hAnsi="Arial"/>
                <w:sz w:val="18"/>
                <w:szCs w:val="18"/>
                <w:color w:val="auto"/>
              </w:rPr>
              <w:t>24.1**</w:t>
            </w:r>
          </w:p>
        </w:tc>
        <w:tc>
          <w:tcPr>
            <w:tcW w:w="600" w:type="dxa"/>
            <w:vAlign w:val="bottom"/>
          </w:tcPr>
          <w:p>
            <w:pPr>
              <w:spacing w:after="0"/>
              <w:rPr>
                <w:sz w:val="23"/>
                <w:szCs w:val="23"/>
                <w:color w:val="auto"/>
              </w:rPr>
            </w:pPr>
          </w:p>
        </w:tc>
        <w:tc>
          <w:tcPr>
            <w:tcW w:w="9700" w:type="dxa"/>
            <w:vAlign w:val="bottom"/>
            <w:gridSpan w:val="3"/>
          </w:tcPr>
          <w:p>
            <w:pPr>
              <w:spacing w:after="0"/>
              <w:rPr>
                <w:rFonts w:ascii="Arial" w:cs="Arial" w:eastAsia="Arial" w:hAnsi="Arial"/>
                <w:sz w:val="18"/>
                <w:szCs w:val="18"/>
                <w:color w:val="0000EE"/>
              </w:rPr>
            </w:pPr>
            <w:hyperlink r:id="rId374">
              <w:r>
                <w:rPr>
                  <w:rFonts w:ascii="Arial" w:cs="Arial" w:eastAsia="Arial" w:hAnsi="Arial"/>
                  <w:sz w:val="18"/>
                  <w:szCs w:val="18"/>
                  <w:color w:val="0000EE"/>
                </w:rPr>
                <w:t>Power of Attorney (included on signature page to the initial filing of this registration statement).</w:t>
              </w:r>
            </w:hyperlink>
          </w:p>
        </w:tc>
      </w:tr>
      <w:tr>
        <w:trPr>
          <w:trHeight w:val="290"/>
        </w:trPr>
        <w:tc>
          <w:tcPr>
            <w:tcW w:w="720" w:type="dxa"/>
            <w:vAlign w:val="bottom"/>
            <w:gridSpan w:val="2"/>
          </w:tcPr>
          <w:p>
            <w:pPr>
              <w:spacing w:after="0"/>
              <w:rPr>
                <w:sz w:val="20"/>
                <w:szCs w:val="20"/>
                <w:color w:val="auto"/>
              </w:rPr>
            </w:pPr>
            <w:r>
              <w:rPr>
                <w:rFonts w:ascii="Arial" w:cs="Arial" w:eastAsia="Arial" w:hAnsi="Arial"/>
                <w:sz w:val="18"/>
                <w:szCs w:val="18"/>
                <w:color w:val="auto"/>
              </w:rPr>
              <w:t>107**</w:t>
            </w:r>
          </w:p>
        </w:tc>
        <w:tc>
          <w:tcPr>
            <w:tcW w:w="600" w:type="dxa"/>
            <w:vAlign w:val="bottom"/>
          </w:tcPr>
          <w:p>
            <w:pPr>
              <w:spacing w:after="0"/>
              <w:rPr>
                <w:sz w:val="24"/>
                <w:szCs w:val="24"/>
                <w:color w:val="auto"/>
              </w:rPr>
            </w:pPr>
          </w:p>
        </w:tc>
        <w:tc>
          <w:tcPr>
            <w:tcW w:w="1320" w:type="dxa"/>
            <w:vAlign w:val="bottom"/>
            <w:tcBorders>
              <w:top w:val="single" w:sz="8" w:color="0000EE"/>
              <w:bottom w:val="single" w:sz="8" w:color="0000EE"/>
            </w:tcBorders>
          </w:tcPr>
          <w:p>
            <w:pPr>
              <w:spacing w:after="0"/>
              <w:rPr>
                <w:rFonts w:ascii="Arial" w:cs="Arial" w:eastAsia="Arial" w:hAnsi="Arial"/>
                <w:sz w:val="18"/>
                <w:szCs w:val="18"/>
                <w:color w:val="0000EE"/>
                <w:w w:val="96"/>
              </w:rPr>
            </w:pPr>
            <w:hyperlink r:id="rId375">
              <w:r>
                <w:rPr>
                  <w:rFonts w:ascii="Arial" w:cs="Arial" w:eastAsia="Arial" w:hAnsi="Arial"/>
                  <w:sz w:val="18"/>
                  <w:szCs w:val="18"/>
                  <w:color w:val="0000EE"/>
                  <w:w w:val="96"/>
                </w:rPr>
                <w:t>Filing Fee Table.</w:t>
              </w:r>
            </w:hyperlink>
          </w:p>
        </w:tc>
        <w:tc>
          <w:tcPr>
            <w:tcW w:w="6180" w:type="dxa"/>
            <w:vAlign w:val="bottom"/>
            <w:tcBorders>
              <w:top w:val="single" w:sz="8" w:color="0000EE"/>
            </w:tcBorders>
          </w:tcPr>
          <w:p>
            <w:pPr>
              <w:spacing w:after="0"/>
              <w:rPr>
                <w:sz w:val="24"/>
                <w:szCs w:val="24"/>
                <w:color w:val="auto"/>
              </w:rPr>
            </w:pPr>
          </w:p>
        </w:tc>
        <w:tc>
          <w:tcPr>
            <w:tcW w:w="2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3"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To be filed or submitted by amendment.</w:t>
      </w:r>
    </w:p>
    <w:p>
      <w:pPr>
        <w:spacing w:after="0" w:line="15" w:lineRule="exact"/>
        <w:rPr>
          <w:rFonts w:ascii="Arial" w:cs="Arial" w:eastAsia="Arial" w:hAnsi="Arial"/>
          <w:sz w:val="14"/>
          <w:szCs w:val="14"/>
          <w:color w:val="auto"/>
        </w:rPr>
      </w:pPr>
    </w:p>
    <w:p>
      <w:pPr>
        <w:ind w:left="120"/>
        <w:spacing w:after="0"/>
        <w:rPr>
          <w:rFonts w:ascii="Arial" w:cs="Arial" w:eastAsia="Arial" w:hAnsi="Arial"/>
          <w:sz w:val="14"/>
          <w:szCs w:val="14"/>
          <w:color w:val="auto"/>
        </w:rPr>
      </w:pPr>
      <w:r>
        <w:rPr>
          <w:rFonts w:ascii="Arial" w:cs="Arial" w:eastAsia="Arial" w:hAnsi="Arial"/>
          <w:sz w:val="14"/>
          <w:szCs w:val="14"/>
          <w:color w:val="auto"/>
        </w:rPr>
        <w:t>**Previously filed.</w:t>
      </w:r>
    </w:p>
    <w:p>
      <w:pPr>
        <w:spacing w:after="0" w:line="1" w:lineRule="exact"/>
        <w:rPr>
          <w:rFonts w:ascii="Arial" w:cs="Arial" w:eastAsia="Arial" w:hAnsi="Arial"/>
          <w:sz w:val="14"/>
          <w:szCs w:val="14"/>
          <w:color w:val="auto"/>
        </w:rPr>
      </w:pPr>
    </w:p>
    <w:p>
      <w:pPr>
        <w:ind w:left="120"/>
        <w:spacing w:after="0"/>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1" w:lineRule="exact"/>
        <w:rPr>
          <w:rFonts w:ascii="Arial" w:cs="Arial" w:eastAsia="Arial" w:hAnsi="Arial"/>
          <w:sz w:val="14"/>
          <w:szCs w:val="14"/>
          <w:color w:val="auto"/>
        </w:rPr>
      </w:pPr>
    </w:p>
    <w:p>
      <w:pPr>
        <w:ind w:left="540" w:right="80" w:hanging="432"/>
        <w:spacing w:after="0" w:line="241" w:lineRule="auto"/>
        <w:rPr>
          <w:rFonts w:ascii="Arial" w:cs="Arial" w:eastAsia="Arial" w:hAnsi="Arial"/>
          <w:sz w:val="14"/>
          <w:szCs w:val="14"/>
          <w:color w:val="auto"/>
        </w:rPr>
      </w:pPr>
      <w:r>
        <w:rPr>
          <w:rFonts w:ascii="Arial" w:cs="Arial" w:eastAsia="Arial" w:hAnsi="Arial"/>
          <w:sz w:val="14"/>
          <w:szCs w:val="14"/>
          <w:color w:val="auto"/>
        </w:rPr>
        <w:t>†Portions of this exhibit (indicated by asterisks) have been redacted in compliance with Regulation S-K Item 601(b)(10)(iv) because the Registrant has determined that the information is both not material and is of the type that the Registrant treats as private or confidential.</w:t>
      </w:r>
    </w:p>
    <w:p>
      <w:pPr>
        <w:ind w:left="540" w:right="500" w:hanging="432"/>
        <w:spacing w:after="0" w:line="264" w:lineRule="auto"/>
        <w:rPr>
          <w:rFonts w:ascii="Arial" w:cs="Arial" w:eastAsia="Arial" w:hAnsi="Arial"/>
          <w:sz w:val="14"/>
          <w:szCs w:val="14"/>
          <w:color w:val="auto"/>
        </w:rPr>
      </w:pPr>
      <w:r>
        <w:rPr>
          <w:rFonts w:ascii="Arial" w:cs="Arial" w:eastAsia="Arial" w:hAnsi="Arial"/>
          <w:sz w:val="14"/>
          <w:szCs w:val="14"/>
          <w:color w:val="auto"/>
        </w:rPr>
        <w:t>^The Registrant has omitted schedules and exhibits pursuant to Item 601(a)(5) of Regulation S-K. The Registrant agrees to furnish supplementally a copy of the omitted schedules and exhibits to the SEC upon request.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02" w:lineRule="exact"/>
        <w:rPr>
          <w:sz w:val="20"/>
          <w:szCs w:val="20"/>
          <w:color w:val="auto"/>
        </w:rPr>
      </w:pPr>
    </w:p>
    <w:p>
      <w:pPr>
        <w:ind w:left="120" w:right="180" w:firstLine="551"/>
        <w:spacing w:after="0" w:line="271"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04"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9"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 that:</w:t>
      </w:r>
    </w:p>
    <w:p>
      <w:pPr>
        <w:spacing w:after="0" w:line="212" w:lineRule="exact"/>
        <w:rPr>
          <w:sz w:val="20"/>
          <w:szCs w:val="20"/>
          <w:color w:val="auto"/>
        </w:rPr>
      </w:pPr>
    </w:p>
    <w:p>
      <w:pPr>
        <w:ind w:left="120" w:right="40" w:firstLine="547"/>
        <w:spacing w:after="0" w:line="247" w:lineRule="auto"/>
        <w:tabs>
          <w:tab w:leader="none" w:pos="94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3" w:lineRule="exact"/>
        <w:rPr>
          <w:rFonts w:ascii="Arial" w:cs="Arial" w:eastAsia="Arial" w:hAnsi="Arial"/>
          <w:sz w:val="18"/>
          <w:szCs w:val="18"/>
          <w:color w:val="auto"/>
        </w:rPr>
      </w:pPr>
    </w:p>
    <w:p>
      <w:pPr>
        <w:ind w:left="120" w:right="60" w:firstLine="547"/>
        <w:spacing w:after="0" w:line="253" w:lineRule="auto"/>
        <w:tabs>
          <w:tab w:leader="none" w:pos="94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5" w:right="4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120" w:right="220" w:firstLine="551"/>
        <w:spacing w:after="0" w:line="301"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City of San Francisco, State of California, on December 5, 2025.</w:t>
      </w:r>
    </w:p>
    <w:p>
      <w:pPr>
        <w:spacing w:after="0" w:line="15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ETHOS TECHNOLOGIES INC.</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Peter Colis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5628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Peter Colis</w:t>
      </w:r>
    </w:p>
    <w:p>
      <w:pPr>
        <w:spacing w:after="0" w:line="4"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w:t>
      </w:r>
    </w:p>
    <w:p>
      <w:pPr>
        <w:spacing w:after="0" w:line="194"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80"/>
        </w:trPr>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rPr>
              <w:t>Chief Executive Officer and Chair of the Board</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December 5, 2025</w:t>
            </w:r>
          </w:p>
        </w:tc>
        <w:tc>
          <w:tcPr>
            <w:tcW w:w="0" w:type="dxa"/>
            <w:vAlign w:val="bottom"/>
          </w:tcPr>
          <w:p>
            <w:pPr>
              <w:spacing w:after="0"/>
              <w:rPr>
                <w:sz w:val="1"/>
                <w:szCs w:val="1"/>
                <w:color w:val="auto"/>
              </w:rPr>
            </w:pPr>
          </w:p>
        </w:tc>
      </w:tr>
      <w:tr>
        <w:trPr>
          <w:trHeight w:val="215"/>
        </w:trPr>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gridSpan w:val="2"/>
          </w:tcPr>
          <w:p>
            <w:pPr>
              <w:jc w:val="center"/>
              <w:ind w:right="440"/>
              <w:spacing w:after="0" w:line="205" w:lineRule="exact"/>
              <w:rPr>
                <w:sz w:val="20"/>
                <w:szCs w:val="20"/>
                <w:color w:val="auto"/>
              </w:rPr>
            </w:pPr>
            <w:r>
              <w:rPr>
                <w:rFonts w:ascii="Arial" w:cs="Arial" w:eastAsia="Arial" w:hAnsi="Arial"/>
                <w:sz w:val="18"/>
                <w:szCs w:val="18"/>
                <w:color w:val="auto"/>
                <w:w w:val="99"/>
              </w:rPr>
              <w:t>/s/ Peter Colis</w:t>
            </w:r>
          </w:p>
        </w:tc>
        <w:tc>
          <w:tcPr>
            <w:tcW w:w="100" w:type="dxa"/>
            <w:vAlign w:val="bottom"/>
          </w:tcPr>
          <w:p>
            <w:pPr>
              <w:spacing w:after="0"/>
              <w:rPr>
                <w:sz w:val="18"/>
                <w:szCs w:val="18"/>
                <w:color w:val="auto"/>
              </w:rPr>
            </w:pPr>
          </w:p>
        </w:tc>
        <w:tc>
          <w:tcPr>
            <w:tcW w:w="4060" w:type="dxa"/>
            <w:vAlign w:val="bottom"/>
            <w:gridSpan w:val="2"/>
          </w:tcPr>
          <w:p>
            <w:pPr>
              <w:jc w:val="center"/>
              <w:ind w:right="220"/>
              <w:spacing w:after="0" w:line="205" w:lineRule="exact"/>
              <w:rPr>
                <w:sz w:val="20"/>
                <w:szCs w:val="20"/>
                <w:color w:val="auto"/>
              </w:rPr>
            </w:pPr>
            <w:r>
              <w:rPr>
                <w:rFonts w:ascii="Arial" w:cs="Arial" w:eastAsia="Arial" w:hAnsi="Arial"/>
                <w:sz w:val="18"/>
                <w:szCs w:val="18"/>
                <w:color w:val="auto"/>
                <w:w w:val="99"/>
              </w:rPr>
              <w:t>of Directors</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4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Peter Colis</w:t>
            </w:r>
          </w:p>
        </w:tc>
        <w:tc>
          <w:tcPr>
            <w:tcW w:w="100" w:type="dxa"/>
            <w:vAlign w:val="bottom"/>
          </w:tcPr>
          <w:p>
            <w:pPr>
              <w:spacing w:after="0"/>
              <w:rPr>
                <w:sz w:val="20"/>
                <w:szCs w:val="20"/>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9"/>
              </w:rPr>
              <w:t>(Principal Executive Officer)</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color w:val="auto"/>
                <w:w w:val="99"/>
              </w:rPr>
              <w:t>/s/ Lingke Wang</w:t>
            </w:r>
          </w:p>
        </w:tc>
        <w:tc>
          <w:tcPr>
            <w:tcW w:w="10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President and Director</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December 5, 2025</w:t>
            </w: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40" w:type="dxa"/>
            <w:vAlign w:val="bottom"/>
            <w:gridSpan w:val="2"/>
          </w:tcPr>
          <w:p>
            <w:pPr>
              <w:jc w:val="center"/>
              <w:ind w:right="440"/>
              <w:spacing w:after="0"/>
              <w:rPr>
                <w:sz w:val="20"/>
                <w:szCs w:val="20"/>
                <w:color w:val="auto"/>
              </w:rPr>
            </w:pPr>
            <w:r>
              <w:rPr>
                <w:rFonts w:ascii="Arial" w:cs="Arial" w:eastAsia="Arial" w:hAnsi="Arial"/>
                <w:sz w:val="18"/>
                <w:szCs w:val="18"/>
                <w:color w:val="auto"/>
                <w:w w:val="98"/>
              </w:rPr>
              <w:t>Lingke Wang</w:t>
            </w:r>
          </w:p>
        </w:tc>
        <w:tc>
          <w:tcPr>
            <w:tcW w:w="1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9"/>
        </w:trPr>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9"/>
              </w:rPr>
              <w:t>/s/ Christopher Capozzi</w:t>
            </w:r>
          </w:p>
        </w:tc>
        <w:tc>
          <w:tcPr>
            <w:tcW w:w="10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rPr>
              <w:t>Chief Financial Officer</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December 5, 2025</w:t>
            </w:r>
          </w:p>
        </w:tc>
        <w:tc>
          <w:tcPr>
            <w:tcW w:w="0" w:type="dxa"/>
            <w:vAlign w:val="bottom"/>
          </w:tcPr>
          <w:p>
            <w:pPr>
              <w:spacing w:after="0"/>
              <w:rPr>
                <w:sz w:val="1"/>
                <w:szCs w:val="1"/>
                <w:color w:val="auto"/>
              </w:rPr>
            </w:pPr>
          </w:p>
        </w:tc>
      </w:tr>
      <w:tr>
        <w:trPr>
          <w:trHeight w:val="239"/>
        </w:trPr>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4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Christopher Capozzi</w:t>
            </w:r>
          </w:p>
        </w:tc>
        <w:tc>
          <w:tcPr>
            <w:tcW w:w="100" w:type="dxa"/>
            <w:vAlign w:val="bottom"/>
          </w:tcPr>
          <w:p>
            <w:pPr>
              <w:spacing w:after="0"/>
              <w:rPr>
                <w:sz w:val="20"/>
                <w:szCs w:val="20"/>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9"/>
              </w:rPr>
              <w:t>(Principal Financial Officer)</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9"/>
        </w:trPr>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color w:val="auto"/>
              </w:rPr>
              <w:t>/s/ Brandt Kucharski</w:t>
            </w:r>
          </w:p>
        </w:tc>
        <w:tc>
          <w:tcPr>
            <w:tcW w:w="10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Chief Accounting Officer</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December 5, 2025</w:t>
            </w:r>
          </w:p>
        </w:tc>
        <w:tc>
          <w:tcPr>
            <w:tcW w:w="0" w:type="dxa"/>
            <w:vAlign w:val="bottom"/>
          </w:tcPr>
          <w:p>
            <w:pPr>
              <w:spacing w:after="0"/>
              <w:rPr>
                <w:sz w:val="1"/>
                <w:szCs w:val="1"/>
                <w:color w:val="auto"/>
              </w:rPr>
            </w:pPr>
          </w:p>
        </w:tc>
      </w:tr>
      <w:tr>
        <w:trPr>
          <w:trHeight w:val="239"/>
        </w:trPr>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40" w:type="dxa"/>
            <w:vAlign w:val="bottom"/>
            <w:gridSpan w:val="2"/>
          </w:tcPr>
          <w:p>
            <w:pPr>
              <w:jc w:val="center"/>
              <w:ind w:right="420"/>
              <w:spacing w:after="0"/>
              <w:rPr>
                <w:sz w:val="20"/>
                <w:szCs w:val="20"/>
                <w:color w:val="auto"/>
              </w:rPr>
            </w:pPr>
            <w:r>
              <w:rPr>
                <w:rFonts w:ascii="Arial" w:cs="Arial" w:eastAsia="Arial" w:hAnsi="Arial"/>
                <w:sz w:val="18"/>
                <w:szCs w:val="18"/>
                <w:color w:val="auto"/>
              </w:rPr>
              <w:t>Brandt Kucharski</w:t>
            </w:r>
          </w:p>
        </w:tc>
        <w:tc>
          <w:tcPr>
            <w:tcW w:w="100" w:type="dxa"/>
            <w:vAlign w:val="bottom"/>
          </w:tcPr>
          <w:p>
            <w:pPr>
              <w:spacing w:after="0"/>
              <w:rPr>
                <w:sz w:val="20"/>
                <w:szCs w:val="20"/>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rPr>
              <w:t>(Principal Accounting Officer)</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December 5, 2025</w:t>
            </w: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4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Roelof Botha</w:t>
            </w:r>
          </w:p>
        </w:tc>
        <w:tc>
          <w:tcPr>
            <w:tcW w:w="1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December 5, 2025</w:t>
            </w: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4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Priscilla Hung</w:t>
            </w:r>
          </w:p>
        </w:tc>
        <w:tc>
          <w:tcPr>
            <w:tcW w:w="1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December 5, 2025</w:t>
            </w: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40" w:type="dxa"/>
            <w:vAlign w:val="bottom"/>
            <w:gridSpan w:val="2"/>
          </w:tcPr>
          <w:p>
            <w:pPr>
              <w:jc w:val="center"/>
              <w:ind w:right="420"/>
              <w:spacing w:after="0"/>
              <w:rPr>
                <w:sz w:val="20"/>
                <w:szCs w:val="20"/>
                <w:color w:val="auto"/>
              </w:rPr>
            </w:pPr>
            <w:r>
              <w:rPr>
                <w:rFonts w:ascii="Arial" w:cs="Arial" w:eastAsia="Arial" w:hAnsi="Arial"/>
                <w:sz w:val="18"/>
                <w:szCs w:val="18"/>
                <w:color w:val="auto"/>
                <w:w w:val="98"/>
              </w:rPr>
              <w:t>John Kunze</w:t>
            </w:r>
          </w:p>
        </w:tc>
        <w:tc>
          <w:tcPr>
            <w:tcW w:w="1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December 5, 2025</w:t>
            </w: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4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Nathan J. Niparko</w:t>
            </w:r>
          </w:p>
        </w:tc>
        <w:tc>
          <w:tcPr>
            <w:tcW w:w="1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8"/>
              </w:rPr>
              <w:t>Director</w:t>
            </w: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99"/>
              </w:rPr>
              <w:t>December 5, 2025</w:t>
            </w: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4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Khozema Shipchandler</w:t>
            </w:r>
          </w:p>
        </w:tc>
        <w:tc>
          <w:tcPr>
            <w:tcW w:w="100" w:type="dxa"/>
            <w:vAlign w:val="bottom"/>
          </w:tcPr>
          <w:p>
            <w:pPr>
              <w:spacing w:after="0"/>
              <w:rPr>
                <w:sz w:val="20"/>
                <w:szCs w:val="20"/>
                <w:color w:val="auto"/>
              </w:rPr>
            </w:pPr>
          </w:p>
        </w:tc>
        <w:tc>
          <w:tcPr>
            <w:tcW w:w="4060" w:type="dxa"/>
            <w:vAlign w:val="bottom"/>
            <w:gridSpan w:val="2"/>
            <w:vMerge w:val="continue"/>
          </w:tcPr>
          <w:p>
            <w:pPr>
              <w:spacing w:after="0"/>
              <w:rPr>
                <w:sz w:val="20"/>
                <w:szCs w:val="20"/>
                <w:color w:val="auto"/>
              </w:rPr>
            </w:pPr>
          </w:p>
        </w:tc>
        <w:tc>
          <w:tcPr>
            <w:tcW w:w="2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8"/>
              </w:rPr>
              <w:t>Director</w:t>
            </w: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99"/>
              </w:rPr>
              <w:t>December 5, 2025</w:t>
            </w: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40" w:type="dxa"/>
            <w:vAlign w:val="bottom"/>
            <w:gridSpan w:val="2"/>
          </w:tcPr>
          <w:p>
            <w:pPr>
              <w:jc w:val="center"/>
              <w:ind w:right="420"/>
              <w:spacing w:after="0"/>
              <w:rPr>
                <w:sz w:val="20"/>
                <w:szCs w:val="20"/>
                <w:color w:val="auto"/>
              </w:rPr>
            </w:pPr>
            <w:r>
              <w:rPr>
                <w:rFonts w:ascii="Arial" w:cs="Arial" w:eastAsia="Arial" w:hAnsi="Arial"/>
                <w:sz w:val="18"/>
                <w:szCs w:val="18"/>
                <w:color w:val="auto"/>
              </w:rPr>
              <w:t>William J. Wheeler</w:t>
            </w:r>
          </w:p>
        </w:tc>
        <w:tc>
          <w:tcPr>
            <w:tcW w:w="100" w:type="dxa"/>
            <w:vAlign w:val="bottom"/>
          </w:tcPr>
          <w:p>
            <w:pPr>
              <w:spacing w:after="0"/>
              <w:rPr>
                <w:sz w:val="20"/>
                <w:szCs w:val="20"/>
                <w:color w:val="auto"/>
              </w:rPr>
            </w:pPr>
          </w:p>
        </w:tc>
        <w:tc>
          <w:tcPr>
            <w:tcW w:w="4060" w:type="dxa"/>
            <w:vAlign w:val="bottom"/>
            <w:gridSpan w:val="2"/>
            <w:vMerge w:val="continue"/>
          </w:tcPr>
          <w:p>
            <w:pPr>
              <w:spacing w:after="0"/>
              <w:rPr>
                <w:sz w:val="20"/>
                <w:szCs w:val="20"/>
                <w:color w:val="auto"/>
              </w:rPr>
            </w:pPr>
          </w:p>
        </w:tc>
        <w:tc>
          <w:tcPr>
            <w:tcW w:w="2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9"/>
        </w:trPr>
        <w:tc>
          <w:tcPr>
            <w:tcW w:w="420" w:type="dxa"/>
            <w:vAlign w:val="bottom"/>
            <w:gridSpan w:val="2"/>
          </w:tcPr>
          <w:p>
            <w:pPr>
              <w:spacing w:after="0"/>
              <w:rPr>
                <w:sz w:val="20"/>
                <w:szCs w:val="20"/>
                <w:color w:val="auto"/>
              </w:rPr>
            </w:pPr>
            <w:r>
              <w:rPr>
                <w:rFonts w:ascii="Arial" w:cs="Arial" w:eastAsia="Arial" w:hAnsi="Arial"/>
                <w:sz w:val="18"/>
                <w:szCs w:val="18"/>
                <w:color w:val="auto"/>
              </w:rPr>
              <w:t>*By:</w:t>
            </w:r>
          </w:p>
        </w:tc>
        <w:tc>
          <w:tcPr>
            <w:tcW w:w="44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/s/ Peter Colis</w:t>
            </w:r>
          </w:p>
        </w:tc>
        <w:tc>
          <w:tcPr>
            <w:tcW w:w="1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Peter Colis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use of our report dated June 11, 2025, except for the effects of the reverse stock split as described in Note 17, as to which the date is September 26, 2025, in the Registration Statement (Form S-1) and the related Prospectus of Ethos Technologies Inc. for the registration of shares of its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5, 2025</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1)"/>
      <w:numFmt w:val="decimal"/>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1)"/>
      <w:numFmt w:val="lowerRoman"/>
      <w:start w:val="2"/>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1)"/>
      <w:numFmt w:val="decimal"/>
      <w:start w:val="1"/>
    </w:lvl>
  </w:abstractNum>
  <w:abstractNum w:abstractNumId="16">
    <w:nsid w:val="6590700B"/>
    <w:multiLevelType w:val="hybridMultilevel"/>
    <w:lvl w:ilvl="0">
      <w:lvlJc w:val="left"/>
      <w:lvlText w:val="(%1)"/>
      <w:numFmt w:val="decimal"/>
      <w:start w:val="2"/>
    </w:lvl>
  </w:abstractNum>
  <w:abstractNum w:abstractNumId="17">
    <w:nsid w:val="15014ACB"/>
    <w:multiLevelType w:val="hybridMultilevel"/>
    <w:lvl w:ilvl="0">
      <w:lvlJc w:val="left"/>
      <w:lvlText w:val="(%1)"/>
      <w:numFmt w:val="decimal"/>
      <w:start w:val="1"/>
    </w:lvl>
  </w:abstractNum>
  <w:abstractNum w:abstractNumId="18">
    <w:nsid w:val="5F5E7FD0"/>
    <w:multiLevelType w:val="hybridMultilevel"/>
    <w:lvl w:ilvl="0">
      <w:lvlJc w:val="left"/>
      <w:lvlText w:val="(%1)"/>
      <w:numFmt w:val="decimal"/>
      <w:start w:val="2"/>
    </w:lvl>
  </w:abstractNum>
  <w:abstractNum w:abstractNumId="19">
    <w:nsid w:val="98A3148"/>
    <w:multiLevelType w:val="hybridMultilevel"/>
    <w:lvl w:ilvl="0">
      <w:lvlJc w:val="left"/>
      <w:lvlText w:val="(%1)"/>
      <w:numFmt w:val="decimal"/>
      <w:start w:val="3"/>
    </w:lvl>
  </w:abstractNum>
  <w:abstractNum w:abstractNumId="20">
    <w:nsid w:val="799D0247"/>
    <w:multiLevelType w:val="hybridMultilevel"/>
    <w:lvl w:ilvl="0">
      <w:lvlJc w:val="left"/>
      <w:lvlText w:val="(%1)"/>
      <w:numFmt w:val="decimal"/>
      <w:start w:val="4"/>
    </w:lvl>
  </w:abstractNum>
  <w:abstractNum w:abstractNumId="21">
    <w:nsid w:val="6B94764"/>
    <w:multiLevelType w:val="hybridMultilevel"/>
    <w:lvl w:ilvl="0">
      <w:lvlJc w:val="left"/>
      <w:lvlText w:val="(%1)"/>
      <w:numFmt w:val="decimal"/>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1)"/>
      <w:numFmt w:val="lowerRoman"/>
      <w:start w:val="2"/>
    </w:lvl>
  </w:abstractNum>
  <w:abstractNum w:abstractNumId="25">
    <w:nsid w:val="661E3F1E"/>
    <w:multiLevelType w:val="hybridMultilevel"/>
    <w:lvl w:ilvl="0">
      <w:lvlJc w:val="left"/>
      <w:lvlText w:val="(%1)"/>
      <w:numFmt w:val="lowerRoman"/>
      <w:start w:val="4"/>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
      <w:numFmt w:val="bullet"/>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1)"/>
      <w:numFmt w:val="lowerRoman"/>
      <w:start w:val="3"/>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
      <w:numFmt w:val="bullet"/>
      <w:start w:val="1"/>
    </w:lvl>
  </w:abstractNum>
  <w:abstractNum w:abstractNumId="36">
    <w:nsid w:val="1A32234B"/>
    <w:multiLevelType w:val="hybridMultilevel"/>
    <w:lvl w:ilvl="0">
      <w:lvlJc w:val="left"/>
      <w:lvlText w:val="•"/>
      <w:numFmt w:val="bullet"/>
      <w:start w:val="1"/>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1)"/>
      <w:numFmt w:val="decimal"/>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1)"/>
      <w:numFmt w:val="lowerRoman"/>
      <w:start w:val="3"/>
    </w:lvl>
    <w:lvl w:ilvl="1">
      <w:lvlJc w:val="left"/>
      <w:lvlText w:val="•"/>
      <w:numFmt w:val="bullet"/>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1)"/>
      <w:numFmt w:val="decimal"/>
      <w:start w:val="1"/>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
      <w:numFmt w:val="bullet"/>
      <w:start w:val="1"/>
    </w:lvl>
  </w:abstractNum>
  <w:abstractNum w:abstractNumId="48">
    <w:nsid w:val="6EB5BD4"/>
    <w:multiLevelType w:val="hybridMultilevel"/>
    <w:lvl w:ilvl="0">
      <w:lvlJc w:val="left"/>
      <w:lvlText w:val="•"/>
      <w:numFmt w:val="bullet"/>
      <w:start w:val="1"/>
    </w:lvl>
  </w:abstractNum>
  <w:abstractNum w:abstractNumId="49">
    <w:nsid w:val="6F6DD9AC"/>
    <w:multiLevelType w:val="hybridMultilevel"/>
    <w:lvl w:ilvl="0">
      <w:lvlJc w:val="left"/>
      <w:lvlText w:val=" "/>
      <w:numFmt w:val="bullet"/>
      <w:start w:val="1"/>
    </w:lvl>
  </w:abstractNum>
  <w:abstractNum w:abstractNumId="50">
    <w:nsid w:val="94211F2"/>
    <w:multiLevelType w:val="hybridMultilevel"/>
    <w:lvl w:ilvl="0">
      <w:lvlJc w:val="left"/>
      <w:lvlText w:val="•"/>
      <w:numFmt w:val="bullet"/>
      <w:start w:val="1"/>
    </w:lvl>
  </w:abstractNum>
  <w:abstractNum w:abstractNumId="51">
    <w:nsid w:val="885E1B"/>
    <w:multiLevelType w:val="hybridMultilevel"/>
    <w:lvl w:ilvl="0">
      <w:lvlJc w:val="left"/>
      <w:lvlText w:val="•"/>
      <w:numFmt w:val="bullet"/>
      <w:start w:val="1"/>
    </w:lvl>
  </w:abstractNum>
  <w:abstractNum w:abstractNumId="52">
    <w:nsid w:val="76272110"/>
    <w:multiLevelType w:val="hybridMultilevel"/>
    <w:lvl w:ilvl="0">
      <w:lvlJc w:val="left"/>
      <w:lvlText w:val="•"/>
      <w:numFmt w:val="bullet"/>
      <w:start w:val="1"/>
    </w:lvl>
  </w:abstractNum>
  <w:abstractNum w:abstractNumId="53">
    <w:nsid w:val="4C04A8AF"/>
    <w:multiLevelType w:val="hybridMultilevel"/>
    <w:lvl w:ilvl="0">
      <w:lvlJc w:val="left"/>
      <w:lvlText w:val="•"/>
      <w:numFmt w:val="bullet"/>
      <w:start w:val="1"/>
    </w:lvl>
  </w:abstractNum>
  <w:abstractNum w:abstractNumId="54">
    <w:nsid w:val="1716703B"/>
    <w:multiLevelType w:val="hybridMultilevel"/>
    <w:lvl w:ilvl="0">
      <w:lvlJc w:val="left"/>
      <w:lvlText w:val="•"/>
      <w:numFmt w:val="bullet"/>
      <w:start w:val="1"/>
    </w:lvl>
  </w:abstractNum>
  <w:abstractNum w:abstractNumId="55">
    <w:nsid w:val="14E17E33"/>
    <w:multiLevelType w:val="hybridMultilevel"/>
    <w:lvl w:ilvl="0">
      <w:lvlJc w:val="left"/>
      <w:lvlText w:val="•"/>
      <w:numFmt w:val="bullet"/>
      <w:start w:val="1"/>
    </w:lvl>
  </w:abstractNum>
  <w:abstractNum w:abstractNumId="56">
    <w:nsid w:val="3222E7CD"/>
    <w:multiLevelType w:val="hybridMultilevel"/>
    <w:lvl w:ilvl="0">
      <w:lvlJc w:val="left"/>
      <w:lvlText w:val="•"/>
      <w:numFmt w:val="bullet"/>
      <w:start w:val="1"/>
    </w:lvl>
  </w:abstractNum>
  <w:abstractNum w:abstractNumId="57">
    <w:nsid w:val="74DE0EE3"/>
    <w:multiLevelType w:val="hybridMultilevel"/>
    <w:lvl w:ilvl="0">
      <w:lvlJc w:val="left"/>
      <w:lvlText w:val="1"/>
      <w:numFmt w:val="bullet"/>
      <w:start w:val="1"/>
    </w:lvl>
  </w:abstractNum>
  <w:abstractNum w:abstractNumId="58">
    <w:nsid w:val="68EBC550"/>
    <w:multiLevelType w:val="hybridMultilevel"/>
    <w:lvl w:ilvl="0">
      <w:lvlJc w:val="left"/>
      <w:lvlText w:val="2"/>
      <w:numFmt w:val="bullet"/>
      <w:start w:val="1"/>
    </w:lvl>
  </w:abstractNum>
  <w:abstractNum w:abstractNumId="59">
    <w:nsid w:val="2DF6D648"/>
    <w:multiLevelType w:val="hybridMultilevel"/>
    <w:lvl w:ilvl="0">
      <w:lvlJc w:val="left"/>
      <w:lvlText w:val="•"/>
      <w:numFmt w:val="bullet"/>
      <w:start w:val="1"/>
    </w:lvl>
  </w:abstractNum>
  <w:abstractNum w:abstractNumId="60">
    <w:nsid w:val="46B7D447"/>
    <w:multiLevelType w:val="hybridMultilevel"/>
    <w:lvl w:ilvl="0">
      <w:lvlJc w:val="left"/>
      <w:lvlText w:val="•"/>
      <w:numFmt w:val="bullet"/>
      <w:start w:val="1"/>
    </w:lvl>
  </w:abstractNum>
  <w:abstractNum w:abstractNumId="61">
    <w:nsid w:val="4A2AC315"/>
    <w:multiLevelType w:val="hybridMultilevel"/>
    <w:lvl w:ilvl="0">
      <w:lvlJc w:val="left"/>
      <w:lvlText w:val="•"/>
      <w:numFmt w:val="bullet"/>
      <w:start w:val="1"/>
    </w:lvl>
  </w:abstractNum>
  <w:abstractNum w:abstractNumId="62">
    <w:nsid w:val="39EE015C"/>
    <w:multiLevelType w:val="hybridMultilevel"/>
    <w:lvl w:ilvl="0">
      <w:lvlJc w:val="left"/>
      <w:lvlText w:val="•"/>
      <w:numFmt w:val="bullet"/>
      <w:start w:val="1"/>
    </w:lvl>
  </w:abstractNum>
  <w:abstractNum w:abstractNumId="63">
    <w:nsid w:val="57FC4FBB"/>
    <w:multiLevelType w:val="hybridMultilevel"/>
    <w:lvl w:ilvl="0">
      <w:lvlJc w:val="left"/>
      <w:lvlText w:val="•"/>
      <w:numFmt w:val="bullet"/>
      <w:start w:val="1"/>
    </w:lvl>
  </w:abstractNum>
  <w:abstractNum w:abstractNumId="64">
    <w:nsid w:val="CC1016F"/>
    <w:multiLevelType w:val="hybridMultilevel"/>
    <w:lvl w:ilvl="0">
      <w:lvlJc w:val="left"/>
      <w:lvlText w:val="•"/>
      <w:numFmt w:val="bullet"/>
      <w:start w:val="1"/>
    </w:lvl>
  </w:abstractNum>
  <w:abstractNum w:abstractNumId="65">
    <w:nsid w:val="43F18422"/>
    <w:multiLevelType w:val="hybridMultilevel"/>
    <w:lvl w:ilvl="0">
      <w:lvlJc w:val="left"/>
      <w:lvlText w:val="•"/>
      <w:numFmt w:val="bullet"/>
      <w:start w:val="1"/>
    </w:lvl>
  </w:abstractNum>
  <w:abstractNum w:abstractNumId="66">
    <w:nsid w:val="60EF0119"/>
    <w:multiLevelType w:val="hybridMultilevel"/>
    <w:lvl w:ilvl="0">
      <w:lvlJc w:val="left"/>
      <w:lvlText w:val="•"/>
      <w:numFmt w:val="bullet"/>
      <w:start w:val="1"/>
    </w:lvl>
  </w:abstractNum>
  <w:abstractNum w:abstractNumId="67">
    <w:nsid w:val="26F324BA"/>
    <w:multiLevelType w:val="hybridMultilevel"/>
    <w:lvl w:ilvl="0">
      <w:lvlJc w:val="left"/>
      <w:lvlText w:val="•"/>
      <w:numFmt w:val="bullet"/>
      <w:start w:val="1"/>
    </w:lvl>
  </w:abstractNum>
  <w:abstractNum w:abstractNumId="68">
    <w:nsid w:val="7F01579B"/>
    <w:multiLevelType w:val="hybridMultilevel"/>
    <w:lvl w:ilvl="0">
      <w:lvlJc w:val="left"/>
      <w:lvlText w:val="(%1)"/>
      <w:numFmt w:val="decimal"/>
      <w:start w:val="1"/>
    </w:lvl>
  </w:abstractNum>
  <w:abstractNum w:abstractNumId="69">
    <w:nsid w:val="49DA307D"/>
    <w:multiLevelType w:val="hybridMultilevel"/>
    <w:lvl w:ilvl="0">
      <w:lvlJc w:val="left"/>
      <w:lvlText w:val="•"/>
      <w:numFmt w:val="bullet"/>
      <w:start w:val="1"/>
    </w:lvl>
  </w:abstractNum>
  <w:abstractNum w:abstractNumId="70">
    <w:nsid w:val="7055A5F5"/>
    <w:multiLevelType w:val="hybridMultilevel"/>
    <w:lvl w:ilvl="0">
      <w:lvlJc w:val="left"/>
      <w:lvlText w:val="•"/>
      <w:numFmt w:val="bullet"/>
      <w:start w:val="1"/>
    </w:lvl>
  </w:abstractNum>
  <w:abstractNum w:abstractNumId="71">
    <w:nsid w:val="5FB8370B"/>
    <w:multiLevelType w:val="hybridMultilevel"/>
    <w:lvl w:ilvl="0">
      <w:lvlJc w:val="left"/>
      <w:lvlText w:val="•"/>
      <w:numFmt w:val="bullet"/>
      <w:start w:val="1"/>
    </w:lvl>
  </w:abstractNum>
  <w:abstractNum w:abstractNumId="72">
    <w:nsid w:val="50801EE1"/>
    <w:multiLevelType w:val="hybridMultilevel"/>
    <w:lvl w:ilvl="0">
      <w:lvlJc w:val="left"/>
      <w:lvlText w:val="•"/>
      <w:numFmt w:val="bullet"/>
      <w:start w:val="1"/>
    </w:lvl>
  </w:abstractNum>
  <w:abstractNum w:abstractNumId="73">
    <w:nsid w:val="488AC1A"/>
    <w:multiLevelType w:val="hybridMultilevel"/>
    <w:lvl w:ilvl="0">
      <w:lvlJc w:val="left"/>
      <w:lvlText w:val="•"/>
      <w:numFmt w:val="bullet"/>
      <w:start w:val="1"/>
    </w:lvl>
  </w:abstractNum>
  <w:abstractNum w:abstractNumId="74">
    <w:nsid w:val="5FB8011C"/>
    <w:multiLevelType w:val="hybridMultilevel"/>
    <w:lvl w:ilvl="0">
      <w:lvlJc w:val="left"/>
      <w:lvlText w:val="•"/>
      <w:numFmt w:val="bullet"/>
      <w:start w:val="1"/>
    </w:lvl>
  </w:abstractNum>
  <w:abstractNum w:abstractNumId="75">
    <w:nsid w:val="6AA78F7F"/>
    <w:multiLevelType w:val="hybridMultilevel"/>
    <w:lvl w:ilvl="0">
      <w:lvlJc w:val="left"/>
      <w:lvlText w:val="•"/>
      <w:numFmt w:val="bullet"/>
      <w:start w:val="1"/>
    </w:lvl>
  </w:abstractNum>
  <w:abstractNum w:abstractNumId="76">
    <w:nsid w:val="7672BD23"/>
    <w:multiLevelType w:val="hybridMultilevel"/>
    <w:lvl w:ilvl="0">
      <w:lvlJc w:val="left"/>
      <w:lvlText w:val="•"/>
      <w:numFmt w:val="bullet"/>
      <w:start w:val="1"/>
    </w:lvl>
  </w:abstractNum>
  <w:abstractNum w:abstractNumId="77">
    <w:nsid w:val="6FC75AF8"/>
    <w:multiLevelType w:val="hybridMultilevel"/>
    <w:lvl w:ilvl="0">
      <w:lvlJc w:val="left"/>
      <w:lvlText w:val="(%1)"/>
      <w:numFmt w:val="decimal"/>
      <w:start w:val="1"/>
    </w:lvl>
  </w:abstractNum>
  <w:abstractNum w:abstractNumId="78">
    <w:nsid w:val="6A5F7029"/>
    <w:multiLevelType w:val="hybridMultilevel"/>
    <w:lvl w:ilvl="0">
      <w:lvlJc w:val="left"/>
      <w:lvlText w:val="(%1)"/>
      <w:numFmt w:val="decimal"/>
      <w:start w:val="1"/>
    </w:lvl>
  </w:abstractNum>
  <w:abstractNum w:abstractNumId="79">
    <w:nsid w:val="7D5E18F8"/>
    <w:multiLevelType w:val="hybridMultilevel"/>
    <w:lvl w:ilvl="0">
      <w:lvlJc w:val="left"/>
      <w:lvlText w:val="(%1)"/>
      <w:numFmt w:val="lowerRoman"/>
      <w:start w:val="3"/>
    </w:lvl>
  </w:abstractNum>
  <w:abstractNum w:abstractNumId="80">
    <w:nsid w:val="5F3534A4"/>
    <w:multiLevelType w:val="hybridMultilevel"/>
    <w:lvl w:ilvl="0">
      <w:lvlJc w:val="left"/>
      <w:lvlText w:val="•"/>
      <w:numFmt w:val="bullet"/>
      <w:start w:val="1"/>
    </w:lvl>
  </w:abstractNum>
  <w:abstractNum w:abstractNumId="81">
    <w:nsid w:val="73A1821B"/>
    <w:multiLevelType w:val="hybridMultilevel"/>
    <w:lvl w:ilvl="0">
      <w:lvlJc w:val="left"/>
      <w:lvlText w:val="•"/>
      <w:numFmt w:val="bullet"/>
      <w:start w:val="1"/>
    </w:lvl>
  </w:abstractNum>
  <w:abstractNum w:abstractNumId="82">
    <w:nsid w:val="7DE67713"/>
    <w:multiLevelType w:val="hybridMultilevel"/>
    <w:lvl w:ilvl="0">
      <w:lvlJc w:val="left"/>
      <w:lvlText w:val="•"/>
      <w:numFmt w:val="bullet"/>
      <w:start w:val="1"/>
    </w:lvl>
  </w:abstractNum>
  <w:abstractNum w:abstractNumId="83">
    <w:nsid w:val="555C55B5"/>
    <w:multiLevelType w:val="hybridMultilevel"/>
    <w:lvl w:ilvl="0">
      <w:lvlJc w:val="left"/>
      <w:lvlText w:val="•"/>
      <w:numFmt w:val="bullet"/>
      <w:start w:val="1"/>
    </w:lvl>
  </w:abstractNum>
  <w:abstractNum w:abstractNumId="84">
    <w:nsid w:val="3FA62ACA"/>
    <w:multiLevelType w:val="hybridMultilevel"/>
    <w:lvl w:ilvl="0">
      <w:lvlJc w:val="left"/>
      <w:lvlText w:val="•"/>
      <w:numFmt w:val="bullet"/>
      <w:start w:val="1"/>
    </w:lvl>
  </w:abstractNum>
  <w:abstractNum w:abstractNumId="85">
    <w:nsid w:val="14FCE74E"/>
    <w:multiLevelType w:val="hybridMultilevel"/>
    <w:lvl w:ilvl="0">
      <w:lvlJc w:val="left"/>
      <w:lvlText w:val="*"/>
      <w:numFmt w:val="bullet"/>
      <w:start w:val="1"/>
    </w:lvl>
  </w:abstractNum>
  <w:abstractNum w:abstractNumId="86">
    <w:nsid w:val="6A3DD3E8"/>
    <w:multiLevelType w:val="hybridMultilevel"/>
    <w:lvl w:ilvl="0">
      <w:lvlJc w:val="left"/>
      <w:lvlText w:val="†"/>
      <w:numFmt w:val="bullet"/>
      <w:start w:val="1"/>
    </w:lvl>
  </w:abstractNum>
  <w:abstractNum w:abstractNumId="87">
    <w:nsid w:val="71C91298"/>
    <w:multiLevelType w:val="hybridMultilevel"/>
    <w:lvl w:ilvl="0">
      <w:lvlJc w:val="left"/>
      <w:lvlText w:val="(%1)"/>
      <w:numFmt w:val="decimal"/>
      <w:start w:val="1"/>
    </w:lvl>
  </w:abstractNum>
  <w:abstractNum w:abstractNumId="88">
    <w:nsid w:val="9DAF632"/>
    <w:multiLevelType w:val="hybridMultilevel"/>
    <w:lvl w:ilvl="0">
      <w:lvlJc w:val="left"/>
      <w:lvlText w:val="(%1)"/>
      <w:numFmt w:val="decimal"/>
      <w:start w:val="2"/>
    </w:lvl>
  </w:abstractNum>
  <w:abstractNum w:abstractNumId="89">
    <w:nsid w:val="53299938"/>
    <w:multiLevelType w:val="hybridMultilevel"/>
    <w:lvl w:ilvl="0">
      <w:lvlJc w:val="left"/>
      <w:lvlText w:val="(%1)"/>
      <w:numFmt w:val="decimal"/>
      <w:start w:val="4"/>
    </w:lvl>
  </w:abstractNum>
  <w:abstractNum w:abstractNumId="90">
    <w:nsid w:val="1FBFE8E0"/>
    <w:multiLevelType w:val="hybridMultilevel"/>
    <w:lvl w:ilvl="0">
      <w:lvlJc w:val="left"/>
      <w:lvlText w:val="(%1)"/>
      <w:numFmt w:val="decimal"/>
      <w:start w:val="5"/>
    </w:lvl>
  </w:abstractNum>
  <w:abstractNum w:abstractNumId="91">
    <w:nsid w:val="5092CA79"/>
    <w:multiLevelType w:val="hybridMultilevel"/>
    <w:lvl w:ilvl="0">
      <w:lvlJc w:val="left"/>
      <w:lvlText w:val="(%1)"/>
      <w:numFmt w:val="lowerLetter"/>
      <w:start w:val="1"/>
    </w:lvl>
  </w:abstractNum>
  <w:abstractNum w:abstractNumId="92">
    <w:nsid w:val="1D545C4D"/>
    <w:multiLevelType w:val="hybridMultilevel"/>
    <w:lvl w:ilvl="0">
      <w:lvlJc w:val="left"/>
      <w:lvlText w:val="(%1)"/>
      <w:numFmt w:val="lowerRoman"/>
      <w:start w:val="1"/>
    </w:lvl>
  </w:abstractNum>
  <w:abstractNum w:abstractNumId="93">
    <w:nsid w:val="59ADEA3D"/>
    <w:multiLevelType w:val="hybridMultilevel"/>
    <w:lvl w:ilvl="0">
      <w:lvlJc w:val="left"/>
      <w:lvlText w:val="•"/>
      <w:numFmt w:val="bullet"/>
      <w:start w:val="1"/>
    </w:lvl>
  </w:abstractNum>
  <w:abstractNum w:abstractNumId="94">
    <w:nsid w:val="288F1A34"/>
    <w:multiLevelType w:val="hybridMultilevel"/>
    <w:lvl w:ilvl="0">
      <w:lvlJc w:val="left"/>
      <w:lvlText w:val="•"/>
      <w:numFmt w:val="bullet"/>
      <w:start w:val="1"/>
    </w:lvl>
  </w:abstractNum>
  <w:abstractNum w:abstractNumId="95">
    <w:nsid w:val="2A155DBC"/>
    <w:multiLevelType w:val="hybridMultilevel"/>
    <w:lvl w:ilvl="0">
      <w:lvlJc w:val="left"/>
      <w:lvlText w:val="•"/>
      <w:numFmt w:val="bullet"/>
      <w:start w:val="1"/>
    </w:lvl>
  </w:abstractNum>
  <w:abstractNum w:abstractNumId="96">
    <w:nsid w:val="1D9F6E5F"/>
    <w:multiLevelType w:val="hybridMultilevel"/>
    <w:lvl w:ilvl="0">
      <w:lvlJc w:val="left"/>
      <w:lvlText w:val="(%1)"/>
      <w:numFmt w:val="upperLetter"/>
      <w:start w:val="4"/>
    </w:lvl>
  </w:abstractNum>
  <w:abstractNum w:abstractNumId="97">
    <w:nsid w:val="97E1B4E"/>
    <w:multiLevelType w:val="hybridMultilevel"/>
    <w:lvl w:ilvl="0">
      <w:lvlJc w:val="left"/>
      <w:lvlText w:val="(%1)"/>
      <w:numFmt w:val="upperLetter"/>
      <w:start w:val="2"/>
    </w:lvl>
  </w:abstractNum>
  <w:abstractNum w:abstractNumId="98">
    <w:nsid w:val="51088277"/>
    <w:multiLevelType w:val="hybridMultilevel"/>
    <w:lvl w:ilvl="0">
      <w:lvlJc w:val="left"/>
      <w:lvlText w:val="•"/>
      <w:numFmt w:val="bullet"/>
      <w:start w:val="1"/>
    </w:lvl>
  </w:abstractNum>
  <w:abstractNum w:abstractNumId="99">
    <w:nsid w:val="1CA0C5FA"/>
    <w:multiLevelType w:val="hybridMultilevel"/>
    <w:lvl w:ilvl="0">
      <w:lvlJc w:val="left"/>
      <w:lvlText w:val="•"/>
      <w:numFmt w:val="bullet"/>
      <w:start w:val="1"/>
    </w:lvl>
  </w:abstractNum>
  <w:abstractNum w:abstractNumId="100">
    <w:nsid w:val="53584BCB"/>
    <w:multiLevelType w:val="hybridMultilevel"/>
    <w:lvl w:ilvl="0">
      <w:lvlJc w:val="left"/>
      <w:lvlText w:val="(%1)"/>
      <w:numFmt w:val="decimal"/>
      <w:start w:val="2"/>
    </w:lvl>
  </w:abstractNum>
  <w:abstractNum w:abstractNumId="101">
    <w:nsid w:val="415E286C"/>
    <w:multiLevelType w:val="hybridMultilevel"/>
    <w:lvl w:ilvl="0">
      <w:lvlJc w:val="left"/>
      <w:lvlText w:val="•"/>
      <w:numFmt w:val="bullet"/>
      <w:start w:val="1"/>
    </w:lvl>
  </w:abstractNum>
  <w:abstractNum w:abstractNumId="102">
    <w:nsid w:val="7C58FD05"/>
    <w:multiLevelType w:val="hybridMultilevel"/>
    <w:lvl w:ilvl="0">
      <w:lvlJc w:val="left"/>
      <w:lvlText w:val="•"/>
      <w:numFmt w:val="bullet"/>
      <w:start w:val="1"/>
    </w:lvl>
  </w:abstractNum>
  <w:abstractNum w:abstractNumId="103">
    <w:nsid w:val="23D86AAC"/>
    <w:multiLevelType w:val="hybridMultilevel"/>
    <w:lvl w:ilvl="0">
      <w:lvlJc w:val="left"/>
      <w:lvlText w:val="•"/>
      <w:numFmt w:val="bullet"/>
      <w:start w:val="1"/>
    </w:lvl>
  </w:abstractNum>
  <w:abstractNum w:abstractNumId="104">
    <w:nsid w:val="45E6D486"/>
    <w:multiLevelType w:val="hybridMultilevel"/>
    <w:lvl w:ilvl="0">
      <w:lvlJc w:val="left"/>
      <w:lvlText w:val="(%1)"/>
      <w:numFmt w:val="lowerRoman"/>
      <w:start w:val="3"/>
    </w:lvl>
  </w:abstractNum>
  <w:abstractNum w:abstractNumId="105">
    <w:nsid w:val="5C10FE21"/>
    <w:multiLevelType w:val="hybridMultilevel"/>
    <w:lvl w:ilvl="0">
      <w:lvlJc w:val="left"/>
      <w:lvlText w:val="(%1)"/>
      <w:numFmt w:val="decimal"/>
      <w:start w:val="1"/>
    </w:lvl>
  </w:abstractNum>
  <w:abstractNum w:abstractNumId="106">
    <w:nsid w:val="E7FFA2B"/>
    <w:multiLevelType w:val="hybridMultilevel"/>
    <w:lvl w:ilvl="0">
      <w:lvlJc w:val="left"/>
      <w:lvlText w:val="(%1)"/>
      <w:numFmt w:val="decimal"/>
      <w:start w:val="5"/>
    </w:lvl>
  </w:abstractNum>
  <w:abstractNum w:abstractNumId="107">
    <w:nsid w:val="3C5991AA"/>
    <w:multiLevelType w:val="hybridMultilevel"/>
    <w:lvl w:ilvl="0">
      <w:lvlJc w:val="left"/>
      <w:lvlText w:val="•"/>
      <w:numFmt w:val="bullet"/>
      <w:start w:val="1"/>
    </w:lvl>
  </w:abstractNum>
  <w:abstractNum w:abstractNumId="108">
    <w:nsid w:val="4BD8591A"/>
    <w:multiLevelType w:val="hybridMultilevel"/>
    <w:lvl w:ilvl="0">
      <w:lvlJc w:val="left"/>
      <w:lvlText w:val="•"/>
      <w:numFmt w:val="bullet"/>
      <w:start w:val="1"/>
    </w:lvl>
  </w:abstractNum>
  <w:abstractNum w:abstractNumId="109">
    <w:nsid w:val="78DF6A55"/>
    <w:multiLevelType w:val="hybridMultilevel"/>
    <w:lvl w:ilvl="0">
      <w:lvlJc w:val="left"/>
      <w:lvlText w:val="•"/>
      <w:numFmt w:val="bullet"/>
      <w:start w:val="1"/>
    </w:lvl>
  </w:abstractNum>
  <w:abstractNum w:abstractNumId="110">
    <w:nsid w:val="39B7AAA2"/>
    <w:multiLevelType w:val="hybridMultilevel"/>
    <w:lvl w:ilvl="0">
      <w:lvlJc w:val="left"/>
      <w:lvlText w:val="(%1)"/>
      <w:numFmt w:val="lowerRoman"/>
      <w:start w:val="2"/>
    </w:lvl>
  </w:abstractNum>
  <w:abstractNum w:abstractNumId="111">
    <w:nsid w:val="2B0D8DBE"/>
    <w:multiLevelType w:val="hybridMultilevel"/>
    <w:lvl w:ilvl="0">
      <w:lvlJc w:val="left"/>
      <w:lvlText w:val="(%1)"/>
      <w:numFmt w:val="decimal"/>
      <w:start w:val="1"/>
    </w:lvl>
  </w:abstractNum>
  <w:abstractNum w:abstractNumId="112">
    <w:nsid w:val="6C80EC70"/>
    <w:multiLevelType w:val="hybridMultilevel"/>
    <w:lvl w:ilvl="0">
      <w:lvlJc w:val="left"/>
      <w:lvlText w:val="(%1)"/>
      <w:numFmt w:val="decimal"/>
      <w:start w:val="1"/>
    </w:lvl>
  </w:abstractNum>
  <w:abstractNum w:abstractNumId="113">
    <w:nsid w:val="379E21B5"/>
    <w:multiLevelType w:val="hybridMultilevel"/>
    <w:lvl w:ilvl="0">
      <w:lvlJc w:val="left"/>
      <w:lvlText w:val="(%1)"/>
      <w:numFmt w:val="decimal"/>
      <w:start w:val="1"/>
    </w:lvl>
  </w:abstractNum>
  <w:abstractNum w:abstractNumId="114">
    <w:nsid w:val="69E373"/>
    <w:multiLevelType w:val="hybridMultilevel"/>
    <w:lvl w:ilvl="0">
      <w:lvlJc w:val="left"/>
      <w:lvlText w:val="(%1)"/>
      <w:numFmt w:val="decimal"/>
      <w:start w:val="1"/>
    </w:lvl>
  </w:abstractNum>
  <w:abstractNum w:abstractNumId="115">
    <w:nsid w:val="2C27173B"/>
    <w:multiLevelType w:val="hybridMultilevel"/>
    <w:lvl w:ilvl="0">
      <w:lvlJc w:val="left"/>
      <w:lvlText w:val="%1."/>
      <w:numFmt w:val="decimal"/>
      <w:start w:val="10"/>
    </w:lvl>
  </w:abstractNum>
  <w:abstractNum w:abstractNumId="116">
    <w:nsid w:val="4C9B0904"/>
    <w:multiLevelType w:val="hybridMultilevel"/>
    <w:lvl w:ilvl="0">
      <w:lvlJc w:val="left"/>
      <w:lvlText w:val="*"/>
      <w:numFmt w:val="bullet"/>
      <w:start w:val="1"/>
    </w:lvl>
  </w:abstractNum>
  <w:abstractNum w:abstractNumId="117">
    <w:nsid w:val="6AA7B75C"/>
    <w:multiLevelType w:val="hybridMultilevel"/>
    <w:lvl w:ilvl="0">
      <w:lvlJc w:val="left"/>
      <w:lvlText w:val="•"/>
      <w:numFmt w:val="bullet"/>
      <w:start w:val="1"/>
    </w:lvl>
  </w:abstractNum>
  <w:abstractNum w:abstractNumId="118">
    <w:nsid w:val="1DF029D3"/>
    <w:multiLevelType w:val="hybridMultilevel"/>
    <w:lvl w:ilvl="0">
      <w:lvlJc w:val="left"/>
      <w:lvlText w:val="•"/>
      <w:numFmt w:val="bullet"/>
      <w:start w:val="1"/>
    </w:lvl>
  </w:abstractNum>
  <w:abstractNum w:abstractNumId="119">
    <w:nsid w:val="5675FF36"/>
    <w:multiLevelType w:val="hybridMultilevel"/>
    <w:lvl w:ilvl="0">
      <w:lvlJc w:val="left"/>
      <w:lvlText w:val="*"/>
      <w:numFmt w:val="bullet"/>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73" Type="http://schemas.openxmlformats.org/officeDocument/2006/relationships/image" Target="media/image355.png"/><Relationship Id="rId376" Type="http://schemas.openxmlformats.org/officeDocument/2006/relationships/image" Target="media/image356.png"/><Relationship Id="rId377" Type="http://schemas.openxmlformats.org/officeDocument/2006/relationships/image" Target="media/image357.png"/><Relationship Id="rId378" Type="http://schemas.openxmlformats.org/officeDocument/2006/relationships/image" Target="media/image358.png"/><Relationship Id="rId362" Type="http://schemas.openxmlformats.org/officeDocument/2006/relationships/hyperlink" Target="http://www.sec.gov/Archives/edgar/data/0001788451/000119312525219975/d901135dex31.htm" TargetMode="External"/><Relationship Id="rId363" Type="http://schemas.openxmlformats.org/officeDocument/2006/relationships/hyperlink" Target="http://www.sec.gov/Archives/edgar/data/0001788451/000119312525219975/d901135dex33.htm" TargetMode="External"/><Relationship Id="rId364" Type="http://schemas.openxmlformats.org/officeDocument/2006/relationships/hyperlink" Target="http://www.sec.gov/Archives/edgar/data/0001788451/000119312525219975/d901135dex42.htm" TargetMode="External"/><Relationship Id="rId365" Type="http://schemas.openxmlformats.org/officeDocument/2006/relationships/hyperlink" Target="http://www.sec.gov/Archives/edgar/data/0001788451/000119312525219975/d901135dex43.htm" TargetMode="External"/><Relationship Id="rId366" Type="http://schemas.openxmlformats.org/officeDocument/2006/relationships/hyperlink" Target="http://www.sec.gov/Archives/edgar/data/0001788451/000119312525219975/d901135dex44.htm" TargetMode="External"/><Relationship Id="rId367" Type="http://schemas.openxmlformats.org/officeDocument/2006/relationships/hyperlink" Target="http://www.sec.gov/Archives/edgar/data/0001788451/000119312525219975/d901135dex101.htm" TargetMode="External"/><Relationship Id="rId368" Type="http://schemas.openxmlformats.org/officeDocument/2006/relationships/hyperlink" Target="http://www.sec.gov/Archives/edgar/data/0001788451/000119312525219975/d901135dex104.htm" TargetMode="External"/><Relationship Id="rId369" Type="http://schemas.openxmlformats.org/officeDocument/2006/relationships/hyperlink" Target="http://www.sec.gov/Archives/edgar/data/0001788451/000119312525219975/d901135dex105.htm" TargetMode="External"/><Relationship Id="rId370" Type="http://schemas.openxmlformats.org/officeDocument/2006/relationships/hyperlink" Target="http://www.sec.gov/Archives/edgar/data/0001788451/000119312525219975/d901135dex106.htm" TargetMode="External"/><Relationship Id="rId371" Type="http://schemas.openxmlformats.org/officeDocument/2006/relationships/hyperlink" Target="http://www.sec.gov/Archives/edgar/data/0001788451/000119312525219975/d901135dex1010.htm" TargetMode="External"/><Relationship Id="rId372" Type="http://schemas.openxmlformats.org/officeDocument/2006/relationships/hyperlink" Target="http://www.sec.gov/Archives/edgar/data/0001788451/000119312525219975/d901135dex211.htm" TargetMode="External"/><Relationship Id="rId374" Type="http://schemas.openxmlformats.org/officeDocument/2006/relationships/hyperlink" Target="http://www.sec.gov/Archives/edgar/data/1788451/000119312525219975/d901135ds1.htm#sig" TargetMode="External"/><Relationship Id="rId375" Type="http://schemas.openxmlformats.org/officeDocument/2006/relationships/hyperlink" Target="http://www.sec.gov/Archives/edgar/data/0001788451/000119312525219975/d901135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2025-12-05T16:43:21Z</dcterms:created>
  <dcterms:modified xsi:type="dcterms:W3CDTF">2025-12-05T16:43:21Z</dcterms:modified>
</cp:coreProperties>
</file>