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60805.xml.htm"/>
      <w:bookmarkStart w:id="1" w:name="ksform408212026_0608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Colis Peter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ETHOS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1606 HEADWAY CIRCLE #9013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92"/>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27,924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1,593,884</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23,653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32.89</w:t>
            </w:r>
            <w:r>
              <w:rPr>
                <w:rFonts w:ascii="Times;serif" w:hAnsi="Times;serif"/>
                <w:color w:val="008000"/>
                <w:position w:val="7"/>
                <w:sz w:val="16"/>
                <w:sz w:val="20"/>
                <w:shd w:fill="FFFFFF" w:val="clear"/>
              </w:rPr>
              <w:t>(4)</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1,570,231</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33.61</w:t>
            </w:r>
            <w:r>
              <w:rPr>
                <w:rFonts w:ascii="Times;serif" w:hAnsi="Times;serif"/>
                <w:color w:val="008000"/>
                <w:position w:val="7"/>
                <w:sz w:val="16"/>
                <w:sz w:val="20"/>
                <w:shd w:fill="FFFFFF" w:val="clear"/>
              </w:rPr>
              <w:t>(5)</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1,565,960</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27,924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1,593,884</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w:t>
            </w:r>
            <w:r>
              <w:rPr>
                <w:rFonts w:ascii="Times;serif" w:hAnsi="Times;serif"/>
                <w:color w:val="008000"/>
                <w:position w:val="7"/>
                <w:sz w:val="16"/>
                <w:sz w:val="20"/>
                <w:shd w:fill="FFFFFF" w:val="clear"/>
              </w:rPr>
              <w:t>(6)</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1,580,704</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14,744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33.23</w:t>
            </w:r>
            <w:r>
              <w:rPr>
                <w:rFonts w:ascii="Times;serif" w:hAnsi="Times;serif"/>
                <w:color w:val="008000"/>
                <w:position w:val="7"/>
                <w:sz w:val="16"/>
                <w:sz w:val="20"/>
                <w:shd w:fill="FFFFFF" w:val="clear"/>
              </w:rPr>
              <w:t>(7)</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1,565,960</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24,564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w:t>
            </w:r>
            <w:r>
              <w:rPr>
                <w:rFonts w:ascii="Times;serif" w:hAnsi="Times;serif"/>
                <w:color w:val="008000"/>
                <w:position w:val="7"/>
                <w:sz w:val="16"/>
                <w:sz w:val="20"/>
                <w:shd w:fill="FFFFFF" w:val="clear"/>
              </w:rPr>
              <w:t>(8)</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1,541,396</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4,036</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33.85</w:t>
            </w:r>
            <w:r>
              <w:rPr>
                <w:rFonts w:ascii="Times;serif" w:hAnsi="Times;serif"/>
                <w:color w:val="008000"/>
                <w:position w:val="7"/>
                <w:sz w:val="16"/>
                <w:sz w:val="20"/>
                <w:shd w:fill="FFFFFF" w:val="clear"/>
              </w:rPr>
              <w:t>(9)</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1,537,360</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16,948</w:t>
            </w:r>
            <w:r>
              <w:rPr>
                <w:rFonts w:ascii="Times;serif" w:hAnsi="Times;serif"/>
                <w:color w:val="008000"/>
                <w:position w:val="7"/>
                <w:sz w:val="16"/>
                <w:sz w:val="20"/>
                <w:shd w:fill="FFFFFF" w:val="clear"/>
              </w:rPr>
              <w:t>(10)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bl>
    <w:tbl>
      <w:tblPr>
        <w:tblW w:w="1226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6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6,182,605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6,154,681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is convertible at any time at the option of the Reporting Person into one share of Class A Common Stock. The Class B Common Stock has no expiration.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on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Rule 10b5-1 trading plan adopted by the Reporting Person on May 12, 2026, and occurred pursuant to the pre-established terms of such plan rather than as a result of a discretionary decision by the Reporting Person to sell shares at that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$32.37 to $33.36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$33.37 to $34.20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$31.845 to $32.84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These shares were sold in multiple transactions at prices ranging from $32.845 to $33.82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These shares were sold in multiple transactions at prices ranging from $32.68 to $33.62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These shares were sold in multiple transactions at prices ranging from $33.685 to $34.00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securities held by the Reporting Person reported herein reflect the receipt of securities pursuant to pro rata distributions in kind, for no additional consideration. The receipt of such securities by the Reporting Person was not required to be reported pursuant to Section 16 by virtue of the exemption from reporting pursuant to Rule 16a-9.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the Colis Zhan Family Trust (the "Trust"). The Reporting Person is a 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held by John N. Colis, not individually, but solely as Trustee of the Peter G. Colis Family Trust U/A/D 7/4/2021.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held by Cresset Trust Company, a South Dakota-charted public trust company solely as Trustee of the PGC Beta Trust U/A/D 10/18/2024.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Charlie York,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9362"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1416</Words>
  <Characters>7375</Characters>
  <CharactersWithSpaces>8609</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