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40" w:type="dxa"/>
            <w:vAlign w:val="bottom"/>
            <w:gridSpan w:val="4"/>
            <w:vMerge w:val="restart"/>
          </w:tcPr>
          <w:p>
            <w:pPr>
              <w:jc w:val="center"/>
              <w:ind w:left="192"/>
              <w:spacing w:after="0" w:line="243" w:lineRule="exact"/>
              <w:rPr>
                <w:sz w:val="20"/>
                <w:szCs w:val="20"/>
                <w:color w:val="auto"/>
              </w:rPr>
            </w:pPr>
            <w:r>
              <w:rPr>
                <w:rFonts w:ascii="Arial" w:cs="Arial" w:eastAsia="Arial" w:hAnsi="Arial"/>
                <w:sz w:val="22"/>
                <w:szCs w:val="22"/>
                <w:color w:val="auto"/>
                <w:w w:val="89"/>
              </w:rPr>
              <w:t>Washington, D.C. 20549</w:t>
            </w: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restart"/>
          </w:tcPr>
          <w:p>
            <w:pPr>
              <w:jc w:val="center"/>
              <w:ind w:left="292"/>
              <w:spacing w:after="0"/>
              <w:rPr>
                <w:sz w:val="20"/>
                <w:szCs w:val="20"/>
                <w:color w:val="auto"/>
              </w:rPr>
            </w:pPr>
            <w:r>
              <w:rPr>
                <w:rFonts w:ascii="Arial" w:cs="Arial" w:eastAsia="Arial" w:hAnsi="Arial"/>
                <w:sz w:val="22"/>
                <w:szCs w:val="22"/>
                <w:color w:val="auto"/>
                <w:w w:val="94"/>
              </w:rPr>
              <w:t>FORM D</w:t>
            </w: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0001788451</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40" w:type="dxa"/>
            <w:vAlign w:val="bottom"/>
            <w:gridSpan w:val="4"/>
            <w:vMerge w:val="restart"/>
          </w:tcPr>
          <w:p>
            <w:pPr>
              <w:ind w:left="500"/>
              <w:spacing w:after="0"/>
              <w:rPr>
                <w:sz w:val="20"/>
                <w:szCs w:val="20"/>
                <w:color w:val="auto"/>
              </w:rPr>
            </w:pPr>
            <w:r>
              <w:rPr>
                <w:rFonts w:ascii="Arial" w:cs="Arial" w:eastAsia="Arial" w:hAnsi="Arial"/>
                <w:sz w:val="22"/>
                <w:szCs w:val="22"/>
                <w:color w:val="auto"/>
                <w:w w:val="97"/>
              </w:rPr>
              <w:t>Ethos Insurance Corporation</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240" w:type="dxa"/>
            <w:vAlign w:val="bottom"/>
            <w:gridSpan w:val="4"/>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Ethos Technologies Inc.</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8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2"/>
              </w:rPr>
              <w:t>Year of Incorporation/Organization</w:t>
            </w: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gridSpan w:val="4"/>
            <w:vMerge w:val="continue"/>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80" w:type="dxa"/>
            <w:vAlign w:val="bottom"/>
            <w:gridSpan w:val="4"/>
          </w:tcPr>
          <w:p>
            <w:pPr>
              <w:ind w:left="40"/>
              <w:spacing w:after="0"/>
              <w:rPr>
                <w:sz w:val="20"/>
                <w:szCs w:val="20"/>
                <w:color w:val="auto"/>
              </w:rPr>
            </w:pPr>
            <w:r>
              <w:rPr>
                <w:rFonts w:ascii="Arial" w:cs="Arial" w:eastAsia="Arial" w:hAnsi="Arial"/>
                <w:sz w:val="22"/>
                <w:szCs w:val="22"/>
                <w:color w:val="auto"/>
                <w:w w:val="93"/>
              </w:rPr>
              <w:t>X Within Last Five Years (Specify Year) 2016</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Ethos Technologies Inc.</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4"/>
          </w:tcPr>
          <w:p>
            <w:pPr>
              <w:ind w:left="32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460 BRYANT STREET</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FRANCISCO</w:t>
            </w:r>
          </w:p>
        </w:tc>
        <w:tc>
          <w:tcPr>
            <w:tcW w:w="160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9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94107</w:t>
            </w:r>
          </w:p>
        </w:tc>
        <w:tc>
          <w:tcPr>
            <w:tcW w:w="2580" w:type="dxa"/>
            <w:vAlign w:val="bottom"/>
            <w:gridSpan w:val="2"/>
          </w:tcPr>
          <w:p>
            <w:pPr>
              <w:jc w:val="right"/>
              <w:ind w:right="12"/>
              <w:spacing w:after="0"/>
              <w:rPr>
                <w:sz w:val="20"/>
                <w:szCs w:val="20"/>
                <w:color w:val="auto"/>
              </w:rPr>
            </w:pPr>
            <w:r>
              <w:rPr>
                <w:rFonts w:ascii="Arial" w:cs="Arial" w:eastAsia="Arial" w:hAnsi="Arial"/>
                <w:sz w:val="22"/>
                <w:szCs w:val="22"/>
                <w:color w:val="auto"/>
              </w:rPr>
              <w:t>(415) 322-2037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Colis</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Peter</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gridSpan w:val="3"/>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4"/>
              </w:rPr>
              <w:t>c/o Ethos Technologies Inc.</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w w:val="98"/>
              </w:rPr>
              <w:t>460 Bryant Street</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94107</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40" w:type="dxa"/>
            <w:vAlign w:val="bottom"/>
          </w:tcPr>
          <w:p>
            <w:pPr>
              <w:ind w:left="10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2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Wang</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Lingke</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gridSpan w:val="3"/>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4"/>
              </w:rPr>
              <w:t>c/o Ethos Technologies Inc.</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w w:val="98"/>
              </w:rPr>
              <w:t>460 Bryant Street</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94107</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40" w:type="dxa"/>
            <w:vAlign w:val="bottom"/>
          </w:tcPr>
          <w:p>
            <w:pPr>
              <w:ind w:left="10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Botha</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8"/>
              </w:rPr>
              <w:t>Roelof</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Ethos Technologies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460 Bryant Street</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Niparko</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Nate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Ethos Technologies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460 Bryant Street</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Clark</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3"/>
              </w:rPr>
              <w:t>Tyson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Ethos Technologies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460 Bryant Street</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Kunze</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Ethos Technologies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460 Bryant Street</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Banking &amp; Financial Services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Commercial Banking</w:t>
      </w:r>
    </w:p>
    <w:p>
      <w:pPr>
        <w:spacing w:after="0" w:line="44" w:lineRule="exact"/>
        <w:rPr>
          <w:sz w:val="20"/>
          <w:szCs w:val="20"/>
          <w:color w:val="auto"/>
        </w:rPr>
      </w:pPr>
    </w:p>
    <w:p>
      <w:pPr>
        <w:ind w:left="500" w:right="1040" w:hanging="208"/>
        <w:spacing w:after="0" w:line="288"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Insurance Investing Investment Banking Pooled Investment Fund</w:t>
      </w:r>
    </w:p>
    <w:p>
      <w:pPr>
        <w:spacing w:after="0" w:line="28"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Is the issuer registered as</w:t>
      </w:r>
    </w:p>
    <w:p>
      <w:pPr>
        <w:spacing w:after="0" w:line="8" w:lineRule="exact"/>
        <w:rPr>
          <w:rFonts w:ascii="Arial" w:cs="Arial" w:eastAsia="Arial" w:hAnsi="Arial"/>
          <w:sz w:val="22"/>
          <w:szCs w:val="22"/>
          <w:color w:val="auto"/>
        </w:rPr>
      </w:pPr>
    </w:p>
    <w:p>
      <w:pPr>
        <w:ind w:left="500" w:right="560"/>
        <w:spacing w:after="0" w:line="234" w:lineRule="auto"/>
        <w:rPr>
          <w:rFonts w:ascii="Arial" w:cs="Arial" w:eastAsia="Arial" w:hAnsi="Arial"/>
          <w:sz w:val="22"/>
          <w:szCs w:val="22"/>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60" w:space="340"/>
            <w:col w:w="742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1000" w:type="dxa"/>
            <w:vAlign w:val="bottom"/>
          </w:tcPr>
          <w:p>
            <w:pPr>
              <w:spacing w:after="0"/>
              <w:rPr>
                <w:sz w:val="23"/>
                <w:szCs w:val="23"/>
                <w:color w:val="auto"/>
              </w:rPr>
            </w:pPr>
          </w:p>
        </w:tc>
        <w:tc>
          <w:tcPr>
            <w:tcW w:w="2280" w:type="dxa"/>
            <w:vAlign w:val="bottom"/>
          </w:tcPr>
          <w:p>
            <w:pPr>
              <w:ind w:left="38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5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1000" w:type="dxa"/>
            <w:vAlign w:val="bottom"/>
          </w:tcPr>
          <w:p>
            <w:pPr>
              <w:spacing w:after="0"/>
              <w:rPr>
                <w:sz w:val="24"/>
                <w:szCs w:val="24"/>
                <w:color w:val="auto"/>
              </w:rPr>
            </w:pPr>
          </w:p>
        </w:tc>
        <w:tc>
          <w:tcPr>
            <w:tcW w:w="2280" w:type="dxa"/>
            <w:vAlign w:val="bottom"/>
            <w:vMerge w:val="restart"/>
          </w:tcPr>
          <w:p>
            <w:pPr>
              <w:ind w:left="38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10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10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100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28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000" w:type="dxa"/>
            <w:vAlign w:val="bottom"/>
          </w:tcPr>
          <w:p>
            <w:pPr>
              <w:spacing w:after="0"/>
              <w:rPr>
                <w:sz w:val="24"/>
                <w:szCs w:val="24"/>
                <w:color w:val="auto"/>
              </w:rPr>
            </w:pPr>
          </w:p>
        </w:tc>
        <w:tc>
          <w:tcPr>
            <w:tcW w:w="5480" w:type="dxa"/>
            <w:vAlign w:val="bottom"/>
            <w:gridSpan w:val="2"/>
          </w:tcPr>
          <w:p>
            <w:pPr>
              <w:ind w:left="48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000" w:type="dxa"/>
            <w:vAlign w:val="bottom"/>
          </w:tcPr>
          <w:p>
            <w:pPr>
              <w:spacing w:after="0"/>
              <w:rPr>
                <w:sz w:val="24"/>
                <w:szCs w:val="24"/>
                <w:color w:val="auto"/>
              </w:rPr>
            </w:pPr>
          </w:p>
        </w:tc>
        <w:tc>
          <w:tcPr>
            <w:tcW w:w="2280" w:type="dxa"/>
            <w:vAlign w:val="bottom"/>
          </w:tcPr>
          <w:p>
            <w:pPr>
              <w:ind w:left="48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000" w:type="dxa"/>
            <w:vAlign w:val="bottom"/>
          </w:tcPr>
          <w:p>
            <w:pPr>
              <w:spacing w:after="0"/>
              <w:rPr>
                <w:sz w:val="24"/>
                <w:szCs w:val="24"/>
                <w:color w:val="auto"/>
              </w:rPr>
            </w:pPr>
          </w:p>
        </w:tc>
        <w:tc>
          <w:tcPr>
            <w:tcW w:w="5480" w:type="dxa"/>
            <w:vAlign w:val="bottom"/>
            <w:gridSpan w:val="2"/>
          </w:tcPr>
          <w:p>
            <w:pPr>
              <w:ind w:left="48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000" w:type="dxa"/>
            <w:vAlign w:val="bottom"/>
          </w:tcPr>
          <w:p>
            <w:pPr>
              <w:spacing w:after="0"/>
              <w:rPr>
                <w:sz w:val="23"/>
                <w:szCs w:val="23"/>
                <w:color w:val="auto"/>
              </w:rPr>
            </w:pPr>
          </w:p>
        </w:tc>
        <w:tc>
          <w:tcPr>
            <w:tcW w:w="5480" w:type="dxa"/>
            <w:vAlign w:val="bottom"/>
            <w:gridSpan w:val="2"/>
            <w:vMerge w:val="restart"/>
          </w:tcPr>
          <w:p>
            <w:pPr>
              <w:ind w:left="48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000" w:type="dxa"/>
            <w:vAlign w:val="bottom"/>
          </w:tcPr>
          <w:p>
            <w:pPr>
              <w:spacing w:after="0"/>
              <w:rPr>
                <w:sz w:val="13"/>
                <w:szCs w:val="13"/>
                <w:color w:val="auto"/>
              </w:rPr>
            </w:pPr>
          </w:p>
        </w:tc>
        <w:tc>
          <w:tcPr>
            <w:tcW w:w="5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000" w:type="dxa"/>
            <w:vAlign w:val="bottom"/>
          </w:tcPr>
          <w:p>
            <w:pPr>
              <w:spacing w:after="0"/>
              <w:rPr>
                <w:sz w:val="23"/>
                <w:szCs w:val="23"/>
                <w:color w:val="auto"/>
              </w:rPr>
            </w:pPr>
          </w:p>
        </w:tc>
        <w:tc>
          <w:tcPr>
            <w:tcW w:w="5480" w:type="dxa"/>
            <w:vAlign w:val="bottom"/>
            <w:gridSpan w:val="2"/>
            <w:vMerge w:val="restart"/>
          </w:tcPr>
          <w:p>
            <w:pPr>
              <w:ind w:left="48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000" w:type="dxa"/>
            <w:vAlign w:val="bottom"/>
          </w:tcPr>
          <w:p>
            <w:pPr>
              <w:spacing w:after="0"/>
              <w:rPr>
                <w:sz w:val="13"/>
                <w:szCs w:val="13"/>
                <w:color w:val="auto"/>
              </w:rPr>
            </w:pPr>
          </w:p>
        </w:tc>
        <w:tc>
          <w:tcPr>
            <w:tcW w:w="5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000" w:type="dxa"/>
            <w:vAlign w:val="bottom"/>
          </w:tcPr>
          <w:p>
            <w:pPr>
              <w:spacing w:after="0"/>
              <w:rPr>
                <w:sz w:val="24"/>
                <w:szCs w:val="24"/>
                <w:color w:val="auto"/>
              </w:rPr>
            </w:pPr>
          </w:p>
        </w:tc>
        <w:tc>
          <w:tcPr>
            <w:tcW w:w="2280" w:type="dxa"/>
            <w:vAlign w:val="bottom"/>
          </w:tcPr>
          <w:p>
            <w:pPr>
              <w:ind w:left="48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1000" w:type="dxa"/>
            <w:vAlign w:val="bottom"/>
          </w:tcPr>
          <w:p>
            <w:pPr>
              <w:spacing w:after="0"/>
              <w:rPr>
                <w:sz w:val="24"/>
                <w:szCs w:val="24"/>
                <w:color w:val="auto"/>
              </w:rPr>
            </w:pPr>
          </w:p>
        </w:tc>
        <w:tc>
          <w:tcPr>
            <w:tcW w:w="2280" w:type="dxa"/>
            <w:vAlign w:val="bottom"/>
          </w:tcPr>
          <w:p>
            <w:pPr>
              <w:ind w:left="48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000" w:type="dxa"/>
            <w:vAlign w:val="bottom"/>
          </w:tcPr>
          <w:p>
            <w:pPr>
              <w:spacing w:after="0"/>
              <w:rPr>
                <w:sz w:val="24"/>
                <w:szCs w:val="24"/>
                <w:color w:val="auto"/>
              </w:rPr>
            </w:pPr>
          </w:p>
        </w:tc>
        <w:tc>
          <w:tcPr>
            <w:tcW w:w="2280" w:type="dxa"/>
            <w:vAlign w:val="bottom"/>
          </w:tcPr>
          <w:p>
            <w:pPr>
              <w:ind w:left="48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18" w:right="279"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2018-10-11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7060"/>
          </w:cols>
          <w:pgMar w:left="240" w:top="118" w:right="279" w:bottom="0"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118" w:right="279" w:bottom="0" w:gutter="0" w:footer="0" w:header="0"/>
          <w:type w:val="continuous"/>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Offering of Series B Preferred Stock (Series B) and the underlying shares of Common Stock issuable upon conversion of Series B.</w:t>
      </w:r>
    </w:p>
    <w:p>
      <w:pPr>
        <w:sectPr>
          <w:pgSz w:w="11900" w:h="16838" w:orient="portrait"/>
          <w:cols w:equalWidth="0" w:num="2">
            <w:col w:w="5580" w:space="160"/>
            <w:col w:w="5640"/>
          </w:cols>
          <w:pgMar w:left="240" w:top="118" w:right="279" w:bottom="0" w:gutter="0" w:footer="0" w:header="0"/>
          <w:type w:val="continuous"/>
        </w:sectPr>
      </w:pPr>
    </w:p>
    <w:bookmarkStart w:id="3" w:name="page4"/>
    <w:bookmarkEnd w:id="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260" w:type="dxa"/>
            <w:vAlign w:val="bottom"/>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275"/>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2"/>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6940" w:type="dxa"/>
            <w:vAlign w:val="bottom"/>
            <w:gridSpan w:val="2"/>
          </w:tcPr>
          <w:p>
            <w:pPr>
              <w:ind w:left="8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694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3260" w:type="dxa"/>
            <w:vAlign w:val="bottom"/>
          </w:tcPr>
          <w:p>
            <w:pPr>
              <w:ind w:left="182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3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$31,094,933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$31,094,933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880"/>
              <w:spacing w:after="0"/>
              <w:rPr>
                <w:sz w:val="20"/>
                <w:szCs w:val="20"/>
                <w:color w:val="auto"/>
              </w:rPr>
            </w:pPr>
            <w:r>
              <w:rPr>
                <w:rFonts w:ascii="Arial" w:cs="Arial" w:eastAsia="Arial" w:hAnsi="Arial"/>
                <w:sz w:val="22"/>
                <w:szCs w:val="22"/>
                <w:color w:val="auto"/>
              </w:rPr>
              <w:t>$0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52" w:orient="portrait"/>
          <w:cols w:equalWidth="0" w:num="1">
            <w:col w:w="11380"/>
          </w:cols>
          <w:pgMar w:left="240" w:top="116"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52" w:orient="portrait"/>
          <w:cols w:equalWidth="0" w:num="3">
            <w:col w:w="2080" w:space="720"/>
            <w:col w:w="700" w:space="280"/>
            <w:col w:w="7600"/>
          </w:cols>
          <w:pgMar w:left="240" w:top="116"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52" w:orient="portrait"/>
          <w:cols w:equalWidth="0" w:num="3">
            <w:col w:w="2080" w:space="720"/>
            <w:col w:w="700" w:space="280"/>
            <w:col w:w="7600"/>
          </w:cols>
          <w:pgMar w:left="240" w:top="116"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610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61023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852" w:orient="portrait"/>
          <w:cols w:equalWidth="0" w:num="1">
            <w:col w:w="11380"/>
          </w:cols>
          <w:pgMar w:left="240" w:top="116" w:right="279" w:bottom="0" w:gutter="0" w:footer="0" w:header="0"/>
          <w:type w:val="continuous"/>
        </w:sectPr>
      </w:pPr>
    </w:p>
    <w:bookmarkStart w:id="4" w:name="page5"/>
    <w:bookmarkEnd w:id="4"/>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-1563370</wp:posOffset>
            </wp:positionV>
            <wp:extent cx="7246620" cy="2152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pacing w:after="0" w:line="14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960" w:type="dxa"/>
            <w:vAlign w:val="bottom"/>
            <w:tcBorders>
              <w:top w:val="single" w:sz="8" w:color="2C2C2C"/>
              <w:bottom w:val="single" w:sz="8" w:color="808080"/>
            </w:tcBorders>
          </w:tcPr>
          <w:p>
            <w:pPr>
              <w:ind w:left="120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74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96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Ethos Technologies Inc.</w:t>
            </w:r>
          </w:p>
        </w:tc>
        <w:tc>
          <w:tcPr>
            <w:tcW w:w="40" w:type="dxa"/>
            <w:vAlign w:val="bottom"/>
          </w:tcPr>
          <w:p>
            <w:pPr>
              <w:spacing w:after="0"/>
              <w:rPr>
                <w:sz w:val="22"/>
                <w:szCs w:val="22"/>
                <w:color w:val="auto"/>
              </w:rPr>
            </w:pPr>
          </w:p>
        </w:tc>
        <w:tc>
          <w:tcPr>
            <w:tcW w:w="17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Peter Colis</w:t>
            </w:r>
          </w:p>
        </w:tc>
        <w:tc>
          <w:tcPr>
            <w:tcW w:w="4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Peter Colis</w:t>
            </w:r>
          </w:p>
        </w:tc>
        <w:tc>
          <w:tcPr>
            <w:tcW w:w="40" w:type="dxa"/>
            <w:vAlign w:val="bottom"/>
          </w:tcPr>
          <w:p>
            <w:pPr>
              <w:spacing w:after="0"/>
              <w:rPr>
                <w:sz w:val="22"/>
                <w:szCs w:val="22"/>
                <w:color w:val="auto"/>
              </w:rPr>
            </w:pPr>
          </w:p>
        </w:tc>
        <w:tc>
          <w:tcPr>
            <w:tcW w:w="29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color w:val="auto"/>
                <w:w w:val="88"/>
              </w:rPr>
              <w:t>2019-09-18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0" Type="http://schemas.openxmlformats.org/officeDocument/2006/relationships/hyperlink" Target="http://www.sec.gov/cgi-bin/browse-edgar?action=getcompany&amp;CIK=0001788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2020-01-08T23:14:14Z</dcterms:created>
  <dcterms:modified xsi:type="dcterms:W3CDTF">2020-01-08T23:14:14Z</dcterms:modified>
</cp:coreProperties>
</file>