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881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126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GV 2017 GP, L.L.C.</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1600 AMPHITHEATRE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Ethos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LIFE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01/30/2026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1"/>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84" w:lineRule="exact"/>
        <w:rPr>
          <w:sz w:val="24"/>
          <w:szCs w:val="24"/>
          <w:color w:val="auto"/>
        </w:rPr>
      </w:pPr>
    </w:p>
    <w:p>
      <w:pPr>
        <w:sectPr>
          <w:pgSz w:w="11900" w:h="16838" w:orient="portrait"/>
          <w:cols w:equalWidth="0" w:num="3">
            <w:col w:w="3180" w:space="720"/>
            <w:col w:w="3109" w:space="720"/>
            <w:col w:w="3351"/>
          </w:cols>
          <w:pgMar w:left="460" w:top="214" w:right="359" w:bottom="0" w:gutter="0" w:footer="0" w:header="0"/>
          <w:type w:val="continuous"/>
        </w:sectPr>
      </w:pP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8"/>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MOUNTAIN</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94043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VIEW</w:t>
            </w:r>
          </w:p>
        </w:tc>
        <w:tc>
          <w:tcPr>
            <w:tcW w:w="6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gridSpan w:val="2"/>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68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7"/>
          </w:tcPr>
          <w:p>
            <w:pPr>
              <w:jc w:val="center"/>
              <w:ind w:left="33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940" w:type="dxa"/>
            <w:vAlign w:val="bottom"/>
            <w:gridSpan w:val="6"/>
          </w:tcPr>
          <w:p>
            <w:pPr>
              <w:jc w:val="center"/>
              <w:ind w:right="3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820"/>
              <w:spacing w:after="0" w:line="125"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40" w:type="dxa"/>
            <w:vAlign w:val="bottom"/>
            <w:gridSpan w:val="5"/>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8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GV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ind w:left="900"/>
              <w:spacing w:after="0"/>
              <w:rPr>
                <w:sz w:val="20"/>
                <w:szCs w:val="20"/>
                <w:color w:val="auto"/>
              </w:rPr>
            </w:pPr>
            <w:r>
              <w:rPr>
                <w:rFonts w:ascii="Times New Roman" w:cs="Times New Roman" w:eastAsia="Times New Roman" w:hAnsi="Times New Roman"/>
                <w:sz w:val="16"/>
                <w:szCs w:val="16"/>
                <w:color w:val="0000FF"/>
              </w:rPr>
              <w:t>01/30/2026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FF"/>
                <w:w w:val="99"/>
              </w:rPr>
              <w:t>1,755,632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17"/>
                <w:szCs w:val="17"/>
                <w:color w:val="auto"/>
              </w:rPr>
            </w:pPr>
          </w:p>
        </w:tc>
        <w:tc>
          <w:tcPr>
            <w:tcW w:w="660" w:type="dxa"/>
            <w:vAlign w:val="bottom"/>
          </w:tcPr>
          <w:p>
            <w:pPr>
              <w:jc w:val="center"/>
              <w:ind w:left="9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1,755,632</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GV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ind w:left="900"/>
              <w:spacing w:after="0"/>
              <w:rPr>
                <w:sz w:val="20"/>
                <w:szCs w:val="20"/>
                <w:color w:val="auto"/>
              </w:rPr>
            </w:pPr>
            <w:r>
              <w:rPr>
                <w:rFonts w:ascii="Times New Roman" w:cs="Times New Roman" w:eastAsia="Times New Roman" w:hAnsi="Times New Roman"/>
                <w:sz w:val="16"/>
                <w:szCs w:val="16"/>
                <w:color w:val="0000FF"/>
              </w:rPr>
              <w:t>01/30/2026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FF"/>
                <w:w w:val="99"/>
              </w:rPr>
              <w:t>3,287,925</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17"/>
                <w:szCs w:val="17"/>
                <w:color w:val="auto"/>
              </w:rPr>
            </w:pPr>
          </w:p>
        </w:tc>
        <w:tc>
          <w:tcPr>
            <w:tcW w:w="660" w:type="dxa"/>
            <w:vAlign w:val="bottom"/>
          </w:tcPr>
          <w:p>
            <w:pPr>
              <w:jc w:val="center"/>
              <w:ind w:left="9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3,287,925</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(3)</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GV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ind w:left="900"/>
              <w:spacing w:after="0"/>
              <w:rPr>
                <w:sz w:val="20"/>
                <w:szCs w:val="20"/>
                <w:color w:val="auto"/>
              </w:rPr>
            </w:pPr>
            <w:r>
              <w:rPr>
                <w:rFonts w:ascii="Times New Roman" w:cs="Times New Roman" w:eastAsia="Times New Roman" w:hAnsi="Times New Roman"/>
                <w:sz w:val="16"/>
                <w:szCs w:val="16"/>
                <w:color w:val="0000FF"/>
              </w:rPr>
              <w:t>01/30/2026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FF"/>
                <w:w w:val="99"/>
              </w:rPr>
              <w:t>571,907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17"/>
                <w:szCs w:val="17"/>
                <w:color w:val="auto"/>
              </w:rPr>
            </w:pPr>
          </w:p>
        </w:tc>
        <w:tc>
          <w:tcPr>
            <w:tcW w:w="660" w:type="dxa"/>
            <w:vAlign w:val="bottom"/>
          </w:tcPr>
          <w:p>
            <w:pPr>
              <w:jc w:val="center"/>
              <w:ind w:left="9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571,907</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vMerge w:val="restart"/>
          </w:tcPr>
          <w:p>
            <w:pPr>
              <w:jc w:val="center"/>
              <w:ind w:left="9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GV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ind w:left="900"/>
              <w:spacing w:after="0"/>
              <w:rPr>
                <w:sz w:val="20"/>
                <w:szCs w:val="20"/>
                <w:color w:val="auto"/>
              </w:rPr>
            </w:pPr>
            <w:r>
              <w:rPr>
                <w:rFonts w:ascii="Times New Roman" w:cs="Times New Roman" w:eastAsia="Times New Roman" w:hAnsi="Times New Roman"/>
                <w:sz w:val="16"/>
                <w:szCs w:val="16"/>
                <w:color w:val="0000FF"/>
              </w:rPr>
              <w:t>01/30/2026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140"/>
              <w:spacing w:after="0" w:line="200"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(5)</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FF"/>
                <w:w w:val="99"/>
              </w:rPr>
              <w:t>1,755,632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D</w:t>
            </w: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center"/>
              <w:ind w:left="418"/>
              <w:spacing w:after="0"/>
              <w:rPr>
                <w:sz w:val="20"/>
                <w:szCs w:val="20"/>
                <w:color w:val="auto"/>
              </w:rPr>
            </w:pPr>
            <w:r>
              <w:rPr>
                <w:rFonts w:ascii="Times New Roman" w:cs="Times New Roman" w:eastAsia="Times New Roman" w:hAnsi="Times New Roman"/>
                <w:sz w:val="16"/>
                <w:szCs w:val="16"/>
                <w:color w:val="0000FF"/>
                <w:w w:val="9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vMerge w:val="restart"/>
          </w:tcPr>
          <w:p>
            <w:pPr>
              <w:jc w:val="center"/>
              <w:ind w:left="9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GV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ind w:left="900"/>
              <w:spacing w:after="0"/>
              <w:rPr>
                <w:sz w:val="20"/>
                <w:szCs w:val="20"/>
                <w:color w:val="auto"/>
              </w:rPr>
            </w:pPr>
            <w:r>
              <w:rPr>
                <w:rFonts w:ascii="Times New Roman" w:cs="Times New Roman" w:eastAsia="Times New Roman" w:hAnsi="Times New Roman"/>
                <w:sz w:val="16"/>
                <w:szCs w:val="16"/>
                <w:color w:val="0000FF"/>
              </w:rPr>
              <w:t>01/30/2026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140"/>
              <w:spacing w:after="0" w:line="200" w:lineRule="exact"/>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(5)</w:t>
            </w: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0000FF"/>
                <w:w w:val="99"/>
              </w:rPr>
              <w:t>89,676</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0000FF"/>
              </w:rPr>
              <w:t>D</w:t>
            </w: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3,198,249</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60" w:type="dxa"/>
            <w:vAlign w:val="bottom"/>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8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78"/>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78"/>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jc w:val="center"/>
              <w:ind w:left="20"/>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1,755,632</w:t>
            </w:r>
          </w:p>
        </w:tc>
        <w:tc>
          <w:tcPr>
            <w:tcW w:w="60" w:type="dxa"/>
            <w:vAlign w:val="bottom"/>
          </w:tcPr>
          <w:p>
            <w:pPr>
              <w:spacing w:after="0"/>
              <w:rPr>
                <w:sz w:val="15"/>
                <w:szCs w:val="15"/>
                <w:color w:val="auto"/>
              </w:rPr>
            </w:pPr>
          </w:p>
        </w:tc>
        <w:tc>
          <w:tcPr>
            <w:tcW w:w="680" w:type="dxa"/>
            <w:vAlign w:val="bottom"/>
            <w:vMerge w:val="restart"/>
          </w:tcPr>
          <w:p>
            <w:pPr>
              <w:jc w:val="center"/>
              <w:ind w:right="58"/>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GV</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3"/>
                <w:szCs w:val="13"/>
                <w:color w:val="0000FF"/>
              </w:rPr>
              <w:t>01/30/2026</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center"/>
              <w:ind w:left="142"/>
              <w:spacing w:after="0" w:line="133" w:lineRule="exact"/>
              <w:rPr>
                <w:sz w:val="20"/>
                <w:szCs w:val="20"/>
                <w:color w:val="auto"/>
              </w:rPr>
            </w:pPr>
            <w:r>
              <w:rPr>
                <w:rFonts w:ascii="Times New Roman" w:cs="Times New Roman" w:eastAsia="Times New Roman" w:hAnsi="Times New Roman"/>
                <w:sz w:val="13"/>
                <w:szCs w:val="13"/>
                <w:color w:val="0000FF"/>
                <w:w w:val="96"/>
              </w:rPr>
              <w:t>1,751,791</w:t>
            </w: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ind w:left="360"/>
              <w:spacing w:after="0" w:line="133"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1"/>
                <w:szCs w:val="11"/>
                <w:color w:val="auto"/>
              </w:rPr>
            </w:pPr>
          </w:p>
        </w:tc>
        <w:tc>
          <w:tcPr>
            <w:tcW w:w="62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60"/>
              <w:spacing w:after="0" w:line="133" w:lineRule="exact"/>
              <w:rPr>
                <w:sz w:val="20"/>
                <w:szCs w:val="20"/>
                <w:color w:val="auto"/>
              </w:rPr>
            </w:pPr>
            <w:r>
              <w:rPr>
                <w:rFonts w:ascii="Times New Roman" w:cs="Times New Roman" w:eastAsia="Times New Roman" w:hAnsi="Times New Roman"/>
                <w:sz w:val="13"/>
                <w:szCs w:val="13"/>
                <w:color w:val="0000FF"/>
              </w:rPr>
              <w:t>2017, L.P.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ind w:left="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jc w:val="center"/>
              <w:ind w:left="20"/>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3,287,925</w:t>
            </w:r>
          </w:p>
        </w:tc>
        <w:tc>
          <w:tcPr>
            <w:tcW w:w="60" w:type="dxa"/>
            <w:vAlign w:val="bottom"/>
          </w:tcPr>
          <w:p>
            <w:pPr>
              <w:spacing w:after="0"/>
              <w:rPr>
                <w:sz w:val="15"/>
                <w:szCs w:val="15"/>
                <w:color w:val="auto"/>
              </w:rPr>
            </w:pPr>
          </w:p>
        </w:tc>
        <w:tc>
          <w:tcPr>
            <w:tcW w:w="680" w:type="dxa"/>
            <w:vAlign w:val="bottom"/>
            <w:vMerge w:val="restart"/>
          </w:tcPr>
          <w:p>
            <w:pPr>
              <w:jc w:val="center"/>
              <w:ind w:right="58"/>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GV</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3"/>
                <w:szCs w:val="13"/>
                <w:color w:val="0000FF"/>
              </w:rPr>
              <w:t>01/30/2026</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center"/>
              <w:ind w:left="142"/>
              <w:spacing w:after="0" w:line="133" w:lineRule="exact"/>
              <w:rPr>
                <w:sz w:val="20"/>
                <w:szCs w:val="20"/>
                <w:color w:val="auto"/>
              </w:rPr>
            </w:pPr>
            <w:r>
              <w:rPr>
                <w:rFonts w:ascii="Times New Roman" w:cs="Times New Roman" w:eastAsia="Times New Roman" w:hAnsi="Times New Roman"/>
                <w:sz w:val="13"/>
                <w:szCs w:val="13"/>
                <w:color w:val="0000FF"/>
                <w:w w:val="96"/>
              </w:rPr>
              <w:t>3,287,925</w:t>
            </w: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ind w:left="360"/>
              <w:spacing w:after="0" w:line="133"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1"/>
                <w:szCs w:val="11"/>
                <w:color w:val="auto"/>
              </w:rPr>
            </w:pPr>
          </w:p>
        </w:tc>
        <w:tc>
          <w:tcPr>
            <w:tcW w:w="62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60"/>
              <w:spacing w:after="0" w:line="133" w:lineRule="exact"/>
              <w:rPr>
                <w:sz w:val="20"/>
                <w:szCs w:val="20"/>
                <w:color w:val="auto"/>
              </w:rPr>
            </w:pPr>
            <w:r>
              <w:rPr>
                <w:rFonts w:ascii="Times New Roman" w:cs="Times New Roman" w:eastAsia="Times New Roman" w:hAnsi="Times New Roman"/>
                <w:sz w:val="13"/>
                <w:szCs w:val="13"/>
                <w:color w:val="0000FF"/>
              </w:rPr>
              <w:t>2019, L.P.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ind w:left="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(3)</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15"/>
                <w:szCs w:val="15"/>
                <w:color w:val="auto"/>
              </w:rPr>
            </w:pPr>
          </w:p>
        </w:tc>
        <w:tc>
          <w:tcPr>
            <w:tcW w:w="520" w:type="dxa"/>
            <w:vAlign w:val="bottom"/>
            <w:vMerge w:val="restart"/>
          </w:tcPr>
          <w:p>
            <w:pPr>
              <w:jc w:val="center"/>
              <w:ind w:right="133"/>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jc w:val="center"/>
              <w:ind w:left="20"/>
              <w:spacing w:after="0"/>
              <w:rPr>
                <w:sz w:val="20"/>
                <w:szCs w:val="20"/>
                <w:color w:val="auto"/>
              </w:rPr>
            </w:pPr>
            <w:r>
              <w:rPr>
                <w:rFonts w:ascii="Times New Roman" w:cs="Times New Roman" w:eastAsia="Times New Roman" w:hAnsi="Times New Roman"/>
                <w:sz w:val="13"/>
                <w:szCs w:val="13"/>
                <w:color w:val="0000FF"/>
                <w:w w:val="92"/>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color w:val="0000FF"/>
                <w:w w:val="99"/>
              </w:rPr>
              <w:t>571,907</w:t>
            </w:r>
          </w:p>
        </w:tc>
        <w:tc>
          <w:tcPr>
            <w:tcW w:w="60" w:type="dxa"/>
            <w:vAlign w:val="bottom"/>
          </w:tcPr>
          <w:p>
            <w:pPr>
              <w:spacing w:after="0"/>
              <w:rPr>
                <w:sz w:val="15"/>
                <w:szCs w:val="15"/>
                <w:color w:val="auto"/>
              </w:rPr>
            </w:pPr>
          </w:p>
        </w:tc>
        <w:tc>
          <w:tcPr>
            <w:tcW w:w="680" w:type="dxa"/>
            <w:vAlign w:val="bottom"/>
            <w:vMerge w:val="restart"/>
          </w:tcPr>
          <w:p>
            <w:pPr>
              <w:jc w:val="center"/>
              <w:ind w:right="58"/>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By GV</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3"/>
                <w:szCs w:val="13"/>
                <w:color w:val="0000FF"/>
              </w:rPr>
              <w:t>Preferred</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240"/>
              <w:spacing w:after="0" w:line="133" w:lineRule="exact"/>
              <w:rPr>
                <w:sz w:val="20"/>
                <w:szCs w:val="20"/>
                <w:color w:val="auto"/>
              </w:rPr>
            </w:pPr>
            <w:r>
              <w:rPr>
                <w:rFonts w:ascii="Times New Roman" w:cs="Times New Roman" w:eastAsia="Times New Roman" w:hAnsi="Times New Roman"/>
                <w:sz w:val="13"/>
                <w:szCs w:val="13"/>
                <w:color w:val="0000FF"/>
              </w:rPr>
              <w:t>01/30/2026</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color w:val="0000FF"/>
              </w:rPr>
              <w:t>C</w:t>
            </w:r>
          </w:p>
        </w:tc>
        <w:tc>
          <w:tcPr>
            <w:tcW w:w="900" w:type="dxa"/>
            <w:vAlign w:val="bottom"/>
          </w:tcPr>
          <w:p>
            <w:pPr>
              <w:jc w:val="center"/>
              <w:ind w:left="142"/>
              <w:spacing w:after="0" w:line="133" w:lineRule="exact"/>
              <w:rPr>
                <w:sz w:val="20"/>
                <w:szCs w:val="20"/>
                <w:color w:val="auto"/>
              </w:rPr>
            </w:pPr>
            <w:r>
              <w:rPr>
                <w:rFonts w:ascii="Times New Roman" w:cs="Times New Roman" w:eastAsia="Times New Roman" w:hAnsi="Times New Roman"/>
                <w:sz w:val="13"/>
                <w:szCs w:val="13"/>
                <w:color w:val="0000FF"/>
                <w:w w:val="99"/>
              </w:rPr>
              <w:t>552,126</w:t>
            </w: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3"/>
                <w:szCs w:val="13"/>
                <w:color w:val="0000FF"/>
                <w:w w:val="94"/>
              </w:rPr>
              <w:t>Common</w:t>
            </w: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tcPr>
          <w:p>
            <w:pPr>
              <w:ind w:left="360"/>
              <w:spacing w:after="0" w:line="133"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1"/>
                <w:szCs w:val="11"/>
                <w:color w:val="auto"/>
              </w:rPr>
            </w:pPr>
          </w:p>
        </w:tc>
        <w:tc>
          <w:tcPr>
            <w:tcW w:w="62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60"/>
              <w:spacing w:after="0" w:line="133" w:lineRule="exact"/>
              <w:rPr>
                <w:sz w:val="20"/>
                <w:szCs w:val="20"/>
                <w:color w:val="auto"/>
              </w:rPr>
            </w:pPr>
            <w:r>
              <w:rPr>
                <w:rFonts w:ascii="Times New Roman" w:cs="Times New Roman" w:eastAsia="Times New Roman" w:hAnsi="Times New Roman"/>
                <w:sz w:val="13"/>
                <w:szCs w:val="13"/>
                <w:color w:val="0000FF"/>
              </w:rPr>
              <w:t>2021, L.P.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ind w:left="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GV 2017 GP, L.L.C.</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1600 AMPHITHEATRE PARKWAY</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00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94043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-3528695</wp:posOffset>
            </wp:positionV>
            <wp:extent cx="28575" cy="2320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32029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p>
      <w:pPr>
        <w:spacing w:after="0" w:line="290"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-132080</wp:posOffset>
            </wp:positionV>
            <wp:extent cx="41275"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275" cy="1052195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-132080</wp:posOffset>
            </wp:positionV>
            <wp:extent cx="41275"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275" cy="10521950"/>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GV 2017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73660</wp:posOffset>
            </wp:positionV>
            <wp:extent cx="26854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685415" cy="4127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GV 2017, L.P.</w:t>
              </w:r>
            </w:hyperlink>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spacing w:after="0" w:line="213"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GV 2019 GP,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spacing w:after="0" w:line="213"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GV 2019 GP, L.P.</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line="213" w:lineRule="exact"/>
              <w:rPr>
                <w:rFonts w:ascii="Times New Roman" w:cs="Times New Roman" w:eastAsia="Times New Roman" w:hAnsi="Times New Roman"/>
                <w:sz w:val="20"/>
                <w:szCs w:val="20"/>
                <w:color w:val="0000EE"/>
              </w:rPr>
            </w:pPr>
            <w:hyperlink r:id="rId24">
              <w:r>
                <w:rPr>
                  <w:rFonts w:ascii="Times New Roman" w:cs="Times New Roman" w:eastAsia="Times New Roman" w:hAnsi="Times New Roman"/>
                  <w:sz w:val="20"/>
                  <w:szCs w:val="20"/>
                  <w:color w:val="0000EE"/>
                </w:rPr>
                <w:t>GV 2019, L.P.</w:t>
              </w:r>
            </w:hyperlink>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spacing w:after="0" w:line="213" w:lineRule="exact"/>
              <w:rPr>
                <w:rFonts w:ascii="Times New Roman" w:cs="Times New Roman" w:eastAsia="Times New Roman" w:hAnsi="Times New Roman"/>
                <w:sz w:val="20"/>
                <w:szCs w:val="20"/>
                <w:color w:val="0000EE"/>
              </w:rPr>
            </w:pPr>
            <w:hyperlink r:id="rId25">
              <w:r>
                <w:rPr>
                  <w:rFonts w:ascii="Times New Roman" w:cs="Times New Roman" w:eastAsia="Times New Roman" w:hAnsi="Times New Roman"/>
                  <w:sz w:val="20"/>
                  <w:szCs w:val="20"/>
                  <w:color w:val="0000EE"/>
                </w:rPr>
                <w:t>GV 2021 GP,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5"/>
          </w:tcPr>
          <w:p>
            <w:pPr>
              <w:spacing w:after="0" w:line="213" w:lineRule="exact"/>
              <w:rPr>
                <w:rFonts w:ascii="Times New Roman" w:cs="Times New Roman" w:eastAsia="Times New Roman" w:hAnsi="Times New Roman"/>
                <w:sz w:val="20"/>
                <w:szCs w:val="20"/>
                <w:color w:val="0000EE"/>
              </w:rPr>
            </w:pPr>
            <w:hyperlink r:id="rId26">
              <w:r>
                <w:rPr>
                  <w:rFonts w:ascii="Times New Roman" w:cs="Times New Roman" w:eastAsia="Times New Roman" w:hAnsi="Times New Roman"/>
                  <w:sz w:val="20"/>
                  <w:szCs w:val="20"/>
                  <w:color w:val="0000EE"/>
                </w:rPr>
                <w:t>GV 2021 GP, L.P.</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-9018905</wp:posOffset>
            </wp:positionV>
            <wp:extent cx="336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-9018905</wp:posOffset>
            </wp:positionV>
            <wp:extent cx="3365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-8613775</wp:posOffset>
            </wp:positionV>
            <wp:extent cx="3365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-8613775</wp:posOffset>
            </wp:positionV>
            <wp:extent cx="3365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-7954645</wp:posOffset>
            </wp:positionV>
            <wp:extent cx="3365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-7954645</wp:posOffset>
            </wp:positionV>
            <wp:extent cx="3365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-7470140</wp:posOffset>
            </wp:positionV>
            <wp:extent cx="3365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-7470140</wp:posOffset>
            </wp:positionV>
            <wp:extent cx="3365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-7065010</wp:posOffset>
            </wp:positionV>
            <wp:extent cx="3365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-7065010</wp:posOffset>
            </wp:positionV>
            <wp:extent cx="3365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-6405880</wp:posOffset>
            </wp:positionV>
            <wp:extent cx="3365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-6405880</wp:posOffset>
            </wp:positionV>
            <wp:extent cx="3365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-5922010</wp:posOffset>
            </wp:positionV>
            <wp:extent cx="3365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-5922010</wp:posOffset>
            </wp:positionV>
            <wp:extent cx="3365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-5516880</wp:posOffset>
            </wp:positionV>
            <wp:extent cx="3365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-5516880</wp:posOffset>
            </wp:positionV>
            <wp:extent cx="3365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-4857750</wp:posOffset>
            </wp:positionV>
            <wp:extent cx="3365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-4857750</wp:posOffset>
            </wp:positionV>
            <wp:extent cx="3365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-4373245</wp:posOffset>
            </wp:positionV>
            <wp:extent cx="3365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-4373245</wp:posOffset>
            </wp:positionV>
            <wp:extent cx="3365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-3968115</wp:posOffset>
            </wp:positionV>
            <wp:extent cx="3365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-3968115</wp:posOffset>
            </wp:positionV>
            <wp:extent cx="3365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-3308985</wp:posOffset>
            </wp:positionV>
            <wp:extent cx="3365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-3308985</wp:posOffset>
            </wp:positionV>
            <wp:extent cx="3365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-2824480</wp:posOffset>
            </wp:positionV>
            <wp:extent cx="3365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-2824480</wp:posOffset>
            </wp:positionV>
            <wp:extent cx="3365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-2419985</wp:posOffset>
            </wp:positionV>
            <wp:extent cx="3365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-2419985</wp:posOffset>
            </wp:positionV>
            <wp:extent cx="3365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-1760855</wp:posOffset>
            </wp:positionV>
            <wp:extent cx="3365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-1760855</wp:posOffset>
            </wp:positionV>
            <wp:extent cx="3365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-1276350</wp:posOffset>
            </wp:positionV>
            <wp:extent cx="3365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-1276350</wp:posOffset>
            </wp:positionV>
            <wp:extent cx="3365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-871220</wp:posOffset>
            </wp:positionV>
            <wp:extent cx="3365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-871220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-212090</wp:posOffset>
            </wp:positionV>
            <wp:extent cx="336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-212090</wp:posOffset>
            </wp:positionV>
            <wp:extent cx="3365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1600 AMPHITHEATRE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124460</wp:posOffset>
            </wp:positionV>
            <wp:extent cx="26854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685415" cy="41275"/>
                    </a:xfrm>
                    <a:prstGeom prst="rect">
                      <a:avLst/>
                    </a:prstGeom>
                    <a:noFill/>
                  </pic:spPr>
                </pic:pic>
              </a:graphicData>
            </a:graphic>
          </wp:anchor>
        </w:drawing>
      </w:r>
    </w:p>
    <w:p>
      <w:pPr>
        <w:spacing w:after="0" w:line="30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9" w:right="1440" w:bottom="0" w:gutter="0" w:footer="0" w:header="0"/>
        </w:sectPr>
      </w:pPr>
    </w:p>
    <w:p>
      <w:pPr>
        <w:spacing w:after="0" w:line="25" w:lineRule="exact"/>
        <w:rPr>
          <w:sz w:val="20"/>
          <w:szCs w:val="20"/>
          <w:color w:val="auto"/>
        </w:rPr>
      </w:pPr>
    </w:p>
    <w:p>
      <w:pPr>
        <w:ind w:left="100"/>
        <w:spacing w:after="0"/>
        <w:tabs>
          <w:tab w:leader="none" w:pos="2880" w:val="left"/>
        </w:tabs>
        <w:rPr>
          <w:sz w:val="20"/>
          <w:szCs w:val="20"/>
          <w:color w:val="auto"/>
        </w:rPr>
      </w:pPr>
      <w:r>
        <w:rPr>
          <w:rFonts w:ascii="Times New Roman" w:cs="Times New Roman" w:eastAsia="Times New Roman" w:hAnsi="Times New Roman"/>
          <w:sz w:val="16"/>
          <w:szCs w:val="16"/>
          <w:color w:val="0000FF"/>
        </w:rPr>
        <w:t>MOUNTAIN VIEW CA</w:t>
      </w:r>
      <w:r>
        <w:rPr>
          <w:sz w:val="20"/>
          <w:szCs w:val="20"/>
          <w:color w:val="auto"/>
        </w:rPr>
        <w:tab/>
      </w:r>
      <w:r>
        <w:rPr>
          <w:rFonts w:ascii="Times New Roman" w:cs="Times New Roman" w:eastAsia="Times New Roman" w:hAnsi="Times New Roman"/>
          <w:sz w:val="16"/>
          <w:szCs w:val="16"/>
          <w:color w:val="0000FF"/>
        </w:rPr>
        <w:t>94043</w:t>
      </w:r>
    </w:p>
    <w:p>
      <w:pPr>
        <w:sectPr>
          <w:pgSz w:w="11900" w:h="16838" w:orient="portrait"/>
          <w:cols w:equalWidth="0" w:num="1">
            <w:col w:w="9979"/>
          </w:cols>
          <w:pgMar w:left="480" w:top="11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spacing w:after="0" w:line="213" w:lineRule="exact"/>
              <w:rPr>
                <w:rFonts w:ascii="Times New Roman" w:cs="Times New Roman" w:eastAsia="Times New Roman" w:hAnsi="Times New Roman"/>
                <w:sz w:val="20"/>
                <w:szCs w:val="20"/>
                <w:color w:val="0000EE"/>
              </w:rPr>
            </w:pPr>
            <w:hyperlink r:id="rId64">
              <w:r>
                <w:rPr>
                  <w:rFonts w:ascii="Times New Roman" w:cs="Times New Roman" w:eastAsia="Times New Roman" w:hAnsi="Times New Roman"/>
                  <w:sz w:val="20"/>
                  <w:szCs w:val="20"/>
                  <w:color w:val="0000EE"/>
                </w:rPr>
                <w:t>GV 2021, L.P.</w:t>
              </w:r>
            </w:hyperlink>
          </w:p>
        </w:tc>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7"/>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spacing w:after="0" w:line="213" w:lineRule="exact"/>
              <w:rPr>
                <w:rFonts w:ascii="Times New Roman" w:cs="Times New Roman" w:eastAsia="Times New Roman" w:hAnsi="Times New Roman"/>
                <w:sz w:val="20"/>
                <w:szCs w:val="20"/>
                <w:color w:val="0000EE"/>
              </w:rPr>
            </w:pPr>
            <w:hyperlink r:id="rId65">
              <w:r>
                <w:rPr>
                  <w:rFonts w:ascii="Times New Roman" w:cs="Times New Roman" w:eastAsia="Times New Roman" w:hAnsi="Times New Roman"/>
                  <w:sz w:val="20"/>
                  <w:szCs w:val="20"/>
                  <w:color w:val="0000EE"/>
                </w:rPr>
                <w:t>Alphabet Inc.</w:t>
              </w:r>
            </w:hyperlink>
          </w:p>
        </w:tc>
        <w:tc>
          <w:tcPr>
            <w:tcW w:w="1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1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1600 AMPHITHEATRE PARKWAY</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36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MOUNTAIN VIEW CA</w:t>
            </w:r>
          </w:p>
        </w:tc>
        <w:tc>
          <w:tcPr>
            <w:tcW w:w="15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94043</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1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3371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2812415" cy="3371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right="8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Issuer's initial public offering, all shares of Series B, Series C, and Series D Preferred Stock were automatically converted into shares of Class A Common Stock of the Issuer pursuant to the Issuer's Amended and Restated Certificate of Incorporation.</w:t>
      </w:r>
    </w:p>
    <w:p>
      <w:pPr>
        <w:spacing w:after="0" w:line="22"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in this row are directly beneficially owned by GV 2017, L.P. (the "2017 Partnership"). GV 2017 GP, L.P. (the "2017 GP") is the general partner of the 2017 Partnership. GV 2017 GP, L.L.C. ("GV 2017 LLC") is the general partner of the 2017 GP. Alphabet Holdings LLC ("Alphabet Holdings") is the sole member of GV 2017 LLC. XXVI Holdings Inc. ("XXVI") is the sole member of Alphabet Holdings. Alphabet Inc. is the controlling stockholder of XXVI. Each of the 2017 GP, GV 2017 LLC, Alphabet Holdings, XXVI and Alphabet Inc. may be deemed to indirectly beneficially own (as that term is defined in Rule 13d-3 of the Securities Exchange Act of 1934, as amended (the "Exchange Act")) the securities directly beneficially owned by the 2017 Partnership. Each of the 2017 GP, GV 2017 LLC, Alphabet Holdings, XXVI, and Alphabet Inc.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left="2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in this row are directly beneficially owned by GV 2019, L.P. (the "2019 Partnership"). GV 2019 GP, L.P. (the "2019 GP") is the general partner of the 2019 Partnership. GV 2019 GP, L.L.C. ("GV 2019 LLC") is the general partner of the 2019 GP. Alphabet Holdings is the sole member of GV 2019 LLC. XXVI is the sole member of Alphabet Holdings. Alphabet Inc. is the controlling stockholder of XXVI. Each of the 2019 GP, GV 2019 LLC, Alphabet Holdings, XXVI and Alphabet Inc. may be deemed to indirectly beneficially own (as that term is defined in Rule 13d-3 of the Exchange Act) the securities directly beneficially owned by the 2019 Partnership. Each of the 2019 GP, GV 2019 LLC, Alphabet Holdings, XXVI, and Alphabet Inc.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left="2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in this row are directly beneficially owned by GV 2021, L.P. (the "2021 Partnership"). GV 2021 GP, L.P. (the "2021 GP") is the general partner of the 2021 Partnership. GV 2021 GP, L.L.C. ("GV 2021 LLC") is the general partner of the 2021 GP. Alphabet Holdings is the sole member of GV 2021 LLC. XXVI is the sole member of Alphabet Holdings. Alphabet Inc. is the controlling stockholder of XXVI. Each of the 2021 GP, GV 2021 LLC, Alphabet Holdings, XXVI and Alphabet Inc. may be deemed to indirectly beneficially own (as that term is defined in Rule 13d-3 of the Exchange Act) the securities directly beneficially owned by the 2021 Partnership. Each of the 2021 GP, GV 2021 LLC, Alphabet Holdings, XXVI, and Alphabet Inc. disclaims beneficial ownership of such securities except to the extent of its pecuniary interest therein.</w:t>
      </w:r>
    </w:p>
    <w:p>
      <w:pPr>
        <w:spacing w:after="0" w:line="24" w:lineRule="exact"/>
        <w:rPr>
          <w:rFonts w:ascii="Times New Roman" w:cs="Times New Roman" w:eastAsia="Times New Roman" w:hAnsi="Times New Roman"/>
          <w:sz w:val="13"/>
          <w:szCs w:val="13"/>
          <w:color w:val="008000"/>
        </w:rPr>
      </w:pPr>
    </w:p>
    <w:p>
      <w:pPr>
        <w:ind w:left="20" w:right="260" w:hanging="2"/>
        <w:spacing w:after="0" w:line="243"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represents a sale of shares of the Issuer's Class A Common Stock by the reporting person as a participant in a secondary offering undertaken in connection with the Issuer's underwritten initial public offering of its Class A Common Stock.</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8"/>
              </w:rPr>
              <w:t>01/30/2026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 of GV 2017 GP, L.L.C.</w:t>
            </w:r>
          </w:p>
        </w:tc>
        <w:tc>
          <w:tcPr>
            <w:tcW w:w="60" w:type="dxa"/>
            <w:vAlign w:val="bottom"/>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60" w:type="dxa"/>
            <w:vAlign w:val="bottom"/>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 of GV 2017 GP, L.P.</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240" w:type="dxa"/>
            <w:vAlign w:val="bottom"/>
            <w:gridSpan w:val="3"/>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80"/>
        </w:trPr>
        <w:tc>
          <w:tcPr>
            <w:tcW w:w="16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Counsel of GV 2017, L.P.</w:t>
            </w:r>
          </w:p>
        </w:tc>
        <w:tc>
          <w:tcPr>
            <w:tcW w:w="20" w:type="dxa"/>
            <w:vAlign w:val="bottom"/>
            <w:tcBorders>
              <w:top w:val="single" w:sz="8" w:color="auto"/>
            </w:tcBorders>
            <w:vMerge w:val="restart"/>
          </w:tcPr>
          <w:p>
            <w:pPr>
              <w:spacing w:after="0"/>
              <w:rPr>
                <w:sz w:val="6"/>
                <w:szCs w:val="6"/>
                <w:color w:val="auto"/>
              </w:rPr>
            </w:pPr>
          </w:p>
        </w:tc>
        <w:tc>
          <w:tcPr>
            <w:tcW w:w="440" w:type="dxa"/>
            <w:vAlign w:val="bottom"/>
            <w:gridSpan w:val="4"/>
            <w:vMerge w:val="restart"/>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80" w:type="dxa"/>
            <w:vAlign w:val="bottom"/>
            <w:tcBorders>
              <w:top w:val="single" w:sz="8" w:color="auto"/>
              <w:bottom w:val="single" w:sz="8" w:color="auto"/>
            </w:tcBorders>
            <w:vMerge w:val="continue"/>
          </w:tcPr>
          <w:p>
            <w:pPr>
              <w:spacing w:after="0"/>
              <w:rPr>
                <w:sz w:val="6"/>
                <w:szCs w:val="6"/>
                <w:color w:val="auto"/>
              </w:rPr>
            </w:pPr>
          </w:p>
        </w:tc>
        <w:tc>
          <w:tcPr>
            <w:tcW w:w="20" w:type="dxa"/>
            <w:vAlign w:val="bottom"/>
            <w:tcBorders>
              <w:top w:val="single" w:sz="8" w:color="auto"/>
            </w:tcBorders>
            <w:vMerge w:val="continue"/>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1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8"/>
              </w:rPr>
              <w:t>01/30/2026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 of GV 2019 GP, L.L.C.</w:t>
            </w:r>
          </w:p>
        </w:tc>
        <w:tc>
          <w:tcPr>
            <w:tcW w:w="60" w:type="dxa"/>
            <w:vAlign w:val="bottom"/>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60" w:type="dxa"/>
            <w:vAlign w:val="bottom"/>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 of GV 2019 GP, L.P.</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240" w:type="dxa"/>
            <w:vAlign w:val="bottom"/>
            <w:gridSpan w:val="3"/>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80"/>
        </w:trPr>
        <w:tc>
          <w:tcPr>
            <w:tcW w:w="16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Counsel of GV 2019, L.P.</w:t>
            </w:r>
          </w:p>
        </w:tc>
        <w:tc>
          <w:tcPr>
            <w:tcW w:w="20" w:type="dxa"/>
            <w:vAlign w:val="bottom"/>
            <w:tcBorders>
              <w:top w:val="single" w:sz="8" w:color="auto"/>
            </w:tcBorders>
            <w:vMerge w:val="restart"/>
          </w:tcPr>
          <w:p>
            <w:pPr>
              <w:spacing w:after="0"/>
              <w:rPr>
                <w:sz w:val="6"/>
                <w:szCs w:val="6"/>
                <w:color w:val="auto"/>
              </w:rPr>
            </w:pPr>
          </w:p>
        </w:tc>
        <w:tc>
          <w:tcPr>
            <w:tcW w:w="440" w:type="dxa"/>
            <w:vAlign w:val="bottom"/>
            <w:gridSpan w:val="4"/>
            <w:vMerge w:val="restart"/>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80" w:type="dxa"/>
            <w:vAlign w:val="bottom"/>
            <w:tcBorders>
              <w:top w:val="single" w:sz="8" w:color="auto"/>
              <w:bottom w:val="single" w:sz="8" w:color="auto"/>
            </w:tcBorders>
            <w:vMerge w:val="continue"/>
          </w:tcPr>
          <w:p>
            <w:pPr>
              <w:spacing w:after="0"/>
              <w:rPr>
                <w:sz w:val="6"/>
                <w:szCs w:val="6"/>
                <w:color w:val="auto"/>
              </w:rPr>
            </w:pPr>
          </w:p>
        </w:tc>
        <w:tc>
          <w:tcPr>
            <w:tcW w:w="20" w:type="dxa"/>
            <w:vAlign w:val="bottom"/>
            <w:tcBorders>
              <w:top w:val="single" w:sz="8" w:color="auto"/>
            </w:tcBorders>
            <w:vMerge w:val="continue"/>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1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8"/>
              </w:rPr>
              <w:t>01/30/2026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 of GV 2021 GP, L.L.C.</w:t>
            </w:r>
          </w:p>
        </w:tc>
        <w:tc>
          <w:tcPr>
            <w:tcW w:w="60" w:type="dxa"/>
            <w:vAlign w:val="bottom"/>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60" w:type="dxa"/>
            <w:vAlign w:val="bottom"/>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Counsel of GV 2021 GP, L.P.</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rPr>
              <w:t>/s/ Inga Goldbard, General</w:t>
            </w:r>
          </w:p>
        </w:tc>
        <w:tc>
          <w:tcPr>
            <w:tcW w:w="240" w:type="dxa"/>
            <w:vAlign w:val="bottom"/>
            <w:gridSpan w:val="3"/>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80"/>
        </w:trPr>
        <w:tc>
          <w:tcPr>
            <w:tcW w:w="16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Counsel of GV 2021, L.P.</w:t>
            </w:r>
          </w:p>
        </w:tc>
        <w:tc>
          <w:tcPr>
            <w:tcW w:w="20" w:type="dxa"/>
            <w:vAlign w:val="bottom"/>
            <w:tcBorders>
              <w:top w:val="single" w:sz="8" w:color="auto"/>
            </w:tcBorders>
            <w:vMerge w:val="restart"/>
          </w:tcPr>
          <w:p>
            <w:pPr>
              <w:spacing w:after="0"/>
              <w:rPr>
                <w:sz w:val="6"/>
                <w:szCs w:val="6"/>
                <w:color w:val="auto"/>
              </w:rPr>
            </w:pPr>
          </w:p>
        </w:tc>
        <w:tc>
          <w:tcPr>
            <w:tcW w:w="440" w:type="dxa"/>
            <w:vAlign w:val="bottom"/>
            <w:gridSpan w:val="4"/>
            <w:vMerge w:val="restart"/>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80" w:type="dxa"/>
            <w:vAlign w:val="bottom"/>
            <w:tcBorders>
              <w:top w:val="single" w:sz="8" w:color="auto"/>
              <w:bottom w:val="single" w:sz="8" w:color="auto"/>
            </w:tcBorders>
            <w:vMerge w:val="continue"/>
          </w:tcPr>
          <w:p>
            <w:pPr>
              <w:spacing w:after="0"/>
              <w:rPr>
                <w:sz w:val="6"/>
                <w:szCs w:val="6"/>
                <w:color w:val="auto"/>
              </w:rPr>
            </w:pPr>
          </w:p>
        </w:tc>
        <w:tc>
          <w:tcPr>
            <w:tcW w:w="20" w:type="dxa"/>
            <w:vAlign w:val="bottom"/>
            <w:tcBorders>
              <w:top w:val="single" w:sz="8" w:color="auto"/>
            </w:tcBorders>
            <w:vMerge w:val="continue"/>
          </w:tcPr>
          <w:p>
            <w:pPr>
              <w:spacing w:after="0"/>
              <w:rPr>
                <w:sz w:val="6"/>
                <w:szCs w:val="6"/>
                <w:color w:val="auto"/>
              </w:rPr>
            </w:pPr>
          </w:p>
        </w:tc>
        <w:tc>
          <w:tcPr>
            <w:tcW w:w="44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0000FF"/>
                <w:w w:val="99"/>
              </w:rPr>
              <w:t>/s/ Kathryn W. Hall, Assistant</w:t>
            </w:r>
          </w:p>
        </w:tc>
        <w:tc>
          <w:tcPr>
            <w:tcW w:w="200" w:type="dxa"/>
            <w:vAlign w:val="bottom"/>
            <w:gridSpan w:val="2"/>
          </w:tcPr>
          <w:p>
            <w:pPr>
              <w:spacing w:after="0"/>
              <w:rPr>
                <w:sz w:val="20"/>
                <w:szCs w:val="20"/>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01/30/2026</w:t>
            </w:r>
          </w:p>
        </w:tc>
        <w:tc>
          <w:tcPr>
            <w:tcW w:w="0" w:type="dxa"/>
            <w:vAlign w:val="bottom"/>
          </w:tcPr>
          <w:p>
            <w:pPr>
              <w:spacing w:after="0"/>
              <w:rPr>
                <w:sz w:val="1"/>
                <w:szCs w:val="1"/>
                <w:color w:val="auto"/>
              </w:rPr>
            </w:pPr>
          </w:p>
        </w:tc>
      </w:tr>
      <w:tr>
        <w:trPr>
          <w:trHeight w:val="80"/>
        </w:trPr>
        <w:tc>
          <w:tcPr>
            <w:tcW w:w="2140" w:type="dxa"/>
            <w:vAlign w:val="bottom"/>
            <w:gridSpan w:val="6"/>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Secretary of Alphabet Inc.</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40" w:type="dxa"/>
            <w:vAlign w:val="bottom"/>
            <w:gridSpan w:val="6"/>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4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40" w:hanging="2"/>
        <w:spacing w:after="0" w:line="355"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8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0"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6" Type="http://schemas.openxmlformats.org/officeDocument/2006/relationships/image" Target="media/image48.png"/><Relationship Id="rId13" Type="http://schemas.openxmlformats.org/officeDocument/2006/relationships/hyperlink" Target="http://www.sec.gov/cgi-bin/browse-edgar?action=getcompany&amp;CIK=0001733338" TargetMode="External"/><Relationship Id="rId14" Type="http://schemas.openxmlformats.org/officeDocument/2006/relationships/hyperlink" Target="http://www.sec.gov/cgi-bin/browse-edgar?action=getcompany&amp;CIK=0001788451" TargetMode="External"/><Relationship Id="rId19" Type="http://schemas.openxmlformats.org/officeDocument/2006/relationships/hyperlink" Target="http://www.sec.gov/cgi-bin/browse-edgar?action=getcompany&amp;CIK=0001733339" TargetMode="External"/><Relationship Id="rId21" Type="http://schemas.openxmlformats.org/officeDocument/2006/relationships/hyperlink" Target="http://www.sec.gov/cgi-bin/browse-edgar?action=getcompany&amp;CIK=0001733340" TargetMode="External"/><Relationship Id="rId22" Type="http://schemas.openxmlformats.org/officeDocument/2006/relationships/hyperlink" Target="http://www.sec.gov/cgi-bin/browse-edgar?action=getcompany&amp;CIK=0001845038" TargetMode="External"/><Relationship Id="rId23" Type="http://schemas.openxmlformats.org/officeDocument/2006/relationships/hyperlink" Target="http://www.sec.gov/cgi-bin/browse-edgar?action=getcompany&amp;CIK=0001845039" TargetMode="External"/><Relationship Id="rId24" Type="http://schemas.openxmlformats.org/officeDocument/2006/relationships/hyperlink" Target="http://www.sec.gov/cgi-bin/browse-edgar?action=getcompany&amp;CIK=0001845041" TargetMode="External"/><Relationship Id="rId25" Type="http://schemas.openxmlformats.org/officeDocument/2006/relationships/hyperlink" Target="http://www.sec.gov/cgi-bin/browse-edgar?action=getcompany&amp;CIK=0001861206" TargetMode="External"/><Relationship Id="rId26" Type="http://schemas.openxmlformats.org/officeDocument/2006/relationships/hyperlink" Target="http://www.sec.gov/cgi-bin/browse-edgar?action=getcompany&amp;CIK=0001861216" TargetMode="External"/><Relationship Id="rId64" Type="http://schemas.openxmlformats.org/officeDocument/2006/relationships/hyperlink" Target="http://www.sec.gov/cgi-bin/browse-edgar?action=getcompany&amp;CIK=0001861202" TargetMode="External"/><Relationship Id="rId65" Type="http://schemas.openxmlformats.org/officeDocument/2006/relationships/hyperlink" Target="http://www.sec.gov/cgi-bin/browse-edgar?action=getcompany&amp;CIK=000165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2026-01-30T18:14:18Z</dcterms:created>
  <dcterms:modified xsi:type="dcterms:W3CDTF">2026-01-30T18:14:18Z</dcterms:modified>
</cp:coreProperties>
</file>