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4"/>
          <w:szCs w:val="24"/>
          <w:color w:val="auto"/>
        </w:rPr>
      </w:pPr>
    </w:p>
    <w:p>
      <w:pPr>
        <w:jc w:val="center"/>
        <w:ind w:left="500" w:right="60"/>
        <w:spacing w:after="0" w:line="277" w:lineRule="auto"/>
        <w:rPr>
          <w:sz w:val="20"/>
          <w:szCs w:val="20"/>
          <w:color w:val="auto"/>
        </w:rPr>
      </w:pPr>
      <w:r>
        <w:rPr>
          <w:rFonts w:ascii="Arial" w:cs="Arial" w:eastAsia="Arial" w:hAnsi="Arial"/>
          <w:sz w:val="14"/>
          <w:szCs w:val="14"/>
          <w:b w:val="1"/>
          <w:bCs w:val="1"/>
          <w:color w:val="auto"/>
        </w:rPr>
        <w:t>As confidentially submitted to the Securities and Exchange Commission on July 29, 2025. This Amendment No. 1 to the draft registration statement has not been publicly filed with the Securities and Exchange Commission and all information herein remains strictly confidential.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164465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FORM S-1</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REGISTRATION STATEMENT</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Ethos Technologies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2800" w:type="dxa"/>
            <w:vAlign w:val="bottom"/>
          </w:tcPr>
          <w:p>
            <w:pPr>
              <w:jc w:val="center"/>
              <w:ind w:right="937"/>
              <w:spacing w:after="0"/>
              <w:rPr>
                <w:sz w:val="20"/>
                <w:szCs w:val="20"/>
                <w:color w:val="auto"/>
              </w:rPr>
            </w:pPr>
            <w:r>
              <w:rPr>
                <w:rFonts w:ascii="Arial" w:cs="Arial" w:eastAsia="Arial" w:hAnsi="Arial"/>
                <w:sz w:val="13"/>
                <w:szCs w:val="13"/>
                <w:b w:val="1"/>
                <w:bCs w:val="1"/>
                <w:color w:val="auto"/>
                <w:w w:val="98"/>
              </w:rPr>
              <w:t>Delaware</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7389</w:t>
            </w:r>
          </w:p>
        </w:tc>
        <w:tc>
          <w:tcPr>
            <w:tcW w:w="2380" w:type="dxa"/>
            <w:vAlign w:val="bottom"/>
          </w:tcPr>
          <w:p>
            <w:pPr>
              <w:jc w:val="center"/>
              <w:ind w:left="977"/>
              <w:spacing w:after="0"/>
              <w:rPr>
                <w:sz w:val="20"/>
                <w:szCs w:val="20"/>
                <w:color w:val="auto"/>
              </w:rPr>
            </w:pPr>
            <w:r>
              <w:rPr>
                <w:rFonts w:ascii="Arial" w:cs="Arial" w:eastAsia="Arial" w:hAnsi="Arial"/>
                <w:sz w:val="13"/>
                <w:szCs w:val="13"/>
                <w:b w:val="1"/>
                <w:bCs w:val="1"/>
                <w:color w:val="auto"/>
                <w:w w:val="95"/>
              </w:rPr>
              <w:t>81-3181024</w:t>
            </w:r>
          </w:p>
        </w:tc>
      </w:tr>
      <w:tr>
        <w:trPr>
          <w:trHeight w:val="135"/>
        </w:trPr>
        <w:tc>
          <w:tcPr>
            <w:tcW w:w="2800" w:type="dxa"/>
            <w:vAlign w:val="bottom"/>
          </w:tcPr>
          <w:p>
            <w:pPr>
              <w:jc w:val="center"/>
              <w:ind w:right="937"/>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2"/>
        </w:trPr>
        <w:tc>
          <w:tcPr>
            <w:tcW w:w="2800" w:type="dxa"/>
            <w:vAlign w:val="bottom"/>
          </w:tcPr>
          <w:p>
            <w:pPr>
              <w:jc w:val="center"/>
              <w:ind w:right="937"/>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90 New Montgomery Street, Suite 1500</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San Francisco, CA 94105</w:t>
      </w:r>
    </w:p>
    <w:p>
      <w:pPr>
        <w:jc w:val="center"/>
        <w:ind w:right="-159"/>
        <w:spacing w:after="0" w:line="226" w:lineRule="auto"/>
        <w:rPr>
          <w:sz w:val="20"/>
          <w:szCs w:val="20"/>
          <w:color w:val="auto"/>
        </w:rPr>
      </w:pPr>
      <w:r>
        <w:rPr>
          <w:rFonts w:ascii="Arial" w:cs="Arial" w:eastAsia="Arial" w:hAnsi="Arial"/>
          <w:sz w:val="14"/>
          <w:szCs w:val="14"/>
          <w:b w:val="1"/>
          <w:bCs w:val="1"/>
          <w:color w:val="auto"/>
        </w:rPr>
        <w:t>(415) 915-0665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Peter Colis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Ethos Technologies Inc.</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90 New Montgomery Street, Suite 1500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San Francisco, CA 94105</w:t>
      </w:r>
    </w:p>
    <w:p>
      <w:pPr>
        <w:jc w:val="center"/>
        <w:ind w:right="-159"/>
        <w:spacing w:after="0" w:line="226" w:lineRule="auto"/>
        <w:rPr>
          <w:sz w:val="20"/>
          <w:szCs w:val="20"/>
          <w:color w:val="auto"/>
        </w:rPr>
      </w:pPr>
      <w:r>
        <w:rPr>
          <w:rFonts w:ascii="Arial" w:cs="Arial" w:eastAsia="Arial" w:hAnsi="Arial"/>
          <w:sz w:val="14"/>
          <w:szCs w:val="14"/>
          <w:b w:val="1"/>
          <w:bCs w:val="1"/>
          <w:color w:val="auto"/>
        </w:rPr>
        <w:t>(415) 915-0665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tbl>
      <w:tblPr>
        <w:tblLayout w:type="fixed"/>
        <w:tblInd w:w="130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4120" w:type="dxa"/>
            <w:vAlign w:val="bottom"/>
          </w:tcPr>
          <w:p>
            <w:pPr>
              <w:ind w:left="1740"/>
              <w:spacing w:after="0"/>
              <w:rPr>
                <w:sz w:val="20"/>
                <w:szCs w:val="20"/>
                <w:color w:val="auto"/>
              </w:rPr>
            </w:pPr>
            <w:r>
              <w:rPr>
                <w:rFonts w:ascii="Arial" w:cs="Arial" w:eastAsia="Arial" w:hAnsi="Arial"/>
                <w:sz w:val="14"/>
                <w:szCs w:val="14"/>
                <w:b w:val="1"/>
                <w:bCs w:val="1"/>
                <w:i w:val="1"/>
                <w:iCs w:val="1"/>
                <w:color w:val="auto"/>
              </w:rPr>
              <w:t>Copies to:</w:t>
            </w:r>
          </w:p>
        </w:tc>
        <w:tc>
          <w:tcPr>
            <w:tcW w:w="2820" w:type="dxa"/>
            <w:vAlign w:val="bottom"/>
          </w:tcPr>
          <w:p>
            <w:pPr>
              <w:spacing w:after="0"/>
              <w:rPr>
                <w:sz w:val="16"/>
                <w:szCs w:val="16"/>
                <w:color w:val="auto"/>
              </w:rPr>
            </w:pPr>
          </w:p>
        </w:tc>
      </w:tr>
      <w:tr>
        <w:trPr>
          <w:trHeight w:val="209"/>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Matthew Bartus</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Porter Nolan</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John C. Ericson</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Jon C. Avina</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General Counsel</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Heidi E. Mayon</w:t>
            </w:r>
          </w:p>
        </w:tc>
      </w:tr>
      <w:tr>
        <w:trPr>
          <w:trHeight w:val="162"/>
        </w:trPr>
        <w:tc>
          <w:tcPr>
            <w:tcW w:w="2240" w:type="dxa"/>
            <w:vAlign w:val="bottom"/>
          </w:tcPr>
          <w:p>
            <w:pPr>
              <w:jc w:val="center"/>
              <w:ind w:right="808"/>
              <w:spacing w:after="0"/>
              <w:rPr>
                <w:sz w:val="20"/>
                <w:szCs w:val="20"/>
                <w:color w:val="auto"/>
              </w:rPr>
            </w:pPr>
            <w:r>
              <w:rPr>
                <w:rFonts w:ascii="Arial" w:cs="Arial" w:eastAsia="Arial" w:hAnsi="Arial"/>
                <w:sz w:val="14"/>
                <w:szCs w:val="14"/>
                <w:b w:val="1"/>
                <w:bCs w:val="1"/>
                <w:color w:val="auto"/>
              </w:rPr>
              <w:t>Jean Park</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Ethos Technologies Inc.</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Simpson Thacher &amp; Bartlett LLP</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Milson C. Yu</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90 New Montgomery Street, Suite 1500</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2475 Hanover Street</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Cooley LLP</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San Francisco, CA 94105</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Palo Alto, CA 94304</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3175 Hanover Street</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(415) 915-0665</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(650) 251-5000</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Palo Alto, CA 94304</w:t>
            </w:r>
          </w:p>
        </w:tc>
        <w:tc>
          <w:tcPr>
            <w:tcW w:w="41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96"/>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(650) 843-5000</w:t>
            </w:r>
          </w:p>
        </w:tc>
        <w:tc>
          <w:tcPr>
            <w:tcW w:w="412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3" w:lineRule="exact"/>
        <w:rPr>
          <w:sz w:val="24"/>
          <w:szCs w:val="24"/>
          <w:color w:val="auto"/>
        </w:rPr>
      </w:pPr>
    </w:p>
    <w:p>
      <w:pPr>
        <w:ind w:left="6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69" w:lineRule="exact"/>
        <w:rPr>
          <w:sz w:val="24"/>
          <w:szCs w:val="24"/>
          <w:color w:val="auto"/>
        </w:rPr>
      </w:pPr>
    </w:p>
    <w:p>
      <w:pPr>
        <w:ind w:left="120" w:firstLine="551"/>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7" w:lineRule="exact"/>
        <w:rPr>
          <w:sz w:val="24"/>
          <w:szCs w:val="24"/>
          <w:color w:val="auto"/>
        </w:rPr>
      </w:pPr>
    </w:p>
    <w:p>
      <w:pPr>
        <w:ind w:left="120" w:firstLine="551"/>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40" w:firstLine="551"/>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40" w:firstLine="551"/>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120" w:firstLine="551"/>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jc w:val="both"/>
        <w:ind w:left="120" w:right="60" w:firstLine="551"/>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120" w:firstLine="551"/>
        <w:spacing w:after="0" w:line="251" w:lineRule="auto"/>
        <w:rPr>
          <w:sz w:val="20"/>
          <w:szCs w:val="20"/>
          <w:color w:val="auto"/>
        </w:rPr>
      </w:pPr>
      <w:r>
        <w:rPr>
          <w:rFonts w:ascii="Arial" w:cs="Arial" w:eastAsia="Arial" w:hAnsi="Arial"/>
          <w:sz w:val="14"/>
          <w:szCs w:val="14"/>
          <w:b w:val="1"/>
          <w:bCs w:val="1"/>
          <w:color w:val="auto"/>
        </w:rPr>
        <w:t xml:space="preserve">The Registrant hereby amends this Registration Statement on such date or dates as may be necessary to delay its effective date until the Registrant shall file a further amendment </w:t>
      </w:r>
      <w:r>
        <w:rPr>
          <w:rFonts w:ascii="Arial" w:cs="Arial" w:eastAsia="Arial" w:hAnsi="Arial"/>
          <w:sz w:val="14"/>
          <w:szCs w:val="14"/>
          <w:color w:val="auto"/>
        </w:rPr>
        <w:t>which</w:t>
      </w:r>
      <w:r>
        <w:rPr>
          <w:rFonts w:ascii="Arial" w:cs="Arial" w:eastAsia="Arial" w:hAnsi="Arial"/>
          <w:sz w:val="14"/>
          <w:szCs w:val="14"/>
          <w:b w:val="1"/>
          <w:bCs w:val="1"/>
          <w:color w:val="auto"/>
        </w:rPr>
        <w:t xml:space="preserve"> specifically states that this Registration Statement shall thereafter become effective in accordance with Section 8(a) of the</w:t>
      </w:r>
    </w:p>
    <w:p>
      <w:pPr>
        <w:spacing w:after="0" w:line="1" w:lineRule="exact"/>
        <w:rPr>
          <w:sz w:val="24"/>
          <w:szCs w:val="24"/>
          <w:color w:val="auto"/>
        </w:rPr>
      </w:pPr>
    </w:p>
    <w:p>
      <w:pPr>
        <w:ind w:left="120" w:right="320"/>
        <w:spacing w:after="0" w:line="273" w:lineRule="auto"/>
        <w:rPr>
          <w:sz w:val="20"/>
          <w:szCs w:val="20"/>
          <w:color w:val="auto"/>
        </w:rPr>
      </w:pPr>
      <w:r>
        <w:rPr>
          <w:rFonts w:ascii="Arial" w:cs="Arial" w:eastAsia="Arial" w:hAnsi="Arial"/>
          <w:sz w:val="14"/>
          <w:szCs w:val="14"/>
          <w:b w:val="1"/>
          <w:bCs w:val="1"/>
          <w:color w:val="auto"/>
        </w:rPr>
        <w:t>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440"/>
          </w:cols>
          <w:pgMar w:left="320" w:top="455" w:right="113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73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until the registration statement filed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color w:val="DE1A1E"/>
                <w:w w:val="99"/>
              </w:rPr>
              <w:t>it seek an offer to buy these securities</w:t>
            </w:r>
          </w:p>
        </w:tc>
        <w:tc>
          <w:tcPr>
            <w:tcW w:w="200" w:type="dxa"/>
            <w:vAlign w:val="bottom"/>
          </w:tcPr>
          <w:p>
            <w:pPr>
              <w:spacing w:after="0"/>
              <w:rPr>
                <w:sz w:val="24"/>
                <w:szCs w:val="24"/>
                <w:color w:val="auto"/>
              </w:rPr>
            </w:pPr>
          </w:p>
        </w:tc>
      </w:tr>
      <w:tr>
        <w:trPr>
          <w:trHeight w:val="850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The information in this preliminary prospectus is not complete and may be changed. These securities may not be sold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color w:val="DE1A1E"/>
                <w:w w:val="99"/>
              </w:rPr>
              <w:t>with the Securities and Exchange Commission is effective. This preliminary prospectus is not an offer to sell nor does</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in any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 2025.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241935</wp:posOffset>
            </wp:positionV>
            <wp:extent cx="1268730" cy="1268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238760</wp:posOffset>
            </wp:positionV>
            <wp:extent cx="1285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This is an initial public offering of shares of Class A common stock of Ethos Technologies Inc.</w:t>
      </w:r>
    </w:p>
    <w:p>
      <w:pPr>
        <w:spacing w:after="0" w:line="154" w:lineRule="exact"/>
        <w:rPr>
          <w:sz w:val="20"/>
          <w:szCs w:val="20"/>
          <w:color w:val="auto"/>
        </w:rPr>
      </w:pPr>
    </w:p>
    <w:p>
      <w:pPr>
        <w:ind w:right="160" w:firstLine="482"/>
        <w:spacing w:after="0" w:line="266" w:lineRule="auto"/>
        <w:rPr>
          <w:sz w:val="20"/>
          <w:szCs w:val="20"/>
          <w:color w:val="auto"/>
        </w:rPr>
      </w:pPr>
      <w:r>
        <w:rPr>
          <w:rFonts w:ascii="Arial" w:cs="Arial" w:eastAsia="Arial" w:hAnsi="Arial"/>
          <w:sz w:val="16"/>
          <w:szCs w:val="16"/>
          <w:color w:val="auto"/>
        </w:rPr>
        <w:t>Prior to this offering, there has been no public market for our Class A common stock. It is currently estimated that the initial public offering price per share will be between $        and $        . We intend to list our Class A common stock on the         under the symbol “LIFE.”</w:t>
      </w:r>
    </w:p>
    <w:p>
      <w:pPr>
        <w:spacing w:after="0" w:line="90" w:lineRule="exact"/>
        <w:rPr>
          <w:sz w:val="20"/>
          <w:szCs w:val="20"/>
          <w:color w:val="auto"/>
        </w:rPr>
      </w:pPr>
    </w:p>
    <w:p>
      <w:pPr>
        <w:ind w:firstLine="482"/>
        <w:spacing w:after="0" w:line="253"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votes and is convertible at any time into one share of Class A common stock. Outstanding shares of Class B common stock will represent approximately        % of the voting power of our outstanding capital stock immediately following the closing of this offering, with our directors, executive officers, and stockholders holding more than 5% of our outstanding shares, together with their affiliates, representing approximately        % of such voting power.</w:t>
      </w:r>
    </w:p>
    <w:p>
      <w:pPr>
        <w:spacing w:after="0" w:line="114" w:lineRule="exact"/>
        <w:rPr>
          <w:sz w:val="20"/>
          <w:szCs w:val="20"/>
          <w:color w:val="auto"/>
        </w:rPr>
      </w:pPr>
    </w:p>
    <w:p>
      <w:pPr>
        <w:jc w:val="both"/>
        <w:ind w:right="200" w:firstLine="482"/>
        <w:spacing w:after="0" w:line="266"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 See “Prospectus Summary— 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143510</wp:posOffset>
            </wp:positionV>
            <wp:extent cx="1285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6" w:lineRule="exact"/>
        <w:rPr>
          <w:sz w:val="20"/>
          <w:szCs w:val="20"/>
          <w:color w:val="auto"/>
        </w:rPr>
      </w:pPr>
    </w:p>
    <w:p>
      <w:pPr>
        <w:ind w:right="240" w:firstLine="482"/>
        <w:spacing w:after="0" w:line="283" w:lineRule="auto"/>
        <w:rPr>
          <w:sz w:val="20"/>
          <w:szCs w:val="20"/>
          <w:color w:val="auto"/>
        </w:rPr>
      </w:pPr>
      <w:r>
        <w:rPr>
          <w:rFonts w:ascii="Arial" w:cs="Arial" w:eastAsia="Arial" w:hAnsi="Arial"/>
          <w:sz w:val="16"/>
          <w:szCs w:val="16"/>
          <w:i w:val="1"/>
          <w:iCs w:val="1"/>
          <w:color w:val="auto"/>
        </w:rPr>
        <w:t>See the section titled “</w:t>
      </w:r>
      <w:r>
        <w:rPr>
          <w:rFonts w:ascii="Arial" w:cs="Arial" w:eastAsia="Arial" w:hAnsi="Arial"/>
          <w:sz w:val="16"/>
          <w:szCs w:val="16"/>
          <w:i w:val="1"/>
          <w:iCs w:val="1"/>
          <w:u w:val="single" w:color="auto"/>
          <w:color w:val="0000EE"/>
        </w:rPr>
        <w:t>Risk Factors</w:t>
      </w:r>
      <w:r>
        <w:rPr>
          <w:rFonts w:ascii="Arial" w:cs="Arial" w:eastAsia="Arial" w:hAnsi="Arial"/>
          <w:sz w:val="16"/>
          <w:szCs w:val="16"/>
          <w:i w:val="1"/>
          <w:iCs w:val="1"/>
          <w:color w:val="auto"/>
        </w:rPr>
        <w:t>” beginning on page 23 to read about factors you should consider before buying shares of our Class A common stock.</w:t>
      </w:r>
    </w:p>
    <w:p>
      <w:pPr>
        <w:spacing w:after="0" w:line="91" w:lineRule="exact"/>
        <w:rPr>
          <w:sz w:val="20"/>
          <w:szCs w:val="20"/>
          <w:color w:val="auto"/>
        </w:rPr>
      </w:pPr>
    </w:p>
    <w:p>
      <w:pPr>
        <w:ind w:firstLine="482"/>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135890</wp:posOffset>
            </wp:positionV>
            <wp:extent cx="1285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gridSpan w:val="6"/>
          </w:tcPr>
          <w:p>
            <w:pPr>
              <w:spacing w:after="0"/>
              <w:rPr>
                <w:sz w:val="20"/>
                <w:szCs w:val="20"/>
                <w:color w:val="auto"/>
              </w:rPr>
            </w:pPr>
            <w:r>
              <w:rPr>
                <w:rFonts w:ascii="Arial" w:cs="Arial" w:eastAsia="Arial" w:hAnsi="Arial"/>
                <w:sz w:val="16"/>
                <w:szCs w:val="16"/>
                <w:color w:val="auto"/>
              </w:rPr>
              <w:t>PER SHARE</w:t>
            </w:r>
          </w:p>
        </w:tc>
        <w:tc>
          <w:tcPr>
            <w:tcW w:w="680" w:type="dxa"/>
            <w:vAlign w:val="bottom"/>
            <w:gridSpan w:val="4"/>
          </w:tcPr>
          <w:p>
            <w:pPr>
              <w:ind w:left="60"/>
              <w:spacing w:after="0"/>
              <w:rPr>
                <w:sz w:val="20"/>
                <w:szCs w:val="20"/>
                <w:color w:val="auto"/>
              </w:rPr>
            </w:pPr>
            <w:r>
              <w:rPr>
                <w:rFonts w:ascii="Arial" w:cs="Arial" w:eastAsia="Arial" w:hAnsi="Arial"/>
                <w:sz w:val="16"/>
                <w:szCs w:val="16"/>
                <w:color w:val="auto"/>
              </w:rPr>
              <w:t>TOTAL</w:t>
            </w:r>
          </w:p>
        </w:tc>
      </w:tr>
      <w:tr>
        <w:trPr>
          <w:trHeight w:val="183"/>
        </w:trPr>
        <w:tc>
          <w:tcPr>
            <w:tcW w:w="5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Initial public offering price</w:t>
            </w:r>
          </w:p>
        </w:tc>
        <w:tc>
          <w:tcPr>
            <w:tcW w:w="1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 </w:t>
            </w:r>
          </w:p>
        </w:tc>
        <w:tc>
          <w:tcPr>
            <w:tcW w:w="1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28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rPr>
              <w:t> </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 </w:t>
            </w:r>
          </w:p>
        </w:tc>
        <w:tc>
          <w:tcPr>
            <w:tcW w:w="1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26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2100" w:type="dxa"/>
            <w:vAlign w:val="bottom"/>
            <w:gridSpan w:val="2"/>
          </w:tcPr>
          <w:p>
            <w:pPr>
              <w:ind w:left="190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52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 </w:t>
            </w: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Ethos Technologies Inc.</w:t>
            </w:r>
          </w:p>
        </w:tc>
        <w:tc>
          <w:tcPr>
            <w:tcW w:w="2100" w:type="dxa"/>
            <w:vAlign w:val="bottom"/>
            <w:gridSpan w:val="2"/>
            <w:shd w:val="clear" w:color="auto" w:fill="CCEEFF"/>
          </w:tcPr>
          <w:p>
            <w:pPr>
              <w:ind w:left="190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668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0" w:lineRule="exact"/>
        <w:rPr>
          <w:sz w:val="20"/>
          <w:szCs w:val="20"/>
          <w:color w:val="auto"/>
        </w:rPr>
      </w:pPr>
    </w:p>
    <w:p>
      <w:pPr>
        <w:ind w:left="380" w:hanging="380"/>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45" w:lineRule="exact"/>
        <w:rPr>
          <w:sz w:val="20"/>
          <w:szCs w:val="20"/>
          <w:color w:val="auto"/>
        </w:rPr>
      </w:pPr>
    </w:p>
    <w:p>
      <w:pPr>
        <w:ind w:right="20" w:firstLine="482"/>
        <w:spacing w:after="0" w:line="266" w:lineRule="auto"/>
        <w:rPr>
          <w:sz w:val="20"/>
          <w:szCs w:val="20"/>
          <w:color w:val="auto"/>
        </w:rPr>
      </w:pPr>
      <w:r>
        <w:rPr>
          <w:rFonts w:ascii="Arial" w:cs="Arial" w:eastAsia="Arial" w:hAnsi="Arial"/>
          <w:sz w:val="16"/>
          <w:szCs w:val="16"/>
          <w:color w:val="auto"/>
        </w:rPr>
        <w:t>To the extent that the underwriters sell more than         shares of Class A common stock, the underwriters have the option to purchase up to an additional         shares of Class A common stock from us at the initial public offering price less underwriting discounts and commissions for a period of 30 days after the date of this prospectus.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underwriters expect to deliver the shares of Class A common stock against payment in New York, New York on 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2025.</w:t>
      </w:r>
    </w:p>
    <w:p>
      <w:pPr>
        <w:spacing w:after="0" w:line="118" w:lineRule="exact"/>
        <w:rPr>
          <w:sz w:val="20"/>
          <w:szCs w:val="20"/>
          <w:color w:val="auto"/>
        </w:rPr>
      </w:pPr>
    </w:p>
    <w:p>
      <w:pPr>
        <w:sectPr>
          <w:pgSz w:w="11900" w:h="16838" w:orient="portrait"/>
          <w:cols w:equalWidth="0" w:num="2">
            <w:col w:w="720" w:space="80"/>
            <w:col w:w="9640"/>
          </w:cols>
          <w:pgMar w:left="320" w:top="455" w:right="1139" w:bottom="1440" w:gutter="0" w:footer="0" w:header="0"/>
          <w:type w:val="continuous"/>
        </w:sectPr>
      </w:pPr>
    </w:p>
    <w:p>
      <w:pPr>
        <w:ind w:left="800"/>
        <w:spacing w:after="0"/>
        <w:tabs>
          <w:tab w:leader="none" w:pos="882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203200</wp:posOffset>
            </wp:positionV>
            <wp:extent cx="1285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Prospectus dated               , 2025.</w:t>
      </w:r>
    </w:p>
    <w:p>
      <w:pPr>
        <w:sectPr>
          <w:pgSz w:w="11900" w:h="16838" w:orient="portrait"/>
          <w:cols w:equalWidth="0" w:num="1">
            <w:col w:w="10440"/>
          </w:cols>
          <w:pgMar w:left="320" w:top="455" w:right="11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4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10560" w:type="dxa"/>
            <w:vAlign w:val="bottom"/>
            <w:gridSpan w:val="27"/>
            <w:vMerge w:val="restart"/>
          </w:tcPr>
          <w:p>
            <w:pPr>
              <w:spacing w:after="0"/>
              <w:rPr>
                <w:sz w:val="20"/>
                <w:szCs w:val="20"/>
                <w:color w:val="auto"/>
              </w:rPr>
            </w:pPr>
            <w:r>
              <w:rPr>
                <w:rFonts w:ascii="Arial" w:cs="Arial" w:eastAsia="Arial" w:hAnsi="Arial"/>
                <w:sz w:val="18"/>
                <w:szCs w:val="18"/>
                <w:color w:val="0000EE"/>
              </w:rPr>
              <w:t>EXPLANATORY NOTE</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27"/>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3"/>
              </w:rPr>
              <w:t>GLOSSARY OF TERMS</w:t>
            </w:r>
          </w:p>
        </w:tc>
        <w:tc>
          <w:tcPr>
            <w:tcW w:w="100" w:type="dxa"/>
            <w:vAlign w:val="bottom"/>
            <w:tcBorders>
              <w:bottom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PROSPECTUS SUMMARY</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THE OFFERING</w:t>
            </w:r>
          </w:p>
        </w:tc>
        <w:tc>
          <w:tcPr>
            <w:tcW w:w="860" w:type="dxa"/>
            <w:vAlign w:val="bottom"/>
            <w:tcBorders>
              <w:top w:val="single" w:sz="8" w:color="0000EE"/>
            </w:tcBorders>
            <w:gridSpan w:val="8"/>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SUMMARY CONSOLIDATED FINANCIAL AND OTHER DATA</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RISK FACTORS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SPECIAL NOTE</w:t>
            </w:r>
          </w:p>
        </w:tc>
        <w:tc>
          <w:tcPr>
            <w:tcW w:w="9240" w:type="dxa"/>
            <w:vAlign w:val="bottom"/>
            <w:gridSpan w:val="22"/>
          </w:tcPr>
          <w:p>
            <w:pPr>
              <w:ind w:left="40"/>
              <w:spacing w:after="0" w:line="182" w:lineRule="exact"/>
              <w:rPr>
                <w:sz w:val="20"/>
                <w:szCs w:val="20"/>
                <w:color w:val="auto"/>
              </w:rPr>
            </w:pPr>
            <w:r>
              <w:rPr>
                <w:rFonts w:ascii="Arial" w:cs="Arial" w:eastAsia="Arial" w:hAnsi="Arial"/>
                <w:sz w:val="18"/>
                <w:szCs w:val="18"/>
                <w:color w:val="0000EE"/>
              </w:rPr>
              <w:t>REGARDING FORWARD-LOOKING STATEMENTS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552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MARKET, INDUSTRY, AND OTHER DATA</w:t>
            </w: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33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USE OF PROCEEDS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DIVIDEND POLICY</w:t>
            </w:r>
          </w:p>
        </w:tc>
        <w:tc>
          <w:tcPr>
            <w:tcW w:w="74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5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CAPITALIZATION</w:t>
            </w:r>
          </w:p>
        </w:tc>
        <w:tc>
          <w:tcPr>
            <w:tcW w:w="90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8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DILUTION</w:t>
            </w:r>
          </w:p>
        </w:tc>
        <w:tc>
          <w:tcPr>
            <w:tcW w:w="58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912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BUSINESS</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MANAGEMENT</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EXECUTIVE</w:t>
            </w:r>
          </w:p>
        </w:tc>
        <w:tc>
          <w:tcPr>
            <w:tcW w:w="12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83"/>
              </w:rPr>
              <w:t>COMPENSATION</w:t>
            </w:r>
          </w:p>
        </w:tc>
        <w:tc>
          <w:tcPr>
            <w:tcW w:w="8040" w:type="dxa"/>
            <w:vAlign w:val="bottom"/>
            <w:gridSpan w:val="1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CERTAIN RELATIONSHIPS AND RELATED PARTY TRANSACTIONS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564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PRINCIPAL STOCKHOLDERS</w:t>
            </w:r>
          </w:p>
        </w:tc>
        <w:tc>
          <w:tcPr>
            <w:tcW w:w="44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3"/>
        </w:trPr>
        <w:tc>
          <w:tcPr>
            <w:tcW w:w="246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DESCRIPTION OF CAPITAL</w:t>
            </w:r>
          </w:p>
        </w:tc>
        <w:tc>
          <w:tcPr>
            <w:tcW w:w="5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0"/>
              </w:rPr>
              <w:t>STOCK</w:t>
            </w:r>
          </w:p>
        </w:tc>
        <w:tc>
          <w:tcPr>
            <w:tcW w:w="7580" w:type="dxa"/>
            <w:vAlign w:val="bottom"/>
            <w:gridSpan w:val="1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SHARES ELIGIBLE FOR FUTURE SALE</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2"/>
        </w:trPr>
        <w:tc>
          <w:tcPr>
            <w:tcW w:w="33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7"/>
              </w:rPr>
              <w:t>MATERIAL U.S. FEDERAL INCOME TAX</w:t>
            </w:r>
          </w:p>
        </w:tc>
        <w:tc>
          <w:tcPr>
            <w:tcW w:w="7260" w:type="dxa"/>
            <w:vAlign w:val="bottom"/>
            <w:gridSpan w:val="9"/>
          </w:tcPr>
          <w:p>
            <w:pPr>
              <w:ind w:left="60"/>
              <w:spacing w:after="0" w:line="182" w:lineRule="exact"/>
              <w:rPr>
                <w:sz w:val="20"/>
                <w:szCs w:val="20"/>
                <w:color w:val="auto"/>
              </w:rPr>
            </w:pPr>
            <w:r>
              <w:rPr>
                <w:rFonts w:ascii="Arial" w:cs="Arial" w:eastAsia="Arial" w:hAnsi="Arial"/>
                <w:sz w:val="18"/>
                <w:szCs w:val="18"/>
                <w:color w:val="0000EE"/>
              </w:rPr>
              <w:t>CONSEQUENCES TO NON-U.S. HOLDERS OF OUR CLASS A COMMON STOCK</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83"/>
        </w:trPr>
        <w:tc>
          <w:tcPr>
            <w:tcW w:w="1008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UNDERWRITING</w:t>
            </w: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83"/>
        </w:trPr>
        <w:tc>
          <w:tcPr>
            <w:tcW w:w="142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3"/>
              </w:rPr>
              <w:t>LEGAL MATTERS</w:t>
            </w:r>
          </w:p>
        </w:tc>
        <w:tc>
          <w:tcPr>
            <w:tcW w:w="60" w:type="dxa"/>
            <w:vAlign w:val="bottom"/>
            <w:tcBorders>
              <w:bottom w:val="single" w:sz="8" w:color="0000EE"/>
            </w:tcBorders>
            <w:gridSpan w:val="2"/>
          </w:tcPr>
          <w:p>
            <w:pPr>
              <w:spacing w:after="0"/>
              <w:rPr>
                <w:sz w:val="15"/>
                <w:szCs w:val="15"/>
                <w:color w:val="auto"/>
              </w:rPr>
            </w:pPr>
          </w:p>
        </w:tc>
        <w:tc>
          <w:tcPr>
            <w:tcW w:w="296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640" w:type="dxa"/>
            <w:vAlign w:val="bottom"/>
            <w:gridSpan w:val="8"/>
          </w:tcPr>
          <w:p>
            <w:pPr>
              <w:spacing w:after="0"/>
              <w:rPr>
                <w:sz w:val="15"/>
                <w:szCs w:val="15"/>
                <w:color w:val="auto"/>
              </w:rPr>
            </w:pPr>
          </w:p>
        </w:tc>
        <w:tc>
          <w:tcPr>
            <w:tcW w:w="296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10560" w:type="dxa"/>
            <w:vAlign w:val="bottom"/>
            <w:gridSpan w:val="27"/>
          </w:tcPr>
          <w:p>
            <w:pPr>
              <w:spacing w:after="0" w:line="182" w:lineRule="exact"/>
              <w:rPr>
                <w:sz w:val="20"/>
                <w:szCs w:val="20"/>
                <w:color w:val="auto"/>
              </w:rPr>
            </w:pPr>
            <w:r>
              <w:rPr>
                <w:rFonts w:ascii="Arial" w:cs="Arial" w:eastAsia="Arial" w:hAnsi="Arial"/>
                <w:sz w:val="18"/>
                <w:szCs w:val="18"/>
                <w:color w:val="0000EE"/>
              </w:rPr>
              <w:t>WHERE YOU CAN FIND ADDITIONAL INFORMATION</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4440" w:type="dxa"/>
            <w:vAlign w:val="bottom"/>
            <w:tcBorders>
              <w:top w:val="single" w:sz="8" w:color="0000EE"/>
              <w:bottom w:val="single" w:sz="8" w:color="0000EE"/>
            </w:tcBorders>
            <w:gridSpan w:val="20"/>
          </w:tcPr>
          <w:p>
            <w:pPr>
              <w:spacing w:after="0" w:line="182" w:lineRule="exact"/>
              <w:rPr>
                <w:sz w:val="20"/>
                <w:szCs w:val="20"/>
                <w:color w:val="auto"/>
              </w:rPr>
            </w:pPr>
            <w:r>
              <w:rPr>
                <w:rFonts w:ascii="Arial" w:cs="Arial" w:eastAsia="Arial" w:hAnsi="Arial"/>
                <w:sz w:val="18"/>
                <w:szCs w:val="18"/>
                <w:color w:val="0000EE"/>
                <w:w w:val="96"/>
              </w:rPr>
              <w:t>INDEX TO CONSOLIDATED FINANCIAL STATEMENTS</w:t>
            </w:r>
          </w:p>
        </w:tc>
        <w:tc>
          <w:tcPr>
            <w:tcW w:w="80" w:type="dxa"/>
            <w:vAlign w:val="bottom"/>
            <w:tcBorders>
              <w:bottom w:val="single" w:sz="8" w:color="0000EE"/>
            </w:tcBorders>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394335</wp:posOffset>
            </wp:positionV>
            <wp:extent cx="1114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Neither we nor any of the underwriters has authorized anyone to provide you with any information or to make any representations other than those contained in this prospectus or in any free writing prospectuses we have prepared. Neither we nor any of the underwriters takes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growth prospects may have changed since that date.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1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unaudited consolidated financial statements as of and for the three months ended March 31, 2024 and 2025, because they relate to historical periods that we believe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GLOSSARY OF TERMS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prospectus, unless the context indicates or otherwise requires, the following terms have the following meanings:</w:t>
      </w:r>
    </w:p>
    <w:p>
      <w:pPr>
        <w:spacing w:after="0" w:line="104" w:lineRule="exact"/>
        <w:rPr>
          <w:sz w:val="20"/>
          <w:szCs w:val="20"/>
          <w:color w:val="auto"/>
        </w:rPr>
      </w:pPr>
    </w:p>
    <w:p>
      <w:pPr>
        <w:ind w:left="660" w:right="200"/>
        <w:spacing w:after="0" w:line="253" w:lineRule="auto"/>
        <w:rPr>
          <w:sz w:val="20"/>
          <w:szCs w:val="20"/>
          <w:color w:val="auto"/>
        </w:rPr>
      </w:pPr>
      <w:r>
        <w:rPr>
          <w:rFonts w:ascii="Arial" w:cs="Arial" w:eastAsia="Arial" w:hAnsi="Arial"/>
          <w:sz w:val="18"/>
          <w:szCs w:val="18"/>
          <w:i w:val="1"/>
          <w:iCs w:val="1"/>
          <w:color w:val="auto"/>
        </w:rPr>
        <w:t xml:space="preserve">Activated Policy: </w:t>
      </w:r>
      <w:r>
        <w:rPr>
          <w:rFonts w:ascii="Arial" w:cs="Arial" w:eastAsia="Arial" w:hAnsi="Arial"/>
          <w:sz w:val="18"/>
          <w:szCs w:val="18"/>
          <w:color w:val="auto"/>
        </w:rPr>
        <w:t>An insurance policy that was sold through our platform. Activated policies include insurance policies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consumers who come to our platform directly as well as those sourced through third-party channels. The number of activated policies does not include any Wills &amp; Estate Planning or Accidental Death Insurance products.</w:t>
      </w:r>
    </w:p>
    <w:p>
      <w:pPr>
        <w:spacing w:after="0" w:line="61"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i w:val="1"/>
          <w:iCs w:val="1"/>
          <w:color w:val="auto"/>
        </w:rPr>
        <w:t xml:space="preserve">Active Carriers: </w:t>
      </w:r>
      <w:r>
        <w:rPr>
          <w:rFonts w:ascii="Arial" w:cs="Arial" w:eastAsia="Arial" w:hAnsi="Arial"/>
          <w:sz w:val="18"/>
          <w:szCs w:val="18"/>
          <w:color w:val="auto"/>
        </w:rPr>
        <w:t>Carriers that issued at least one policy through our platform within the last 12 months and were continuing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through our platform as of December 31, 2024.</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Active Selling Agents: </w:t>
      </w:r>
      <w:r>
        <w:rPr>
          <w:rFonts w:ascii="Arial" w:cs="Arial" w:eastAsia="Arial" w:hAnsi="Arial"/>
          <w:sz w:val="18"/>
          <w:szCs w:val="18"/>
          <w:color w:val="auto"/>
        </w:rPr>
        <w:t>Agents who have activated a policy through our platform within the last 12 months.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Agencies: </w:t>
      </w:r>
      <w:r>
        <w:rPr>
          <w:rFonts w:ascii="Arial" w:cs="Arial" w:eastAsia="Arial" w:hAnsi="Arial"/>
          <w:sz w:val="18"/>
          <w:szCs w:val="18"/>
          <w:color w:val="auto"/>
        </w:rPr>
        <w:t>Independent insurance agencies that are not owned or operated by us but use our platform to sell insurance products.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agencies employ, or contract with, agents who engage with consumers and submit applications through our platform.</w:t>
      </w:r>
    </w:p>
    <w:p>
      <w:pPr>
        <w:spacing w:after="0" w:line="86"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i w:val="1"/>
          <w:iCs w:val="1"/>
          <w:color w:val="auto"/>
        </w:rPr>
        <w:t xml:space="preserve">Agent Payments: </w:t>
      </w:r>
      <w:r>
        <w:rPr>
          <w:rFonts w:ascii="Arial" w:cs="Arial" w:eastAsia="Arial" w:hAnsi="Arial"/>
          <w:sz w:val="18"/>
          <w:szCs w:val="18"/>
          <w:color w:val="auto"/>
        </w:rPr>
        <w:t>Amounts paid by us to agents or agencies in connection with both policy sales and sale referrals made by such</w:t>
      </w:r>
      <w:r>
        <w:rPr>
          <w:rFonts w:ascii="Arial" w:cs="Arial" w:eastAsia="Arial" w:hAnsi="Arial"/>
          <w:sz w:val="18"/>
          <w:szCs w:val="18"/>
          <w:i w:val="1"/>
          <w:iCs w:val="1"/>
          <w:color w:val="auto"/>
        </w:rPr>
        <w:t xml:space="preserve"> </w:t>
      </w:r>
      <w:r>
        <w:rPr>
          <w:rFonts w:ascii="Arial" w:cs="Arial" w:eastAsia="Arial" w:hAnsi="Arial"/>
          <w:sz w:val="18"/>
          <w:szCs w:val="18"/>
          <w:color w:val="auto"/>
        </w:rPr>
        <w:t>agents, or in the case of payments made to agencies, their affiliated agents, on our platform.</w:t>
      </w:r>
    </w:p>
    <w:p>
      <w:pPr>
        <w:spacing w:after="0" w:line="46"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i w:val="1"/>
          <w:iCs w:val="1"/>
          <w:color w:val="auto"/>
        </w:rPr>
        <w:t>Agents</w:t>
      </w:r>
      <w:r>
        <w:rPr>
          <w:rFonts w:ascii="Arial" w:cs="Arial" w:eastAsia="Arial" w:hAnsi="Arial"/>
          <w:sz w:val="18"/>
          <w:szCs w:val="18"/>
          <w:color w:val="auto"/>
        </w:rPr>
        <w:t>: Individuals licensed to sell insurance policies in the relevant jurisdiction, whether captive, independent, or affiliated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including those who sell insurance and related products through our platform.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Carrier: </w:t>
      </w:r>
      <w:r>
        <w:rPr>
          <w:rFonts w:ascii="Arial" w:cs="Arial" w:eastAsia="Arial" w:hAnsi="Arial"/>
          <w:sz w:val="18"/>
          <w:szCs w:val="18"/>
          <w:color w:val="auto"/>
        </w:rPr>
        <w:t>A licensed insurance company.</w:t>
      </w:r>
    </w:p>
    <w:p>
      <w:pPr>
        <w:spacing w:after="0" w:line="104"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The compensation paid by a carrier to us for an activated policy. Commissions are based on the annual premium of</w:t>
      </w:r>
      <w:r>
        <w:rPr>
          <w:rFonts w:ascii="Arial" w:cs="Arial" w:eastAsia="Arial" w:hAnsi="Arial"/>
          <w:sz w:val="18"/>
          <w:szCs w:val="18"/>
          <w:i w:val="1"/>
          <w:iCs w:val="1"/>
          <w:color w:val="auto"/>
        </w:rPr>
        <w:t xml:space="preserve"> </w:t>
      </w:r>
      <w:r>
        <w:rPr>
          <w:rFonts w:ascii="Arial" w:cs="Arial" w:eastAsia="Arial" w:hAnsi="Arial"/>
          <w:sz w:val="18"/>
          <w:szCs w:val="18"/>
          <w:color w:val="auto"/>
        </w:rPr>
        <w:t>an activated policy and are typically paid throughout the life of the policy. The majority of a policy’s lifetime commissions are paid in the first year following activation.</w:t>
      </w:r>
    </w:p>
    <w:p>
      <w:pPr>
        <w:spacing w:after="0" w:line="61"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i w:val="1"/>
          <w:iCs w:val="1"/>
          <w:color w:val="auto"/>
        </w:rPr>
        <w:t xml:space="preserve">Commission Rates: </w:t>
      </w:r>
      <w:r>
        <w:rPr>
          <w:rFonts w:ascii="Arial" w:cs="Arial" w:eastAsia="Arial" w:hAnsi="Arial"/>
          <w:sz w:val="18"/>
          <w:szCs w:val="18"/>
          <w:color w:val="auto"/>
        </w:rPr>
        <w:t>The percentage of the policy premium in each policy year paid to us as commission. Commission rates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contractually defined with carriers and reviewed on an annual basis.</w:t>
      </w:r>
    </w:p>
    <w:p>
      <w:pPr>
        <w:spacing w:after="0" w:line="46"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i w:val="1"/>
          <w:iCs w:val="1"/>
          <w:color w:val="auto"/>
        </w:rPr>
        <w:t xml:space="preserve">Consumers: </w:t>
      </w:r>
      <w:r>
        <w:rPr>
          <w:rFonts w:ascii="Arial" w:cs="Arial" w:eastAsia="Arial" w:hAnsi="Arial"/>
          <w:sz w:val="18"/>
          <w:szCs w:val="18"/>
          <w:color w:val="auto"/>
        </w:rPr>
        <w:t>Individuals who apply for and purchase insurance and related products on our platform, either directly, or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channel.</w:t>
      </w:r>
    </w:p>
    <w:p>
      <w:pPr>
        <w:spacing w:after="0" w:line="46" w:lineRule="exact"/>
        <w:rPr>
          <w:sz w:val="20"/>
          <w:szCs w:val="20"/>
          <w:color w:val="auto"/>
        </w:rPr>
      </w:pPr>
    </w:p>
    <w:p>
      <w:pPr>
        <w:ind w:left="660"/>
        <w:spacing w:after="0" w:line="261" w:lineRule="auto"/>
        <w:rPr>
          <w:sz w:val="20"/>
          <w:szCs w:val="20"/>
          <w:color w:val="auto"/>
        </w:rPr>
      </w:pPr>
      <w:r>
        <w:rPr>
          <w:rFonts w:ascii="Arial" w:cs="Arial" w:eastAsia="Arial" w:hAnsi="Arial"/>
          <w:sz w:val="17"/>
          <w:szCs w:val="17"/>
          <w:i w:val="1"/>
          <w:iCs w:val="1"/>
          <w:color w:val="auto"/>
        </w:rPr>
        <w:t xml:space="preserve">NPS: </w:t>
      </w:r>
      <w:r>
        <w:rPr>
          <w:rFonts w:ascii="Arial" w:cs="Arial" w:eastAsia="Arial" w:hAnsi="Arial"/>
          <w:sz w:val="17"/>
          <w:szCs w:val="17"/>
          <w:color w:val="auto"/>
        </w:rPr>
        <w:t>Net promoter score, or NPS, is a standardized measure of consumer satisfaction and loyalty and can range from a low of</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100 to a high of positive 100. NPS benchmarks can vary significantly by industry, but a score greater than zero represents a company that has more promoters than detractors. Our NPS is calculated using a third-party platform. We use NPS to assess consumer satisfaction and experience with policies sold through our platform and to evaluate performance across carriers on our platform on average over a given period. Our NPS provided in this prospectus reflects the three months ended March 31, 2025.</w:t>
      </w:r>
    </w:p>
    <w:p>
      <w:pPr>
        <w:spacing w:after="0" w:line="58" w:lineRule="exact"/>
        <w:rPr>
          <w:sz w:val="20"/>
          <w:szCs w:val="20"/>
          <w:color w:val="auto"/>
        </w:rPr>
      </w:pPr>
    </w:p>
    <w:p>
      <w:pPr>
        <w:ind w:left="660" w:right="160"/>
        <w:spacing w:after="0" w:line="253" w:lineRule="auto"/>
        <w:rPr>
          <w:sz w:val="20"/>
          <w:szCs w:val="20"/>
          <w:color w:val="auto"/>
        </w:rPr>
      </w:pPr>
      <w:r>
        <w:rPr>
          <w:rFonts w:ascii="Arial" w:cs="Arial" w:eastAsia="Arial" w:hAnsi="Arial"/>
          <w:sz w:val="18"/>
          <w:szCs w:val="18"/>
          <w:i w:val="1"/>
          <w:iCs w:val="1"/>
          <w:color w:val="auto"/>
        </w:rPr>
        <w:t xml:space="preserve">Persistency: </w:t>
      </w:r>
      <w:r>
        <w:rPr>
          <w:rFonts w:ascii="Arial" w:cs="Arial" w:eastAsia="Arial" w:hAnsi="Arial"/>
          <w:sz w:val="18"/>
          <w:szCs w:val="18"/>
          <w:color w:val="auto"/>
        </w:rPr>
        <w:t>The term “persistency” refers to how long activated policies remain active throughout their terms.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persistency for policies of a particular product type changes over time as activated policies are terminated prior to the end of their terms.</w:t>
      </w:r>
    </w:p>
    <w:p>
      <w:pPr>
        <w:spacing w:after="0" w:line="61" w:lineRule="exact"/>
        <w:rPr>
          <w:sz w:val="20"/>
          <w:szCs w:val="20"/>
          <w:color w:val="auto"/>
        </w:rPr>
      </w:pPr>
    </w:p>
    <w:p>
      <w:pPr>
        <w:ind w:left="660" w:right="80"/>
        <w:spacing w:after="0" w:line="244" w:lineRule="auto"/>
        <w:rPr>
          <w:sz w:val="20"/>
          <w:szCs w:val="20"/>
          <w:color w:val="auto"/>
        </w:rPr>
      </w:pPr>
      <w:r>
        <w:rPr>
          <w:rFonts w:ascii="Arial" w:cs="Arial" w:eastAsia="Arial" w:hAnsi="Arial"/>
          <w:sz w:val="18"/>
          <w:szCs w:val="18"/>
          <w:i w:val="1"/>
          <w:iCs w:val="1"/>
          <w:color w:val="auto"/>
        </w:rPr>
        <w:t xml:space="preserve">Persistency Estimate: </w:t>
      </w:r>
      <w:r>
        <w:rPr>
          <w:rFonts w:ascii="Arial" w:cs="Arial" w:eastAsia="Arial" w:hAnsi="Arial"/>
          <w:sz w:val="18"/>
          <w:szCs w:val="18"/>
          <w:color w:val="auto"/>
        </w:rPr>
        <w:t>The term persistency estimate refers to a percentage estimating the likelihood that a currently activated</w:t>
      </w:r>
      <w:r>
        <w:rPr>
          <w:rFonts w:ascii="Arial" w:cs="Arial" w:eastAsia="Arial" w:hAnsi="Arial"/>
          <w:sz w:val="18"/>
          <w:szCs w:val="18"/>
          <w:i w:val="1"/>
          <w:iCs w:val="1"/>
          <w:color w:val="auto"/>
        </w:rPr>
        <w:t xml:space="preserve"> </w:t>
      </w:r>
      <w:r>
        <w:rPr>
          <w:rFonts w:ascii="Arial" w:cs="Arial" w:eastAsia="Arial" w:hAnsi="Arial"/>
          <w:sz w:val="18"/>
          <w:szCs w:val="18"/>
          <w:color w:val="auto"/>
        </w:rPr>
        <w:t>policy will remain active throughout the policy’s term. We derive the persistency estimate for a policy using our observed persistency data applicable to that policy as well as relevant industry persistency data. We apply the persistency estimate for an activated policy when recognizing revenue from that policy, and we regularly review, and update as needed, persistency estimates as observed persistency applicable to that policy changes over time.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660" w:right="40"/>
        <w:spacing w:after="0" w:line="253" w:lineRule="auto"/>
        <w:rPr>
          <w:sz w:val="20"/>
          <w:szCs w:val="20"/>
          <w:color w:val="auto"/>
        </w:rPr>
      </w:pPr>
      <w:r>
        <w:rPr>
          <w:rFonts w:ascii="Arial" w:cs="Arial" w:eastAsia="Arial" w:hAnsi="Arial"/>
          <w:sz w:val="18"/>
          <w:szCs w:val="18"/>
          <w:i w:val="1"/>
          <w:iCs w:val="1"/>
          <w:color w:val="auto"/>
        </w:rPr>
        <w:t xml:space="preserve">Post-Issue Audit: </w:t>
      </w:r>
      <w:r>
        <w:rPr>
          <w:rFonts w:ascii="Arial" w:cs="Arial" w:eastAsia="Arial" w:hAnsi="Arial"/>
          <w:sz w:val="18"/>
          <w:szCs w:val="18"/>
          <w:color w:val="auto"/>
        </w:rPr>
        <w:t>A review process conducted periodically by Ethos after a policy has been activated to validate digital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The audits may result in recommendations for policy termination where discrepancies are identified. While we conduct the audit, implementation of any resulting actions, such as policy terminations, is typically carried out by the issuing carriers.</w:t>
      </w:r>
    </w:p>
    <w:p>
      <w:pPr>
        <w:spacing w:after="0" w:line="61"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i w:val="1"/>
          <w:iCs w:val="1"/>
          <w:color w:val="auto"/>
        </w:rPr>
        <w:t xml:space="preserve">Terminations: </w:t>
      </w:r>
      <w:r>
        <w:rPr>
          <w:rFonts w:ascii="Arial" w:cs="Arial" w:eastAsia="Arial" w:hAnsi="Arial"/>
          <w:sz w:val="18"/>
          <w:szCs w:val="18"/>
          <w:color w:val="auto"/>
        </w:rPr>
        <w:t>Previously activated policies that cease to be active due to either (i) policy lapses, which are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failure to pay their premiums or voluntary consumer cancellations, (ii) policy rescissions, which are cancellations by the carrier typically resulting from misrepresentation or non-disclosure of material facts by the consumer discovered during post-issue audits, or (iii) death of the consumer.</w:t>
      </w:r>
    </w:p>
    <w:p>
      <w:pPr>
        <w:spacing w:after="0" w:line="66" w:lineRule="exact"/>
        <w:rPr>
          <w:sz w:val="20"/>
          <w:szCs w:val="20"/>
          <w:color w:val="auto"/>
        </w:rPr>
      </w:pPr>
    </w:p>
    <w:p>
      <w:pPr>
        <w:ind w:left="660" w:right="220"/>
        <w:spacing w:after="0" w:line="253" w:lineRule="auto"/>
        <w:rPr>
          <w:sz w:val="20"/>
          <w:szCs w:val="20"/>
          <w:color w:val="auto"/>
        </w:rPr>
      </w:pPr>
      <w:r>
        <w:rPr>
          <w:rFonts w:ascii="Arial" w:cs="Arial" w:eastAsia="Arial" w:hAnsi="Arial"/>
          <w:sz w:val="18"/>
          <w:szCs w:val="18"/>
          <w:i w:val="1"/>
          <w:iCs w:val="1"/>
          <w:color w:val="auto"/>
        </w:rPr>
        <w:t>Third-Party Channel</w:t>
      </w:r>
      <w:r>
        <w:rPr>
          <w:rFonts w:ascii="Arial" w:cs="Arial" w:eastAsia="Arial" w:hAnsi="Arial"/>
          <w:sz w:val="18"/>
          <w:szCs w:val="18"/>
          <w:color w:val="auto"/>
        </w:rPr>
        <w:t>: Our external distribution network, which is composed of independent insurance agencies, their 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agents, independent agents, third-party fintech companies, and other third parties that refer consumers to, or enable the sale of, insurance products through our platform.</w:t>
      </w:r>
    </w:p>
    <w:p>
      <w:pPr>
        <w:spacing w:after="0" w:line="6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 xml:space="preserve">Underwriting Costs: </w:t>
      </w:r>
      <w:r>
        <w:rPr>
          <w:rFonts w:ascii="Arial" w:cs="Arial" w:eastAsia="Arial" w:hAnsi="Arial"/>
          <w:sz w:val="18"/>
          <w:szCs w:val="18"/>
          <w:color w:val="auto"/>
        </w:rPr>
        <w:t>The costs incurred throughout the underwriting process for both activated and non-activated policies,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obtaining third-party evidences (such as prescription history, credit-based insurance scores and motor vehicle records), and, separately, costs related to post-issue audits.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“the Company,” and “Ethos” refer to Ethos Technologies Inc. and its consolidated subsidiaries.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ETHOS TECHNOLOGIES INC.</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Mission</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mission is to protect families by democratizing access to life insurance and empowering agents at scale.</w:t>
      </w:r>
    </w:p>
    <w:p>
      <w:pPr>
        <w:spacing w:after="0" w:line="212" w:lineRule="exact"/>
        <w:rPr>
          <w:sz w:val="20"/>
          <w:szCs w:val="20"/>
          <w:color w:val="auto"/>
        </w:rPr>
      </w:pPr>
    </w:p>
    <w:p>
      <w:pPr>
        <w:ind w:left="300" w:right="780" w:firstLine="532"/>
        <w:spacing w:after="0" w:line="271" w:lineRule="auto"/>
        <w:rPr>
          <w:sz w:val="20"/>
          <w:szCs w:val="20"/>
          <w:color w:val="auto"/>
        </w:rPr>
      </w:pPr>
      <w:r>
        <w:rPr>
          <w:rFonts w:ascii="Arial" w:cs="Arial" w:eastAsia="Arial" w:hAnsi="Arial"/>
          <w:sz w:val="18"/>
          <w:szCs w:val="18"/>
          <w:color w:val="auto"/>
        </w:rPr>
        <w:t>To achieve this mission, we built Ethos, a three-sided technology platform that transforms the buying, selling, and risk management experience of life insurance for consumers, agents, and carriers alike.</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Problem with the Legacy Life Insurance Process</w:t>
      </w:r>
    </w:p>
    <w:p>
      <w:pPr>
        <w:spacing w:after="0" w:line="102" w:lineRule="exact"/>
        <w:rPr>
          <w:sz w:val="20"/>
          <w:szCs w:val="20"/>
          <w:color w:val="auto"/>
        </w:rPr>
      </w:pPr>
    </w:p>
    <w:p>
      <w:pPr>
        <w:ind w:left="300" w:right="340" w:firstLine="532"/>
        <w:spacing w:after="0" w:line="271" w:lineRule="auto"/>
        <w:rPr>
          <w:sz w:val="20"/>
          <w:szCs w:val="20"/>
          <w:color w:val="auto"/>
        </w:rPr>
      </w:pPr>
      <w:r>
        <w:rPr>
          <w:rFonts w:ascii="Arial" w:cs="Arial" w:eastAsia="Arial" w:hAnsi="Arial"/>
          <w:sz w:val="18"/>
          <w:szCs w:val="18"/>
          <w:color w:val="auto"/>
        </w:rPr>
        <w:t>Life insurance is a pillar of financial security. It provides individuals and their families peace of mind and financial protection against unforeseen events.</w:t>
      </w:r>
    </w:p>
    <w:p>
      <w:pPr>
        <w:spacing w:after="0" w:line="154" w:lineRule="exact"/>
        <w:rPr>
          <w:sz w:val="20"/>
          <w:szCs w:val="20"/>
          <w:color w:val="auto"/>
        </w:rPr>
      </w:pPr>
    </w:p>
    <w:p>
      <w:pPr>
        <w:jc w:val="both"/>
        <w:ind w:left="300" w:firstLine="532"/>
        <w:spacing w:after="0" w:line="253" w:lineRule="auto"/>
        <w:rPr>
          <w:sz w:val="20"/>
          <w:szCs w:val="20"/>
          <w:color w:val="auto"/>
        </w:rPr>
      </w:pPr>
      <w:r>
        <w:rPr>
          <w:rFonts w:ascii="Arial" w:cs="Arial" w:eastAsia="Arial" w:hAnsi="Arial"/>
          <w:sz w:val="18"/>
          <w:szCs w:val="18"/>
          <w:color w:val="auto"/>
        </w:rPr>
        <w:t>While technology has transformed almost every important personal and financial experience, from education to buying a home, banking, or investing, the experience of purchasing, selling, and administering life insurance has not meaningfully improved in several decades:</w:t>
      </w:r>
    </w:p>
    <w:p>
      <w:pPr>
        <w:spacing w:after="0" w:line="196" w:lineRule="exact"/>
        <w:rPr>
          <w:sz w:val="20"/>
          <w:szCs w:val="20"/>
          <w:color w:val="auto"/>
        </w:rPr>
      </w:pPr>
    </w:p>
    <w:p>
      <w:pPr>
        <w:ind w:left="1020" w:right="420" w:hanging="19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Consumers today face slow, complex, and opaque application processes that often discourage them from</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the coverage they need.</w:t>
      </w:r>
    </w:p>
    <w:p>
      <w:pPr>
        <w:spacing w:after="0" w:line="59" w:lineRule="exact"/>
        <w:rPr>
          <w:rFonts w:ascii="Arial" w:cs="Arial" w:eastAsia="Arial" w:hAnsi="Arial"/>
          <w:sz w:val="18"/>
          <w:szCs w:val="18"/>
          <w:color w:val="auto"/>
        </w:rPr>
      </w:pPr>
    </w:p>
    <w:p>
      <w:pPr>
        <w:ind w:left="1020" w:right="560" w:hanging="195"/>
        <w:spacing w:after="0" w:line="301"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Agents: </w:t>
      </w:r>
      <w:r>
        <w:rPr>
          <w:rFonts w:ascii="Arial" w:cs="Arial" w:eastAsia="Arial" w:hAnsi="Arial"/>
          <w:sz w:val="17"/>
          <w:szCs w:val="17"/>
          <w:color w:val="auto"/>
        </w:rPr>
        <w:t>Agents are required to navigate complex underwriting guidelines and rely on legacy, disparate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that distract from insurance sales, create long sales cycles, and make case management labor-intensive.</w:t>
      </w:r>
    </w:p>
    <w:p>
      <w:pPr>
        <w:spacing w:after="0" w:line="36" w:lineRule="exact"/>
        <w:rPr>
          <w:rFonts w:ascii="Arial" w:cs="Arial" w:eastAsia="Arial" w:hAnsi="Arial"/>
          <w:sz w:val="17"/>
          <w:szCs w:val="17"/>
          <w:color w:val="auto"/>
        </w:rPr>
      </w:pPr>
    </w:p>
    <w:p>
      <w:pPr>
        <w:ind w:left="1020" w:hanging="19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Carriers rely on analog underwriting processes and siloed data, which limits the speed and scale at which they can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policies.</w:t>
      </w:r>
    </w:p>
    <w:p>
      <w:pPr>
        <w:spacing w:after="0" w:line="154" w:lineRule="exact"/>
        <w:rPr>
          <w:sz w:val="20"/>
          <w:szCs w:val="20"/>
          <w:color w:val="auto"/>
        </w:rPr>
      </w:pPr>
    </w:p>
    <w:p>
      <w:pPr>
        <w:ind w:left="300" w:right="160" w:firstLine="532"/>
        <w:spacing w:after="0" w:line="247" w:lineRule="auto"/>
        <w:rPr>
          <w:sz w:val="20"/>
          <w:szCs w:val="20"/>
          <w:color w:val="auto"/>
        </w:rPr>
      </w:pPr>
      <w:r>
        <w:rPr>
          <w:rFonts w:ascii="Arial" w:cs="Arial" w:eastAsia="Arial" w:hAnsi="Arial"/>
          <w:sz w:val="18"/>
          <w:szCs w:val="18"/>
          <w:color w:val="auto"/>
        </w:rPr>
        <w:t>As a result, there is a significant need for a new approach to life insurance in the United States. In 2024, 42% of American adults recognized they needed life insurance coverage but did not purchase it due to multiple reasons, notably the complexity of the products, perceived cost, and other financial priorities, according to the Life Insurance Marketing and Research Association, or LIMRA, a leading research organization for insurance and financial services companies.</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Value Proposition to Consumers, Agents, and Carriers</w:t>
      </w:r>
    </w:p>
    <w:p>
      <w:pPr>
        <w:spacing w:after="0" w:line="102"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Through our three-sided technology platform, we serve a growing ecosystem of consumers, agents, and carriers, each of which benefits from the scale, ease-of-use, and efficiency of our platform. This creates strong network effects that drive our continued growth.</w:t>
      </w:r>
    </w:p>
    <w:p>
      <w:pPr>
        <w:spacing w:after="0" w:line="169" w:lineRule="exact"/>
        <w:rPr>
          <w:sz w:val="20"/>
          <w:szCs w:val="20"/>
          <w:color w:val="auto"/>
        </w:rPr>
      </w:pPr>
    </w:p>
    <w:p>
      <w:pPr>
        <w:ind w:left="300" w:right="460" w:firstLine="532"/>
        <w:spacing w:after="0" w:line="271" w:lineRule="auto"/>
        <w:rPr>
          <w:sz w:val="20"/>
          <w:szCs w:val="20"/>
          <w:color w:val="auto"/>
        </w:rPr>
      </w:pPr>
      <w:r>
        <w:rPr>
          <w:rFonts w:ascii="Arial" w:cs="Arial" w:eastAsia="Arial" w:hAnsi="Arial"/>
          <w:sz w:val="18"/>
          <w:szCs w:val="18"/>
          <w:color w:val="auto"/>
        </w:rPr>
        <w:t>Since inception, we have activated approximately     policies, and as of December 31, 2024, we had over 10,000 active selling agents and six active carriers on our platform.</w:t>
      </w:r>
    </w:p>
    <w:p>
      <w:pPr>
        <w:spacing w:after="0" w:line="59" w:lineRule="exact"/>
        <w:rPr>
          <w:sz w:val="20"/>
          <w:szCs w:val="20"/>
          <w:color w:val="auto"/>
        </w:rPr>
      </w:pPr>
    </w:p>
    <w:p>
      <w:pPr>
        <w:ind w:left="1020" w:right="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Our platform is designed to enable agents to sell more policies and get paid quickly across a broad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We provide agents with an all-in-one agent operating system, or Agent OS, that streamlines quoting, application submission, and policy management. This reduces case management work and streamlines payments infrastructure, all of which substantially increase an agent’s time available to prospect and sell.</w:t>
      </w:r>
    </w:p>
    <w:p>
      <w:pPr>
        <w:spacing w:after="0" w:line="79" w:lineRule="exact"/>
        <w:rPr>
          <w:rFonts w:ascii="Arial" w:cs="Arial" w:eastAsia="Arial" w:hAnsi="Arial"/>
          <w:sz w:val="18"/>
          <w:szCs w:val="18"/>
          <w:color w:val="auto"/>
        </w:rPr>
      </w:pPr>
    </w:p>
    <w:p>
      <w:pPr>
        <w:ind w:left="1020" w:right="6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w:t>
      </w:r>
      <w:r>
        <w:rPr>
          <w:rFonts w:ascii="Arial" w:cs="Arial" w:eastAsia="Arial" w:hAnsi="Arial"/>
          <w:sz w:val="18"/>
          <w:szCs w:val="18"/>
          <w:b w:val="1"/>
          <w:bCs w:val="1"/>
          <w:color w:val="auto"/>
        </w:rPr>
        <w:t xml:space="preserve"> </w:t>
      </w:r>
      <w:r>
        <w:rPr>
          <w:rFonts w:ascii="Arial" w:cs="Arial" w:eastAsia="Arial" w:hAnsi="Arial"/>
          <w:sz w:val="18"/>
          <w:szCs w:val="18"/>
          <w:color w:val="auto"/>
        </w:rPr>
        <w:t>selection and profitability, as carriers assume the insurance risk of the underlying policies. We do not assume balance sheet risk for the policies on our platform.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Platform</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85"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and Whole Life Insurance products, Indexed Universal Life Insurance and Accidental Death Insurance, as well as Wills &amp; Estate Planning. As a result, we have achieved significant scale with broad demographic and geographic distribution. We have activated approximately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8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02" w:lineRule="exact"/>
        <w:rPr>
          <w:sz w:val="20"/>
          <w:szCs w:val="20"/>
          <w:color w:val="auto"/>
        </w:rPr>
      </w:pPr>
    </w:p>
    <w:p>
      <w:pPr>
        <w:ind w:left="300" w:right="120" w:firstLine="532"/>
        <w:spacing w:after="0" w:line="253" w:lineRule="auto"/>
        <w:rPr>
          <w:sz w:val="20"/>
          <w:szCs w:val="20"/>
          <w:color w:val="auto"/>
        </w:rPr>
      </w:pPr>
      <w:r>
        <w:rPr>
          <w:rFonts w:ascii="Arial" w:cs="Arial" w:eastAsia="Arial" w:hAnsi="Arial"/>
          <w:sz w:val="18"/>
          <w:szCs w:val="18"/>
          <w:color w:val="auto"/>
        </w:rPr>
        <w:t>Our business model is capital and asset light and highly scalable. In contrast to a traditional carrier model, we do not assume balance sheet risk for the policies sold on our platform. We power the technology, distribution, digital underwriting, and consumer experience while our insurance carriers assume the underlying insurance risk of the policies.</w:t>
      </w:r>
    </w:p>
    <w:p>
      <w:pPr>
        <w:spacing w:after="0" w:line="169"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We have achieved significant scale and rapid growth, and have expanded our margins since inception. The number of activated policies on our platform increased by 77% from 72,018 in the year ended December 31, 2023 to 127,623 in the year ended December 31, 2024. Our revenue for the years ended December 31, 2023 and 2024 was $ 160 million and $255 million, respectively, representing an increase of 60%. Over the same period, we also increased our gross profit margin from 96% to 97%, respectively, and Contribution Margin from 32% to 41%, respectively. In the years ended December 31, 2023 and 2024, our net income margin was 1% and 19% and our Adjusted EBITDA Margin increased from 4% to 23%. For more information about Contribution Margin and Adjusted EBITDA Margin, including the limitations of such measures and a reconciliation of each metric to its most directly comparable financial measure under GAAP, see the section titled “Management’s Discussion and Analysis of Financial Condition and Results of Operations–Key Business Metrics and Non-GAAP Financial Measures.”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Ethos Platform</w:t>
      </w:r>
    </w:p>
    <w:p>
      <w:pPr>
        <w:spacing w:after="0" w:line="104" w:lineRule="exact"/>
        <w:rPr>
          <w:sz w:val="20"/>
          <w:szCs w:val="20"/>
          <w:color w:val="auto"/>
        </w:rPr>
      </w:pPr>
    </w:p>
    <w:p>
      <w:pPr>
        <w:ind w:left="300" w:right="80" w:firstLine="532"/>
        <w:spacing w:after="0" w:line="253" w:lineRule="auto"/>
        <w:rPr>
          <w:sz w:val="20"/>
          <w:szCs w:val="20"/>
          <w:color w:val="auto"/>
        </w:rPr>
      </w:pPr>
      <w:r>
        <w:rPr>
          <w:rFonts w:ascii="Arial" w:cs="Arial" w:eastAsia="Arial" w:hAnsi="Arial"/>
          <w:sz w:val="18"/>
          <w:szCs w:val="18"/>
          <w:color w:val="auto"/>
        </w:rPr>
        <w:t>We operate a vertically integrated platform transforming how life insurance is bought and sold through end-to-end distribution, underwriting, and policy administration. Our platform is natively built on a unified data infrastructure and our technology allows for continuous platform improvement, creating network effects as we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Vertically Integrated</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Our vertical integration yields comprehensive data and insights across the value chain, enabling us to deliver superior value to consumers, agents, and carriers, while continuously improving our platform. By integrating multiple carriers on our unified platform, we are also able to offer a wider array of products tailored to various consumer profiles, creating a significant competitive advantage that compounds over time and helps us achieve our mission of democratizing access to life insurance.</w:t>
      </w: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5"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w:t>
      </w:r>
    </w:p>
    <w:p>
      <w:pPr>
        <w:spacing w:after="0" w:line="102" w:lineRule="exact"/>
        <w:rPr>
          <w:sz w:val="20"/>
          <w:szCs w:val="20"/>
          <w:color w:val="auto"/>
        </w:rPr>
      </w:pPr>
    </w:p>
    <w:p>
      <w:pPr>
        <w:ind w:left="300" w:right="260" w:firstLine="532"/>
        <w:spacing w:after="0" w:line="271" w:lineRule="auto"/>
        <w:rPr>
          <w:sz w:val="20"/>
          <w:szCs w:val="20"/>
          <w:color w:val="auto"/>
        </w:rPr>
      </w:pPr>
      <w:r>
        <w:rPr>
          <w:rFonts w:ascii="Arial" w:cs="Arial" w:eastAsia="Arial" w:hAnsi="Arial"/>
          <w:sz w:val="18"/>
          <w:szCs w:val="18"/>
          <w:color w:val="auto"/>
        </w:rPr>
        <w:t>We believe we have transformed distribution for constituents in the life insurance value chain, simplifying and improving the policy experience for consumers, agents, and carriers alike.</w:t>
      </w:r>
    </w:p>
    <w:p>
      <w:pPr>
        <w:spacing w:after="0" w:line="154" w:lineRule="exact"/>
        <w:rPr>
          <w:sz w:val="20"/>
          <w:szCs w:val="20"/>
          <w:color w:val="auto"/>
        </w:rPr>
      </w:pPr>
    </w:p>
    <w:p>
      <w:pPr>
        <w:ind w:left="300" w:right="340" w:firstLine="532"/>
        <w:spacing w:after="0" w:line="253" w:lineRule="auto"/>
        <w:rPr>
          <w:sz w:val="20"/>
          <w:szCs w:val="20"/>
          <w:color w:val="auto"/>
        </w:rPr>
      </w:pPr>
      <w:r>
        <w:rPr>
          <w:rFonts w:ascii="Arial" w:cs="Arial" w:eastAsia="Arial" w:hAnsi="Arial"/>
          <w:sz w:val="18"/>
          <w:szCs w:val="18"/>
          <w:color w:val="auto"/>
        </w:rPr>
        <w:t>We serve consumers by unifying the direct-to-consumer, or DTC, and third-party distribution channels on a single digital platform. This integrated model creates powerful flywheel effects: consumer marketing drives brand visibility and inbound interest from agents leading to higher sales and data captured from both channels that collectively improve our platform.</w:t>
      </w:r>
    </w:p>
    <w:p>
      <w:pPr>
        <w:spacing w:after="0" w:line="169" w:lineRule="exact"/>
        <w:rPr>
          <w:sz w:val="20"/>
          <w:szCs w:val="20"/>
          <w:color w:val="auto"/>
        </w:rPr>
      </w:pPr>
    </w:p>
    <w:p>
      <w:pPr>
        <w:jc w:val="both"/>
        <w:ind w:left="300" w:right="160" w:firstLine="532"/>
        <w:spacing w:after="0" w:line="253" w:lineRule="auto"/>
        <w:rPr>
          <w:sz w:val="20"/>
          <w:szCs w:val="20"/>
          <w:color w:val="auto"/>
        </w:rPr>
      </w:pPr>
      <w:r>
        <w:rPr>
          <w:rFonts w:ascii="Arial" w:cs="Arial" w:eastAsia="Arial" w:hAnsi="Arial"/>
          <w:sz w:val="18"/>
          <w:szCs w:val="18"/>
          <w:color w:val="auto"/>
        </w:rPr>
        <w:t>Our data engine and machine learning models identify patterns from historical consumer cohorts and use that data to predict purchase behavior, consumer lifetime values, and underwriting outcomes early in the funnel, improving our targeting while offering consumers an experience that is personalized to their needs.</w:t>
      </w:r>
    </w:p>
    <w:p>
      <w:pPr>
        <w:spacing w:after="0" w:line="169"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Our platform also integrates with third-party channels such as fintech companies via application programming interfaces, or APIs, allowing these companies to quote, process, and activate policies within their own platform. This further expands our reach and reinforces our distribution.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Underwriting</w:t>
      </w:r>
    </w:p>
    <w:p>
      <w:pPr>
        <w:spacing w:after="0" w:line="102" w:lineRule="exact"/>
        <w:rPr>
          <w:sz w:val="20"/>
          <w:szCs w:val="20"/>
          <w:color w:val="auto"/>
        </w:rPr>
      </w:pPr>
    </w:p>
    <w:p>
      <w:pPr>
        <w:ind w:left="300" w:right="500" w:firstLine="532"/>
        <w:spacing w:after="0" w:line="271" w:lineRule="auto"/>
        <w:rPr>
          <w:sz w:val="20"/>
          <w:szCs w:val="20"/>
          <w:color w:val="auto"/>
        </w:rPr>
      </w:pPr>
      <w:r>
        <w:rPr>
          <w:rFonts w:ascii="Arial" w:cs="Arial" w:eastAsia="Arial" w:hAnsi="Arial"/>
          <w:sz w:val="18"/>
          <w:szCs w:val="18"/>
          <w:color w:val="auto"/>
        </w:rPr>
        <w:t>Our proprietary underwriting engine leverages real-time, sophisticated data analytics designed to deliver faster decision-making and higher approval rates at competitive prices compared to traditional models.</w:t>
      </w:r>
    </w:p>
    <w:p>
      <w:pPr>
        <w:spacing w:after="0" w:line="154" w:lineRule="exact"/>
        <w:rPr>
          <w:sz w:val="20"/>
          <w:szCs w:val="20"/>
          <w:color w:val="auto"/>
        </w:rPr>
      </w:pPr>
    </w:p>
    <w:p>
      <w:pPr>
        <w:jc w:val="both"/>
        <w:ind w:left="300" w:right="360" w:firstLine="532"/>
        <w:spacing w:after="0" w:line="253" w:lineRule="auto"/>
        <w:rPr>
          <w:sz w:val="20"/>
          <w:szCs w:val="20"/>
          <w:color w:val="auto"/>
        </w:rPr>
      </w:pPr>
      <w:r>
        <w:rPr>
          <w:rFonts w:ascii="Arial" w:cs="Arial" w:eastAsia="Arial" w:hAnsi="Arial"/>
          <w:sz w:val="18"/>
          <w:szCs w:val="18"/>
          <w:color w:val="auto"/>
        </w:rPr>
        <w:t>Traditional underwriting often requires in-person blood tests, urine analysis, and medical exams, as well as time-intensive, static, fillable forms. Such processes can take several weeks and subsequently can result in denial of coverage. With our digital technology platform, the majority of applicants receive a decision within ten minutes of starting their application.</w:t>
      </w:r>
    </w:p>
    <w:p>
      <w:pPr>
        <w:spacing w:after="0" w:line="169" w:lineRule="exact"/>
        <w:rPr>
          <w:sz w:val="20"/>
          <w:szCs w:val="20"/>
          <w:color w:val="auto"/>
        </w:rPr>
      </w:pPr>
    </w:p>
    <w:p>
      <w:pPr>
        <w:ind w:left="300" w:right="140" w:firstLine="532"/>
        <w:spacing w:after="0"/>
        <w:rPr>
          <w:sz w:val="20"/>
          <w:szCs w:val="20"/>
          <w:color w:val="auto"/>
        </w:rPr>
      </w:pPr>
      <w:r>
        <w:rPr>
          <w:rFonts w:ascii="Arial" w:cs="Arial" w:eastAsia="Arial" w:hAnsi="Arial"/>
          <w:sz w:val="18"/>
          <w:szCs w:val="18"/>
          <w:color w:val="auto"/>
        </w:rPr>
        <w:t>Our underwriting engine ingests up to 250,000 data points per application, including prescription history, credit-based insurance scores, historical underwriting outcomes, and motor vehicle records. Importantly, it is designed to intelligently determine which data is most relevant for each individual consumer, which minimizes both cost and friction in the process. Our underwriting engine then combines such relevant third-party data with consumer-submitted application data to create a proprietary information graph that allows us to identify and assess risk instantly in an individualized manner. This scale of data integration and evaluation is difficult to achieve and is powered by our proprietary technology. When paired with our comprehensive product suite spanning a broad array of risk profiles, 95% of applicants receive decisions instantly based on internal data compared to four to eight weeks on average for traditional underwriting processes.</w:t>
      </w:r>
    </w:p>
    <w:p>
      <w:pPr>
        <w:spacing w:after="0" w:line="180" w:lineRule="exact"/>
        <w:rPr>
          <w:sz w:val="20"/>
          <w:szCs w:val="20"/>
          <w:color w:val="auto"/>
        </w:rPr>
      </w:pPr>
    </w:p>
    <w:p>
      <w:pPr>
        <w:ind w:left="300" w:right="220" w:firstLine="532"/>
        <w:spacing w:after="0" w:line="253" w:lineRule="auto"/>
        <w:rPr>
          <w:sz w:val="20"/>
          <w:szCs w:val="20"/>
          <w:color w:val="auto"/>
        </w:rPr>
      </w:pPr>
      <w:r>
        <w:rPr>
          <w:rFonts w:ascii="Arial" w:cs="Arial" w:eastAsia="Arial" w:hAnsi="Arial"/>
          <w:sz w:val="18"/>
          <w:szCs w:val="18"/>
          <w:color w:val="auto"/>
        </w:rPr>
        <w:t>As a testament to our capabilities, many of our carriers entrust us with underwriting administration and execution. Our underwriting engine continuously improves with each application processed, refining logic-based rules for risk selection, optimizing pricing, and enhancing approval rates, which drives better unit economics for us and our carriers.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Policy Administration</w:t>
      </w:r>
    </w:p>
    <w:p>
      <w:pPr>
        <w:spacing w:after="0" w:line="102" w:lineRule="exact"/>
        <w:rPr>
          <w:sz w:val="20"/>
          <w:szCs w:val="20"/>
          <w:color w:val="auto"/>
        </w:rPr>
      </w:pPr>
    </w:p>
    <w:p>
      <w:pPr>
        <w:ind w:left="300" w:right="120" w:firstLine="532"/>
        <w:spacing w:after="0" w:line="271" w:lineRule="auto"/>
        <w:rPr>
          <w:sz w:val="20"/>
          <w:szCs w:val="20"/>
          <w:color w:val="auto"/>
        </w:rPr>
      </w:pPr>
      <w:r>
        <w:rPr>
          <w:rFonts w:ascii="Arial" w:cs="Arial" w:eastAsia="Arial" w:hAnsi="Arial"/>
          <w:sz w:val="18"/>
          <w:szCs w:val="18"/>
          <w:color w:val="auto"/>
        </w:rPr>
        <w:t>Our cloud-native policy administration system is able to automate significant portions of the full policy lifecycle, from issuance to servicing and policyholder payments. These services include dynamic</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contract generation, payment processing and reinstatements, endorsements (policy changes such as coverage amount or beneficiary updates), full servicing workflows (including consumer self-service), and structured data pipelines for auditing and compliance reporting. Owning our own policy administration stack allows us to deploy new product features, pricing updates, and carrier configurations in days, not quarters. This reduces unnecessary integration with, and reliance on, legacy carrier systems, which tend to be less flexible and therefore slower to iterate or improve.</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Platform Extensibility</w:t>
      </w:r>
    </w:p>
    <w:p>
      <w:pPr>
        <w:spacing w:after="0" w:line="102" w:lineRule="exact"/>
        <w:rPr>
          <w:sz w:val="20"/>
          <w:szCs w:val="20"/>
          <w:color w:val="auto"/>
        </w:rPr>
      </w:pPr>
    </w:p>
    <w:p>
      <w:pPr>
        <w:ind w:left="300" w:right="180" w:firstLine="532"/>
        <w:spacing w:after="0" w:line="247" w:lineRule="auto"/>
        <w:rPr>
          <w:sz w:val="20"/>
          <w:szCs w:val="20"/>
          <w:color w:val="auto"/>
        </w:rPr>
      </w:pPr>
      <w:r>
        <w:rPr>
          <w:rFonts w:ascii="Arial" w:cs="Arial" w:eastAsia="Arial" w:hAnsi="Arial"/>
          <w:sz w:val="18"/>
          <w:szCs w:val="18"/>
          <w:color w:val="auto"/>
        </w:rPr>
        <w:t>Our integrated distribution, underwriting, and policy administration capabilities enable us to efficiently develop and scale new products. We leverage ongoing feedback from agents, which is grounded in their understanding of consumer demand, to help guide product development. We also collaborate with carriers to introduce additional offerings that expand their distribution reach and broaden our product suite on our platform.</w:t>
      </w:r>
    </w:p>
    <w:p>
      <w:pPr>
        <w:spacing w:after="0" w:line="174"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We continue to remain active in product development, including launching Indexed Universal Life Insurance in September 2023 and enhancing the consumer experience for certain of our existing products in 2024. We believe that our ability to rapidly develop and launch new products sets us apart. For example, we launched one of our most recent Term Life Insurance products in less than half of the industry average product development time, based on average timelines cited in a 2023 Deloitte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Network Effects</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technology platform benefits from three key network effects:</w:t>
      </w:r>
    </w:p>
    <w:p>
      <w:pPr>
        <w:spacing w:after="0" w:line="117" w:lineRule="exact"/>
        <w:rPr>
          <w:sz w:val="20"/>
          <w:szCs w:val="20"/>
          <w:color w:val="auto"/>
        </w:rPr>
      </w:pPr>
    </w:p>
    <w:p>
      <w:pPr>
        <w:ind w:left="1020" w:right="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Data Advantage: </w:t>
      </w:r>
      <w:r>
        <w:rPr>
          <w:rFonts w:ascii="Arial" w:cs="Arial" w:eastAsia="Arial" w:hAnsi="Arial"/>
          <w:sz w:val="18"/>
          <w:szCs w:val="18"/>
          <w:color w:val="auto"/>
        </w:rPr>
        <w:t>Because we vertically integrate the distribution, underwriting, and administration of policies, we are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gather and utilize data across the entire consumer journey. As more consumers apply for policies through our platform, our machine-learning driven consumer intelligence engine strengthens and adapts, resulting in optimized targeting in marketing, better consumer experiences, and improved conversion, allowing us to scale efficiently. As we underwrite more policies, our underwriting engine leverages these insights to optimize our risk assessment, which improves the unit economics for us and our carriers.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4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Platform Engagement: </w:t>
      </w:r>
      <w:r>
        <w:rPr>
          <w:rFonts w:ascii="Arial" w:cs="Arial" w:eastAsia="Arial" w:hAnsi="Arial"/>
          <w:sz w:val="18"/>
          <w:szCs w:val="18"/>
          <w:color w:val="auto"/>
        </w:rPr>
        <w:t>Our data advantage, increasing scale, and risk-management expertise lead to more carriers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platform for incremental growth. As we add new carriers, our existing agents have a broader and more competitive suite of products to sell. This broader offering enables us to attract more agents and agencies onto our platform and strengthens our consumer value proposition and marketing efficiency.</w:t>
      </w:r>
    </w:p>
    <w:p>
      <w:pPr>
        <w:spacing w:after="0" w:line="79"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As more agents engage with our platform, we can more efficiently leverage the fixed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building our platform across a larger agent base. This more efficient cost structure allows us to invest more heavily in improving our agent experience and agent incentives. These improvements help attract new agencies and grow our agent base, which further compounds our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Ecosystem—Who We Serve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platform connects thousands of consumers and agents, and multiple agencies and carriers daily.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Consumers Choose Ethos: Life Insurance Reimagined for the Digital Age</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We aim to make buying life insurance as seamless and intuitive as any modern e-commerce experience—fast, transparent, and entirely online. We believe we have revolutionized the application process, enabling consumers to apply and receive decisions in minutes, not weeks. The consumer experience on the Ethos platform eliminates the cumbersome medical exams and extensive paperwork of traditional processes. Our NPS score is 71, compared to the carrier industry average of 14.</w:t>
      </w:r>
    </w:p>
    <w:p>
      <w:pPr>
        <w:spacing w:after="0" w:line="174" w:lineRule="exact"/>
        <w:rPr>
          <w:sz w:val="20"/>
          <w:szCs w:val="20"/>
          <w:color w:val="auto"/>
        </w:rPr>
      </w:pPr>
    </w:p>
    <w:p>
      <w:pPr>
        <w:ind w:left="300" w:right="220" w:firstLine="532"/>
        <w:spacing w:after="0" w:line="247" w:lineRule="auto"/>
        <w:rPr>
          <w:sz w:val="20"/>
          <w:szCs w:val="20"/>
          <w:color w:val="auto"/>
        </w:rPr>
      </w:pPr>
      <w:r>
        <w:rPr>
          <w:rFonts w:ascii="Arial" w:cs="Arial" w:eastAsia="Arial" w:hAnsi="Arial"/>
          <w:sz w:val="18"/>
          <w:szCs w:val="18"/>
          <w:color w:val="auto"/>
        </w:rPr>
        <w:t>We also believe in transparency and value. Consumers have traditionally faced an opaque and confusing array of policy options. Our consumers benefit from competitive pricing from the start, ensuring confidence in their coverage. We streamline life insurance selection with precision, recommending the optimal policy available on our platform for each consumer at a risk-adjusted price and ensuring clarity, confidence, and the right coverage without unnecessary complexity or hidden surprises.</w:t>
      </w: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Agents Choose Ethos: Empowering Growth and Efficiency</w:t>
      </w:r>
    </w:p>
    <w:p>
      <w:pPr>
        <w:spacing w:after="0" w:line="102"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Without Ethos, agents rely on antiquated technology with multiple logins, consumer relationship management, or CRM, platforms, contracting and compensation systems, and quoting tools that lead to fragmented and tedious consumer outreach and case management. Our operating system empowers agents to improve the efficiency of their outreach and increase conversion while making it easier to manage their business. Our end-to-end digital platform streamlines carrier contracting, quoting, applications, and policy management, freeing agents to focus on what they do best: selling policies, rather than administrative work. Additionally, we have added features and functionalities to our platform that help agencies recruit more agents, enhance agent efficiency, and boost overall productivity—delivering better outcomes for agencies, agents, carriers, and us.</w:t>
      </w:r>
    </w:p>
    <w:p>
      <w:pPr>
        <w:spacing w:after="0" w:line="185"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With our agent platform, agents can enroll in minutes, acquire high-intent leads, sell a policy the same day, and get paid as early as the next day. Our CRM capabilities enable continuous and efficient engagement with current and prospective consumers. We believe our proprietary underwriting engine leads to faster approvals, helping agents close more policies in less time. Real-time tracking of consumer application status and automated payouts help agents optimize their cash flow, all while avoiding administrative burdens. Additionally, we enhance the agent experience through incentives and a structured loyalty program that rewards performance, encourages engagement, and fosters long-term retention. By making the sales process more rewarding and interactive, we help agents boost their productivity and stay motivated to grow their business with us.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Carriers Succeed with Us: Expanding Reach and Optimizing Risk</w:t>
      </w:r>
    </w:p>
    <w:p>
      <w:pPr>
        <w:spacing w:after="0" w:line="102" w:lineRule="exact"/>
        <w:rPr>
          <w:sz w:val="20"/>
          <w:szCs w:val="20"/>
          <w:color w:val="auto"/>
        </w:rPr>
      </w:pPr>
    </w:p>
    <w:p>
      <w:pPr>
        <w:jc w:val="both"/>
        <w:ind w:left="300" w:right="200" w:firstLine="532"/>
        <w:spacing w:after="0" w:line="253" w:lineRule="auto"/>
        <w:rPr>
          <w:sz w:val="20"/>
          <w:szCs w:val="20"/>
          <w:color w:val="auto"/>
        </w:rPr>
      </w:pPr>
      <w:r>
        <w:rPr>
          <w:rFonts w:ascii="Arial" w:cs="Arial" w:eastAsia="Arial" w:hAnsi="Arial"/>
          <w:sz w:val="18"/>
          <w:szCs w:val="18"/>
          <w:color w:val="auto"/>
        </w:rPr>
        <w:t>Our carriers are integral to our success. We are dedicated to helping carriers expand their consumer base through additional distribution, underwriting, and policy administration, as well as to bring new products to market quickly. For our top three carriers by distribution, who are also our longest tenured carriers, we were their largest source of life insurance premiums in 2024.</w:t>
      </w:r>
    </w:p>
    <w:p>
      <w:pPr>
        <w:spacing w:after="0" w:line="169" w:lineRule="exact"/>
        <w:rPr>
          <w:sz w:val="20"/>
          <w:szCs w:val="20"/>
          <w:color w:val="auto"/>
        </w:rPr>
      </w:pPr>
    </w:p>
    <w:p>
      <w:pPr>
        <w:ind w:left="300" w:right="20" w:firstLine="532"/>
        <w:spacing w:after="0" w:line="239" w:lineRule="auto"/>
        <w:rPr>
          <w:sz w:val="20"/>
          <w:szCs w:val="20"/>
          <w:color w:val="auto"/>
        </w:rPr>
      </w:pPr>
      <w:r>
        <w:rPr>
          <w:rFonts w:ascii="Arial" w:cs="Arial" w:eastAsia="Arial" w:hAnsi="Arial"/>
          <w:sz w:val="18"/>
          <w:szCs w:val="18"/>
          <w:color w:val="auto"/>
        </w:rPr>
        <w:t>Carriers often still rely heavily on decades-old technology infrastructure. As a result, sales and underwriting cycles remain long and inefficient. Our platform provides carriers new growth opportunities by reaching digital-first consumers and a growing network of tech-enabled agents, with higher underwriting efficiencies. Our proprietary underwriting model uses real-time data to optimize risk assessment while maintaining strong risk controls. Our commitment to carriers is a top priority, and we take extensive steps to assess and improve the efficacy of our digital underwriting process. For example, we have performed over 100,000 post-issue audits on activated policies (approximately 25% of activated policies to date) to validate digital underwriting information. We also provide carriers with full-service policy administration, which minimizes their internal resource requirements and simplifies the path to distribution at scale. Our carriers enjoy seamless integration with our data infrastructure, which connects with existing systems for rapid deployment and value creation.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Opportunity</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a Significant Coverage Gap for Life Insurance Today</w:t>
      </w:r>
    </w:p>
    <w:p>
      <w:pPr>
        <w:spacing w:after="0" w:line="102"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Life insurance represents a vast market opportunity in the United States, driven by millions of life events each year that heighten the demand for comprehensive coverage. Welcoming a new child, purchasing a home, saving for higher education, reaching retirement age, or experiencing the loss of a loved one are examples of key life milestones that drive this demand. In 2024, 3.6 million children were born in America according to the Centers for Disease Control and Prevention, 5.0 million Americans purchased homes according to the U.S. Census Bureau and the National Association of Realtors,</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8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53" w:lineRule="auto"/>
        <w:rPr>
          <w:sz w:val="20"/>
          <w:szCs w:val="20"/>
          <w:color w:val="auto"/>
        </w:rPr>
      </w:pPr>
      <w:r>
        <w:rPr>
          <w:rFonts w:ascii="Arial" w:cs="Arial" w:eastAsia="Arial" w:hAnsi="Arial"/>
          <w:sz w:val="18"/>
          <w:szCs w:val="18"/>
          <w:color w:val="auto"/>
        </w:rPr>
        <w:t>19.3 million enrolled for college in the United States according to College Enrollment &amp; Student Demographic Statistics, 4.1 million Americans reached the age of 65 according to Alliance for Lifetime Income, and 12.5 million Americans mourned the loss of a loved one according to the Recovery Village Grief Statistics.</w:t>
      </w:r>
    </w:p>
    <w:p>
      <w:pPr>
        <w:spacing w:after="0" w:line="169" w:lineRule="exact"/>
        <w:rPr>
          <w:sz w:val="20"/>
          <w:szCs w:val="20"/>
          <w:color w:val="auto"/>
        </w:rPr>
      </w:pPr>
    </w:p>
    <w:p>
      <w:pPr>
        <w:ind w:left="300" w:right="20" w:firstLine="532"/>
        <w:spacing w:after="0" w:line="244" w:lineRule="auto"/>
        <w:rPr>
          <w:sz w:val="20"/>
          <w:szCs w:val="20"/>
          <w:color w:val="auto"/>
        </w:rPr>
      </w:pPr>
      <w:r>
        <w:rPr>
          <w:rFonts w:ascii="Arial" w:cs="Arial" w:eastAsia="Arial" w:hAnsi="Arial"/>
          <w:sz w:val="18"/>
          <w:szCs w:val="18"/>
          <w:color w:val="auto"/>
        </w:rPr>
        <w:t>These recurring life events result in a persistent annual influx of new consumers seeking life insurance. Despite this demand, a significant need gap persists. According to LIMRA, 42% of American adults in 2024 recognized a need for life insurance but were deterred by the perceived cost and complexity of the products. The industry’s lack of innovation and reliance on traditional methods create an opportunity for technology-driven solutions. Our platform leverages technology and network effects to increase our market share.</w:t>
      </w:r>
    </w:p>
    <w:p>
      <w:pPr>
        <w:spacing w:after="0" w:line="176" w:lineRule="exact"/>
        <w:rPr>
          <w:sz w:val="20"/>
          <w:szCs w:val="20"/>
          <w:color w:val="auto"/>
        </w:rPr>
      </w:pPr>
    </w:p>
    <w:p>
      <w:pPr>
        <w:ind w:left="300" w:right="200" w:firstLine="532"/>
        <w:spacing w:after="0" w:line="244" w:lineRule="auto"/>
        <w:rPr>
          <w:sz w:val="20"/>
          <w:szCs w:val="20"/>
          <w:color w:val="auto"/>
        </w:rPr>
      </w:pPr>
      <w:r>
        <w:rPr>
          <w:rFonts w:ascii="Arial" w:cs="Arial" w:eastAsia="Arial" w:hAnsi="Arial"/>
          <w:sz w:val="18"/>
          <w:szCs w:val="18"/>
          <w:color w:val="auto"/>
        </w:rPr>
        <w:t>The cumbersome nature of legacy life insurance processes has led insurers and agents to increasingly focus on the high net worth segment, where the complexity and cost of servicing are offset by larger premiums and higher lifetime commission value. We believe this focus has left a significant untapped opportunity in the mass affluent and middle market segments, where there is a growing demand for simplified and accessible life insurance solutions. We are well positioned to address this gap by offering streamlined, technology-driven solutions that cater to a broader market segment, thereby expanding our reach and impact.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Ethos Addresses a Large and Growing Market Opportunity</w:t>
      </w:r>
    </w:p>
    <w:p>
      <w:pPr>
        <w:spacing w:after="0" w:line="102"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Ethos effectively bridges the life insurance need gap by offering accessible coverage and underwriting 95% of applicants instantly based on internal data. Our core insurance products, Term Life Insurance, Whole Life Insurance, and Indexed Universal Life Insurance, represented an aggregate of $12.6 billion of annual new policy premiums in the industry for the year ended December 31, 2024. The markets for these products have demonstrated consistent demand through economic cycles, with an average of approximately 10 million individuals purchasing new policies annually over the past decade, according to the American Council of Life Insurers. As we expand into new products, such as Variable Universal Life and Fixed Indexed Annuities, our market opportunity could grow to over $140 billion of annual premiums.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Limitations Burden Existing Carriers Today</w:t>
      </w:r>
    </w:p>
    <w:p>
      <w:pPr>
        <w:spacing w:after="0" w:line="102" w:lineRule="exact"/>
        <w:rPr>
          <w:sz w:val="20"/>
          <w:szCs w:val="20"/>
          <w:color w:val="auto"/>
        </w:rPr>
      </w:pPr>
    </w:p>
    <w:p>
      <w:pPr>
        <w:ind w:left="300" w:right="120" w:firstLine="532"/>
        <w:spacing w:after="0" w:line="244" w:lineRule="auto"/>
        <w:rPr>
          <w:sz w:val="20"/>
          <w:szCs w:val="20"/>
          <w:color w:val="auto"/>
        </w:rPr>
      </w:pPr>
      <w:r>
        <w:rPr>
          <w:rFonts w:ascii="Arial" w:cs="Arial" w:eastAsia="Arial" w:hAnsi="Arial"/>
          <w:sz w:val="18"/>
          <w:szCs w:val="18"/>
          <w:color w:val="auto"/>
        </w:rPr>
        <w:t>Traditional life insurers face challenges in bridging the life insurance need gap due to outdated infrastructure and the substantial investment required for modernization. With all of the top 20 carriers being over 100 years old, these insurers often focus on maintaining third-party provided legacy systems given the complexity associated with transitioning to new systems. Legacy processes often rely on human underwriters who manually review data, resulting in slow, inconsistent decision-making that limits scalability. Ethos was purpose-built to solve these problems.</w:t>
      </w:r>
    </w:p>
    <w:p>
      <w:pPr>
        <w:spacing w:after="0" w:line="176"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Over the last decade, the life insurance industry has been transitioning from captive agents tied to a single carrier to independent agents offering products from multiple insurers. This trend is driven by consumer demand for choice, price transparency, and tailored coverage. According to LIMRA, independent agents distributed 53% of premiums in 2023, up 8% from 2013. This shift presents operational challenges for carriers, who must now compete in a broker-driven environment without a dedicated agent salesforce. Consequently, carriers need to invest in agent-friendly tools, simplify underwriting, and offer competitive products to attract independent agents and agencies focused on consumer value rather than brand loyalty.</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Demand for DTC Sales Positions Ethos for Success</w:t>
      </w:r>
    </w:p>
    <w:p>
      <w:pPr>
        <w:spacing w:after="0" w:line="102" w:lineRule="exact"/>
        <w:rPr>
          <w:sz w:val="20"/>
          <w:szCs w:val="20"/>
          <w:color w:val="auto"/>
        </w:rPr>
      </w:pPr>
    </w:p>
    <w:p>
      <w:pPr>
        <w:ind w:left="300" w:right="80" w:firstLine="532"/>
        <w:spacing w:after="0" w:line="244" w:lineRule="auto"/>
        <w:rPr>
          <w:sz w:val="20"/>
          <w:szCs w:val="20"/>
          <w:color w:val="auto"/>
        </w:rPr>
      </w:pPr>
      <w:r>
        <w:rPr>
          <w:rFonts w:ascii="Arial" w:cs="Arial" w:eastAsia="Arial" w:hAnsi="Arial"/>
          <w:sz w:val="18"/>
          <w:szCs w:val="18"/>
          <w:color w:val="auto"/>
        </w:rPr>
        <w:t>According to LIMRA, approximately 90% of life insurance premiums are sold through agents. We believe DTC sales will continue to gain traction as consumers increasingly expect a digital end-to-end experience. The United States auto insurance sector has demonstrated this preference shift: for example, Progressive wrote 56% of its personal auto premiums through DTC channels for the year ended December 31, 2024 according to company filings. Life insurance is undergoing a similar transformation, and we believe Ethos is positioned to lead and benefit from this transition with its modern, technology-first platform.</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Extensible Platform Drives Growth and Efficiency</w:t>
      </w:r>
    </w:p>
    <w:p>
      <w:pPr>
        <w:spacing w:after="0" w:line="210" w:lineRule="exact"/>
        <w:rPr>
          <w:sz w:val="20"/>
          <w:szCs w:val="20"/>
          <w:color w:val="auto"/>
        </w:rPr>
      </w:pPr>
    </w:p>
    <w:p>
      <w:pPr>
        <w:ind w:left="300" w:right="80" w:firstLine="532"/>
        <w:spacing w:after="0" w:line="253" w:lineRule="auto"/>
        <w:rPr>
          <w:sz w:val="20"/>
          <w:szCs w:val="20"/>
          <w:color w:val="auto"/>
        </w:rPr>
      </w:pPr>
      <w:r>
        <w:rPr>
          <w:rFonts w:ascii="Arial" w:cs="Arial" w:eastAsia="Arial" w:hAnsi="Arial"/>
          <w:sz w:val="18"/>
          <w:szCs w:val="18"/>
          <w:color w:val="auto"/>
        </w:rPr>
        <w:t>Our technology platform is extensible, enabling us to scale more rapidly and more efficiently than traditional carriers. Built on a unified data infrastructure, our digitally native platform can launch products quickly, enhance product design, and update pricing in real-time.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Multi-Carrier Relationship Model Delivers Value to Consumers and Agents</w:t>
      </w:r>
    </w:p>
    <w:p>
      <w:pPr>
        <w:spacing w:after="0" w:line="102" w:lineRule="exact"/>
        <w:rPr>
          <w:sz w:val="20"/>
          <w:szCs w:val="20"/>
          <w:color w:val="auto"/>
        </w:rPr>
      </w:pPr>
    </w:p>
    <w:p>
      <w:pPr>
        <w:jc w:val="both"/>
        <w:ind w:left="300" w:right="80" w:firstLine="532"/>
        <w:spacing w:after="0" w:line="247" w:lineRule="auto"/>
        <w:rPr>
          <w:sz w:val="20"/>
          <w:szCs w:val="20"/>
          <w:color w:val="auto"/>
        </w:rPr>
      </w:pPr>
      <w:r>
        <w:rPr>
          <w:rFonts w:ascii="Arial" w:cs="Arial" w:eastAsia="Arial" w:hAnsi="Arial"/>
          <w:sz w:val="18"/>
          <w:szCs w:val="18"/>
          <w:color w:val="auto"/>
        </w:rPr>
        <w:t>Unlike traditional insurers that typically focus on specific market segments and risk classes, our business model encompasses a wide range of products and risk categories within the life insurance sector. We work with multiple carriers, each uniquely suited for specific product categories and risk characteristics, ensuring strong value propositions across all of our offerings. This flexible model allows us to offer diverse products with the most suitable carrier, driving strong demand from targeted consumer profiles.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Diverse Go-to-Market Channels</w:t>
      </w:r>
    </w:p>
    <w:p>
      <w:pPr>
        <w:spacing w:after="0" w:line="102"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By leveraging both our DTC digital platform and extensive third-party channel, Ethos captures a wide array of consumer use cases and preferences, allowing us to evolve our platform in response to market demands and reinforce our data moat. We cater both to consumers who prefer the personalized agent experience and others who opt for the convenience of DTC. This diverse go-to-market approach allows us to reach a broader range of consumers across multiple geographies and income levels.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Significant Data Moat</w:t>
      </w:r>
    </w:p>
    <w:p>
      <w:pPr>
        <w:spacing w:after="0" w:line="102" w:lineRule="exact"/>
        <w:rPr>
          <w:sz w:val="20"/>
          <w:szCs w:val="20"/>
          <w:color w:val="auto"/>
        </w:rPr>
      </w:pPr>
    </w:p>
    <w:p>
      <w:pPr>
        <w:ind w:left="300" w:right="160" w:firstLine="532"/>
        <w:spacing w:after="0" w:line="247" w:lineRule="auto"/>
        <w:rPr>
          <w:sz w:val="20"/>
          <w:szCs w:val="20"/>
          <w:color w:val="auto"/>
        </w:rPr>
      </w:pPr>
      <w:r>
        <w:rPr>
          <w:rFonts w:ascii="Arial" w:cs="Arial" w:eastAsia="Arial" w:hAnsi="Arial"/>
          <w:sz w:val="18"/>
          <w:szCs w:val="18"/>
          <w:color w:val="auto"/>
        </w:rPr>
        <w:t>As a vertically integrated platform, Ethos collects extensive data and insights from consumer interactions and third-party data providers. Our closed-loop data system, which integrates consumer disclosures with reflexive application questions, continually refines our underwriting models. With over         cumulative policies activated since inception, Ethos has built a robust data moat that enhances accuracy, efficiency, and pricing as more consumer data flows through the platform.</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Early Mover Advantage</w:t>
      </w:r>
    </w:p>
    <w:p>
      <w:pPr>
        <w:spacing w:after="0" w:line="102"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Ethos holds a powerful early mover advantage as one of the only scaled technology platforms in the life insurance industry. Our early market entry in 2018 has allowed us to forge long-standing strategic relationships with leading insurance carriers that share our commitment to digitization. Building relationships with carriers is a challenging task, as carriers set a high bar for entrusting a platform like ours with underwriting policies and managing risk on their behalf.</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Proven Track Record with Industry Leading Carriers</w:t>
      </w:r>
    </w:p>
    <w:p>
      <w:pPr>
        <w:spacing w:after="0" w:line="102"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Ethos has consistently demonstrated its ability to deliver exceptional value to our carriers. Our three longest tenured, active carriers, who are also our top carriers by distribution, have grown at an average compound annual growth rate, or CAGR, of 61% in annual premiums activated through Ethos from 2021 to 2024. For each of these carriers, we were their largest source of life insurance premiums in 2024. We believe that our track record in driving value for the carriers with whom we work not only helps us retain our existing carriers but also positions us as an attractive choice for new carrier relationships.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17" w:lineRule="exact"/>
        <w:rPr>
          <w:sz w:val="20"/>
          <w:szCs w:val="20"/>
          <w:color w:val="auto"/>
        </w:rPr>
      </w:pPr>
    </w:p>
    <w:p>
      <w:pPr>
        <w:ind w:left="1020" w:right="4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Attract More Consumers: </w:t>
      </w:r>
      <w:r>
        <w:rPr>
          <w:rFonts w:ascii="Arial" w:cs="Arial" w:eastAsia="Arial" w:hAnsi="Arial"/>
          <w:sz w:val="18"/>
          <w:szCs w:val="18"/>
          <w:color w:val="auto"/>
        </w:rPr>
        <w:t>We continue to attract more consumers by leveraging our rapidly growing data advantage, which</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strengthens as we scale.</w:t>
      </w:r>
    </w:p>
    <w:p>
      <w:pPr>
        <w:spacing w:after="0" w:line="59" w:lineRule="exact"/>
        <w:rPr>
          <w:rFonts w:ascii="Arial" w:cs="Arial" w:eastAsia="Arial" w:hAnsi="Arial"/>
          <w:sz w:val="18"/>
          <w:szCs w:val="18"/>
          <w:color w:val="auto"/>
        </w:rPr>
      </w:pPr>
    </w:p>
    <w:p>
      <w:pPr>
        <w:ind w:left="1020" w:right="12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Recruit More Agents and Increase Ethos’ Share of Our Agents’ Sales: </w:t>
      </w:r>
      <w:r>
        <w:rPr>
          <w:rFonts w:ascii="Arial" w:cs="Arial" w:eastAsia="Arial" w:hAnsi="Arial"/>
          <w:sz w:val="18"/>
          <w:szCs w:val="18"/>
          <w:color w:val="auto"/>
        </w:rPr>
        <w:t>We have a strong network of over 10,000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agents on our platform as of December 31, 2024, and we are committed to expanding this network.</w:t>
      </w:r>
    </w:p>
    <w:p>
      <w:pPr>
        <w:spacing w:after="0" w:line="59" w:lineRule="exact"/>
        <w:rPr>
          <w:rFonts w:ascii="Arial" w:cs="Arial" w:eastAsia="Arial" w:hAnsi="Arial"/>
          <w:sz w:val="18"/>
          <w:szCs w:val="18"/>
          <w:color w:val="auto"/>
        </w:rPr>
      </w:pPr>
    </w:p>
    <w:p>
      <w:pPr>
        <w:ind w:left="1020" w:right="16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Enhance Agent Productivity: </w:t>
      </w:r>
      <w:r>
        <w:rPr>
          <w:rFonts w:ascii="Arial" w:cs="Arial" w:eastAsia="Arial" w:hAnsi="Arial"/>
          <w:sz w:val="18"/>
          <w:szCs w:val="18"/>
          <w:color w:val="auto"/>
        </w:rPr>
        <w:t>We have achieved significant success by equipping agents with our comprehensive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and there are more enhancements to come. We will continue to invest in platform features to streamline the sales process and boost agent productivity to attract more agents and drive growth.</w:t>
      </w:r>
    </w:p>
    <w:p>
      <w:pPr>
        <w:spacing w:after="0" w:line="74" w:lineRule="exact"/>
        <w:rPr>
          <w:rFonts w:ascii="Arial" w:cs="Arial" w:eastAsia="Arial" w:hAnsi="Arial"/>
          <w:sz w:val="18"/>
          <w:szCs w:val="18"/>
          <w:color w:val="auto"/>
        </w:rPr>
      </w:pPr>
    </w:p>
    <w:p>
      <w:pPr>
        <w:ind w:left="1020" w:right="6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Expand Our Product Portfolio: </w:t>
      </w:r>
      <w:r>
        <w:rPr>
          <w:rFonts w:ascii="Arial" w:cs="Arial" w:eastAsia="Arial" w:hAnsi="Arial"/>
          <w:sz w:val="18"/>
          <w:szCs w:val="18"/>
          <w:color w:val="auto"/>
        </w:rPr>
        <w:t>Ethos has expanded from one product in 2019 to ten products as of December 31, 2024.</w:t>
      </w:r>
      <w:r>
        <w:rPr>
          <w:rFonts w:ascii="Arial" w:cs="Arial" w:eastAsia="Arial" w:hAnsi="Arial"/>
          <w:sz w:val="18"/>
          <w:szCs w:val="18"/>
          <w:b w:val="1"/>
          <w:bCs w:val="1"/>
          <w:color w:val="auto"/>
        </w:rPr>
        <w:t xml:space="preserve"> </w:t>
      </w:r>
      <w:r>
        <w:rPr>
          <w:rFonts w:ascii="Arial" w:cs="Arial" w:eastAsia="Arial" w:hAnsi="Arial"/>
          <w:sz w:val="18"/>
          <w:szCs w:val="18"/>
          <w:color w:val="auto"/>
        </w:rPr>
        <w:t>We intend to continue broadening the product offerings available on our platform and plan to launch two additional products, Cancer Insurance and Accumulation Indexed Universal Life Insurance, by the end of 2025. These new products are expected to be launched without the need for additional financing.</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growth prospects.</w:t>
      </w:r>
    </w:p>
    <w:p>
      <w:pPr>
        <w:spacing w:after="0" w:line="79"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while we have recently achieved profitability, we may not sustain it in the future.</w:t>
      </w:r>
    </w:p>
    <w:p>
      <w:pPr>
        <w:spacing w:after="0" w:line="117" w:lineRule="exact"/>
        <w:rPr>
          <w:rFonts w:ascii="Arial" w:cs="Arial" w:eastAsia="Arial" w:hAnsi="Arial"/>
          <w:sz w:val="18"/>
          <w:szCs w:val="18"/>
          <w:color w:val="auto"/>
        </w:rPr>
      </w:pPr>
    </w:p>
    <w:p>
      <w:pPr>
        <w:ind w:left="1020" w:right="200" w:hanging="195"/>
        <w:spacing w:after="0" w:line="24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history operating our business at its current scale, scope, and complexity, which makes it difficult to plan for future operations and growth initiatives and predict future results. In particular, factors impacting, and our ability to accurately forecast, our persistency estimates have negatively impacted and may in the future negatively impact our ability to accurately predict future revenue and cash flows and may in future periods result in unexpected differences between actual results compared to our forecasts.</w:t>
      </w:r>
    </w:p>
    <w:p>
      <w:pPr>
        <w:spacing w:after="0" w:line="81"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harmed if we fail to manage our growth effectively.</w:t>
      </w:r>
    </w:p>
    <w:p>
      <w:pPr>
        <w:spacing w:after="0" w:line="117" w:lineRule="exact"/>
        <w:rPr>
          <w:rFonts w:ascii="Arial" w:cs="Arial" w:eastAsia="Arial" w:hAnsi="Arial"/>
          <w:sz w:val="18"/>
          <w:szCs w:val="18"/>
          <w:color w:val="auto"/>
        </w:rPr>
      </w:pPr>
    </w:p>
    <w:p>
      <w:pPr>
        <w:ind w:left="1020" w:right="2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we earn on the sale of insurance products is based on premiums set by carriers, and any meaningful change in these premiums, or decrease in commission rates that we negotiate with our carriers based on such premiums, or actions by carriers seeking repayment of commissions, could adversely impact our revenue.</w:t>
      </w:r>
    </w:p>
    <w:p>
      <w:pPr>
        <w:spacing w:after="0" w:line="74" w:lineRule="exact"/>
        <w:rPr>
          <w:rFonts w:ascii="Arial" w:cs="Arial" w:eastAsia="Arial" w:hAnsi="Arial"/>
          <w:sz w:val="18"/>
          <w:szCs w:val="18"/>
          <w:color w:val="auto"/>
        </w:rPr>
      </w:pPr>
    </w:p>
    <w:p>
      <w:pPr>
        <w:ind w:left="1020" w:right="16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may be harmed if we lose relationships with carriers, fail to maintain good relationships with carriers, become even more dependent upon a limited number of carriers or fail to develop new carrier relationships.</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a limited number of agency counterparties, and if we are unsuccessful in maintaining relationships with these and new agencies, our results of operations be harmed.</w:t>
      </w:r>
    </w:p>
    <w:p>
      <w:pPr>
        <w:spacing w:after="0" w:line="59" w:lineRule="exact"/>
        <w:rPr>
          <w:rFonts w:ascii="Arial" w:cs="Arial" w:eastAsia="Arial" w:hAnsi="Arial"/>
          <w:sz w:val="18"/>
          <w:szCs w:val="18"/>
          <w:color w:val="auto"/>
        </w:rPr>
      </w:pPr>
    </w:p>
    <w:p>
      <w:pPr>
        <w:ind w:left="102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on individual agent adoption and engagement, and if agents do not engage with or adopt our platform, our results of operation will be harmed.</w:t>
      </w:r>
    </w:p>
    <w:p>
      <w:pPr>
        <w:spacing w:after="0" w:line="59" w:lineRule="exact"/>
        <w:rPr>
          <w:rFonts w:ascii="Arial" w:cs="Arial" w:eastAsia="Arial" w:hAnsi="Arial"/>
          <w:sz w:val="18"/>
          <w:szCs w:val="18"/>
          <w:color w:val="auto"/>
        </w:rPr>
      </w:pPr>
    </w:p>
    <w:p>
      <w:pPr>
        <w:ind w:left="1020" w:right="44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depends in part on third-party data, technology, and infrastructure providers, and failure to maintain these relationships or changes in their services could adversely affect our operations, revenue, and growth.</w:t>
      </w:r>
    </w:p>
    <w:p>
      <w:pPr>
        <w:spacing w:after="0" w:line="59" w:lineRule="exact"/>
        <w:rPr>
          <w:rFonts w:ascii="Arial" w:cs="Arial" w:eastAsia="Arial" w:hAnsi="Arial"/>
          <w:sz w:val="18"/>
          <w:szCs w:val="18"/>
          <w:color w:val="auto"/>
        </w:rPr>
      </w:pPr>
    </w:p>
    <w:p>
      <w:pPr>
        <w:ind w:left="1020" w:right="28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 attacks, data breaches, security incidents, systems failures, and resulting, interruptions in the availability of our websites, mobile applications, platform, or services could adversely affect our business, financial condition, and results of operations.</w:t>
      </w:r>
    </w:p>
    <w:p>
      <w:pPr>
        <w:spacing w:after="0" w:line="74"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awareness and marketing efforts to help grow our business may not be effective.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reputation could have a material adverse effect on our business.</w:t>
      </w:r>
    </w:p>
    <w:p>
      <w:pPr>
        <w:spacing w:after="0" w:line="117" w:lineRule="exact"/>
        <w:rPr>
          <w:rFonts w:ascii="Arial" w:cs="Arial" w:eastAsia="Arial" w:hAnsi="Arial"/>
          <w:sz w:val="18"/>
          <w:szCs w:val="18"/>
          <w:color w:val="auto"/>
        </w:rPr>
      </w:pPr>
    </w:p>
    <w:p>
      <w:pPr>
        <w:ind w:left="1020" w:right="40" w:hanging="195"/>
        <w:spacing w:after="0" w:line="24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spacing w:after="0" w:line="79"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risks related to disputes, legal proceedings, and governmental inquiries and investigations.</w:t>
      </w:r>
    </w:p>
    <w:p>
      <w:pPr>
        <w:spacing w:after="0" w:line="117" w:lineRule="exact"/>
        <w:rPr>
          <w:rFonts w:ascii="Arial" w:cs="Arial" w:eastAsia="Arial" w:hAnsi="Arial"/>
          <w:sz w:val="18"/>
          <w:szCs w:val="18"/>
          <w:color w:val="auto"/>
        </w:rPr>
      </w:pPr>
    </w:p>
    <w:p>
      <w:pPr>
        <w:ind w:left="1020" w:right="20" w:hanging="195"/>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spacing w:after="0" w:line="84" w:lineRule="exact"/>
        <w:rPr>
          <w:rFonts w:ascii="Arial" w:cs="Arial" w:eastAsia="Arial" w:hAnsi="Arial"/>
          <w:sz w:val="18"/>
          <w:szCs w:val="18"/>
          <w:color w:val="auto"/>
        </w:rPr>
      </w:pPr>
    </w:p>
    <w:p>
      <w:pPr>
        <w:ind w:left="1020" w:right="200" w:hanging="195"/>
        <w:spacing w:after="0" w:line="24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demonstrate the effectiveness of our remediation measures, or if we identify additional material weaknesses in the future, our ability to produce timely and accurate financial statements or comply with applicable laws and regulations could be adversely affected.</w:t>
      </w:r>
    </w:p>
    <w:p>
      <w:pPr>
        <w:spacing w:after="0" w:line="79" w:lineRule="exact"/>
        <w:rPr>
          <w:rFonts w:ascii="Arial" w:cs="Arial" w:eastAsia="Arial" w:hAnsi="Arial"/>
          <w:sz w:val="18"/>
          <w:szCs w:val="18"/>
          <w:color w:val="auto"/>
        </w:rPr>
      </w:pPr>
    </w:p>
    <w:p>
      <w:pPr>
        <w:ind w:left="1020" w:right="28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our industry is intense, and our inability to compete effectively may adversely affect our business, financial condition, and results of operations.</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price may be volatile, and the value of our Class A common stock may decline.</w:t>
      </w:r>
    </w:p>
    <w:p>
      <w:pPr>
        <w:spacing w:after="0" w:line="117"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public market for our Class A common stock currently exists, and an active public trading market may not develop or be sustained following the closing of this offering.</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04"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Following the closing of this offering, we intend to announce material information to the public through filings with the Securities and Exchange Commission, or the SEC, the investor relations page on our website, press releases, public conference calls, public webcasts, our blog posts on our</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website, and our X (formerly Twitter) (@getEthosLife) and LinkedIn (www.linkedin.com/company/ethoslife) accounts. Information contained on, or accessible through, our website and accounts is not a part of this prospectus, and the inclusion of our website and account addresses in this prospectus is only as inactive textual references.</w:t>
      </w:r>
    </w:p>
    <w:p>
      <w:pPr>
        <w:spacing w:after="0" w:line="169"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right="20" w:firstLine="532"/>
        <w:spacing w:after="0" w:line="244" w:lineRule="auto"/>
        <w:rPr>
          <w:sz w:val="20"/>
          <w:szCs w:val="20"/>
          <w:color w:val="auto"/>
        </w:rPr>
      </w:pPr>
      <w:r>
        <w:rPr>
          <w:rFonts w:ascii="Arial" w:cs="Arial" w:eastAsia="Arial" w:hAnsi="Arial"/>
          <w:sz w:val="18"/>
          <w:szCs w:val="18"/>
          <w:color w:val="auto"/>
        </w:rPr>
        <w:t>We were initially incorporated under the laws of the State of Delaware in July 2016 under the name Ethos Insurance Corporation. We changed our name to Ethos Technologies Inc. in August 2016. Our principal executive offices are located at 90 New Montgomery Street, Suite 1500, San Francisco, CA 94105. Our telephone number is (415) 915-0665. Our website address is www.ethos.com. Information contained on, or accessible through, our website is not a part of this prospectus, and the inclusion of our website address in this prospectus is only as an inactive textual reference.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04" w:lineRule="exact"/>
        <w:rPr>
          <w:sz w:val="20"/>
          <w:szCs w:val="20"/>
          <w:color w:val="auto"/>
        </w:rPr>
      </w:pPr>
    </w:p>
    <w:p>
      <w:pPr>
        <w:ind w:left="300" w:right="100" w:firstLine="532"/>
        <w:spacing w:after="0" w:line="238" w:lineRule="auto"/>
        <w:rPr>
          <w:sz w:val="20"/>
          <w:szCs w:val="20"/>
          <w:color w:val="auto"/>
        </w:rPr>
      </w:pPr>
      <w:r>
        <w:rPr>
          <w:rFonts w:ascii="Arial" w:cs="Arial" w:eastAsia="Arial" w:hAnsi="Arial"/>
          <w:sz w:val="17"/>
          <w:szCs w:val="17"/>
          <w:color w:val="auto"/>
        </w:rPr>
        <w:t xml:space="preserve">The Ethos design logos, “Ethos,” and our other registered or common law trademarks, trade names, or service marks appearing in this prospectus are the property of Ethos Technologies Inc. or its affiliates. Other trademarks, trade names, and service marks used in this prospectus are the property of their respective owners. Our use or display of third parties’ trademarks, trade names, or service marks in this prospectus is not intended to, and does not imply, a relationship with or endorsement or sponsorship by us. Solely for convenience, trademarks, trade names, and service marks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or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will not assert, to the fullest extent permitted under applicable law, our rights or the rights of the applicable licensor to such trademarks, trade names, and service marks.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4" w:lineRule="exact"/>
        <w:rPr>
          <w:sz w:val="20"/>
          <w:szCs w:val="20"/>
          <w:color w:val="auto"/>
        </w:rPr>
      </w:pPr>
    </w:p>
    <w:p>
      <w:pPr>
        <w:jc w:val="both"/>
        <w:ind w:left="300" w:right="60" w:firstLine="532"/>
        <w:spacing w:after="0" w:line="275" w:lineRule="auto"/>
        <w:rPr>
          <w:sz w:val="20"/>
          <w:szCs w:val="20"/>
          <w:color w:val="auto"/>
        </w:rPr>
      </w:pPr>
      <w:r>
        <w:rPr>
          <w:rFonts w:ascii="Arial" w:cs="Arial" w:eastAsia="Arial" w:hAnsi="Arial"/>
          <w:sz w:val="17"/>
          <w:szCs w:val="17"/>
          <w:color w:val="auto"/>
        </w:rPr>
        <w:t>As a company with less than $1.235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generally to public companies. These provisions include:</w:t>
      </w:r>
    </w:p>
    <w:p>
      <w:pPr>
        <w:spacing w:after="0" w:line="57" w:lineRule="exact"/>
        <w:rPr>
          <w:sz w:val="20"/>
          <w:szCs w:val="20"/>
          <w:color w:val="auto"/>
        </w:rPr>
      </w:pPr>
    </w:p>
    <w:p>
      <w:pPr>
        <w:ind w:left="1020" w:right="6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comply with the audit requirements of Section 404 of the Sarbanes-Oxley Act of 2002, as amended, or the Sarbanes-Oxley Act;</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w:t>
      </w:r>
    </w:p>
    <w:p>
      <w:pPr>
        <w:spacing w:after="0" w:line="117" w:lineRule="exact"/>
        <w:rPr>
          <w:rFonts w:ascii="Arial" w:cs="Arial" w:eastAsia="Arial" w:hAnsi="Arial"/>
          <w:sz w:val="18"/>
          <w:szCs w:val="18"/>
          <w:color w:val="auto"/>
        </w:rPr>
      </w:pPr>
    </w:p>
    <w:p>
      <w:pPr>
        <w:ind w:left="1020" w:right="8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59" w:lineRule="exact"/>
        <w:rPr>
          <w:rFonts w:ascii="Arial" w:cs="Arial" w:eastAsia="Arial" w:hAnsi="Arial"/>
          <w:sz w:val="18"/>
          <w:szCs w:val="18"/>
          <w:color w:val="auto"/>
        </w:rPr>
      </w:pPr>
    </w:p>
    <w:p>
      <w:pPr>
        <w:ind w:left="1020" w:right="62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 not previously approved.</w:t>
      </w:r>
    </w:p>
    <w:p>
      <w:pPr>
        <w:spacing w:after="0" w:line="154" w:lineRule="exact"/>
        <w:rPr>
          <w:sz w:val="20"/>
          <w:szCs w:val="20"/>
          <w:color w:val="auto"/>
        </w:rPr>
      </w:pPr>
    </w:p>
    <w:p>
      <w:pPr>
        <w:ind w:left="300" w:right="100" w:firstLine="532"/>
        <w:spacing w:after="0" w:line="271"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Class A common stock in this offering. However, we will</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5"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310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2310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20"/>
        <w:spacing w:after="0" w:line="253" w:lineRule="auto"/>
        <w:rPr>
          <w:sz w:val="20"/>
          <w:szCs w:val="20"/>
          <w:color w:val="auto"/>
        </w:rPr>
      </w:pPr>
      <w:r>
        <w:rPr>
          <w:rFonts w:ascii="Arial" w:cs="Arial" w:eastAsia="Arial" w:hAnsi="Arial"/>
          <w:sz w:val="18"/>
          <w:szCs w:val="18"/>
          <w:color w:val="auto"/>
        </w:rPr>
        <w:t>cease to be an emerging growth company prior to the end of such five-year period if (i) we become a “large accelerated filer,” with at least $700 million of common equity securities held by non-affiliates; (ii) our annual gross revenue exceeds $1.235 billion; or (iii) we issue more than $1.0 billion of non-convertible debt in any three-year period, whichever occurs first.</w:t>
      </w:r>
    </w:p>
    <w:p>
      <w:pPr>
        <w:spacing w:after="0" w:line="169" w:lineRule="exact"/>
        <w:rPr>
          <w:sz w:val="20"/>
          <w:szCs w:val="20"/>
          <w:color w:val="auto"/>
        </w:rPr>
      </w:pPr>
    </w:p>
    <w:p>
      <w:pPr>
        <w:ind w:left="300" w:right="200" w:firstLine="532"/>
        <w:spacing w:after="0" w:line="247"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this extended transition period to enable us to comply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04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w:t>
      </w:r>
    </w:p>
    <w:p>
      <w:pPr>
        <w:spacing w:after="0" w:line="63"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Option to purchase additional shares of Class A common stock in this offering</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B common stock to be outstanding after this offering</w:t>
      </w:r>
    </w:p>
    <w:p>
      <w:pPr>
        <w:spacing w:after="0" w:line="266" w:lineRule="exact"/>
        <w:rPr>
          <w:sz w:val="20"/>
          <w:szCs w:val="20"/>
          <w:color w:val="auto"/>
        </w:rPr>
      </w:pPr>
    </w:p>
    <w:p>
      <w:pPr>
        <w:ind w:left="300" w:right="260"/>
        <w:spacing w:after="0" w:line="271"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jc w:val="both"/>
        <w:ind w:left="100" w:right="340"/>
        <w:spacing w:after="0" w:line="253"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shares (or         shares, assuming the underwriters’ option to purchase additional shares of Class A common stock is exercised in full).</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jc w:val="both"/>
        <w:ind w:left="100" w:right="340"/>
        <w:spacing w:after="0" w:line="253"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shares (or         shares, assuming the underwriters’ option to purchase additional shares of Class A common stock is exercised in full).</w:t>
      </w:r>
    </w:p>
    <w:p>
      <w:pPr>
        <w:spacing w:after="0" w:line="16" w:lineRule="exact"/>
        <w:rPr>
          <w:sz w:val="20"/>
          <w:szCs w:val="20"/>
          <w:color w:val="auto"/>
        </w:rPr>
      </w:pPr>
    </w:p>
    <w:p>
      <w:pPr>
        <w:sectPr>
          <w:pgSz w:w="11900" w:h="16838" w:orient="portrait"/>
          <w:cols w:equalWidth="0" w:num="2">
            <w:col w:w="5500" w:space="240"/>
            <w:col w:w="54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34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580" w:type="dxa"/>
            <w:vAlign w:val="bottom"/>
          </w:tcPr>
          <w:p>
            <w:pPr>
              <w:ind w:left="2280"/>
              <w:spacing w:after="0"/>
              <w:rPr>
                <w:sz w:val="20"/>
                <w:szCs w:val="20"/>
                <w:color w:val="auto"/>
              </w:rPr>
            </w:pPr>
            <w:r>
              <w:rPr>
                <w:rFonts w:ascii="Arial" w:cs="Arial" w:eastAsia="Arial" w:hAnsi="Arial"/>
                <w:sz w:val="18"/>
                <w:szCs w:val="18"/>
                <w:color w:val="auto"/>
              </w:rPr>
              <w:t>We estimate that our net proceeds from the sale of our Class A</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 xml:space="preserve">common stock in this offering will be approximately $          </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million (or approximately $            million if the underwriters’</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option to purchase additional shares is exercised in full),</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assuming an initial public offering price of $            per share,</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the midpoint of the price range set forth on the cover page of</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this prospectus, and after deducting underwriting discounts and</w:t>
            </w:r>
          </w:p>
        </w:tc>
      </w:tr>
      <w:tr>
        <w:trPr>
          <w:trHeight w:val="239"/>
        </w:trPr>
        <w:tc>
          <w:tcPr>
            <w:tcW w:w="3440" w:type="dxa"/>
            <w:vAlign w:val="bottom"/>
          </w:tcPr>
          <w:p>
            <w:pPr>
              <w:spacing w:after="0"/>
              <w:rPr>
                <w:sz w:val="20"/>
                <w:szCs w:val="20"/>
                <w:color w:val="auto"/>
              </w:rPr>
            </w:pPr>
          </w:p>
        </w:tc>
        <w:tc>
          <w:tcPr>
            <w:tcW w:w="7580" w:type="dxa"/>
            <w:vAlign w:val="bottom"/>
          </w:tcPr>
          <w:p>
            <w:pPr>
              <w:ind w:left="228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234"/>
        </w:trPr>
        <w:tc>
          <w:tcPr>
            <w:tcW w:w="3440" w:type="dxa"/>
            <w:vAlign w:val="bottom"/>
          </w:tcPr>
          <w:p>
            <w:pPr>
              <w:spacing w:after="0"/>
              <w:rPr>
                <w:sz w:val="20"/>
                <w:szCs w:val="20"/>
                <w:color w:val="auto"/>
              </w:rPr>
            </w:pPr>
          </w:p>
        </w:tc>
        <w:tc>
          <w:tcPr>
            <w:tcW w:w="7580" w:type="dxa"/>
            <w:vAlign w:val="bottom"/>
          </w:tcPr>
          <w:p>
            <w:pPr>
              <w:ind w:left="2280"/>
              <w:spacing w:after="0"/>
              <w:rPr>
                <w:sz w:val="20"/>
                <w:szCs w:val="20"/>
                <w:color w:val="auto"/>
              </w:rPr>
            </w:pPr>
            <w:r>
              <w:rPr>
                <w:rFonts w:ascii="Arial" w:cs="Arial" w:eastAsia="Arial" w:hAnsi="Arial"/>
                <w:sz w:val="18"/>
                <w:szCs w:val="18"/>
                <w:color w:val="auto"/>
              </w:rPr>
              <w:t>We intend to use a portion of the net proceeds we receive from</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this offering to pay all of our anticipated tax withholding and</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remittance obligations related to the RSU Net Settlement (as</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defined below). In connection with the RSU Net Settlement,</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assuming (i) the fair market value of our Class B common stock</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at the time of settlement will be equal to the assumed initial</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public offering price per share of $          , the midpoint of the</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price range set forth on the cover page of this prospectus, and</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(ii) an assumed          % tax withholding rate, we estimate that</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these tax withholding and remittance obligations on the RSU</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Net Settlement will be $          million in the aggregate. We</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intend to use the remaining net proceeds we receive from this</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offering for general corporate purposes, including working</w:t>
            </w:r>
          </w:p>
        </w:tc>
      </w:tr>
      <w:tr>
        <w:trPr>
          <w:trHeight w:val="203"/>
        </w:trPr>
        <w:tc>
          <w:tcPr>
            <w:tcW w:w="3440" w:type="dxa"/>
            <w:vAlign w:val="bottom"/>
          </w:tcPr>
          <w:p>
            <w:pPr>
              <w:spacing w:after="0"/>
              <w:rPr>
                <w:sz w:val="17"/>
                <w:szCs w:val="17"/>
                <w:color w:val="auto"/>
              </w:rPr>
            </w:pPr>
          </w:p>
        </w:tc>
        <w:tc>
          <w:tcPr>
            <w:tcW w:w="7580" w:type="dxa"/>
            <w:vAlign w:val="bottom"/>
          </w:tcPr>
          <w:p>
            <w:pPr>
              <w:ind w:left="2280"/>
              <w:spacing w:after="0" w:line="202" w:lineRule="exact"/>
              <w:rPr>
                <w:sz w:val="20"/>
                <w:szCs w:val="20"/>
                <w:color w:val="auto"/>
              </w:rPr>
            </w:pPr>
            <w:r>
              <w:rPr>
                <w:rFonts w:ascii="Arial" w:cs="Arial" w:eastAsia="Arial" w:hAnsi="Arial"/>
                <w:sz w:val="18"/>
                <w:szCs w:val="18"/>
                <w:color w:val="auto"/>
              </w:rPr>
              <w:t>capital, operating expenses, and capital expenditures. We may</w:t>
            </w:r>
          </w:p>
        </w:tc>
      </w:tr>
      <w:tr>
        <w:trPr>
          <w:trHeight w:val="239"/>
        </w:trPr>
        <w:tc>
          <w:tcPr>
            <w:tcW w:w="3440" w:type="dxa"/>
            <w:vAlign w:val="bottom"/>
          </w:tcPr>
          <w:p>
            <w:pPr>
              <w:spacing w:after="0"/>
              <w:rPr>
                <w:sz w:val="20"/>
                <w:szCs w:val="20"/>
                <w:color w:val="auto"/>
              </w:rPr>
            </w:pPr>
          </w:p>
        </w:tc>
        <w:tc>
          <w:tcPr>
            <w:tcW w:w="7580" w:type="dxa"/>
            <w:vAlign w:val="bottom"/>
          </w:tcPr>
          <w:p>
            <w:pPr>
              <w:ind w:left="2280"/>
              <w:spacing w:after="0"/>
              <w:rPr>
                <w:sz w:val="20"/>
                <w:szCs w:val="20"/>
                <w:color w:val="auto"/>
              </w:rPr>
            </w:pPr>
            <w:r>
              <w:rPr>
                <w:rFonts w:ascii="Arial" w:cs="Arial" w:eastAsia="Arial" w:hAnsi="Arial"/>
                <w:sz w:val="18"/>
                <w:szCs w:val="18"/>
                <w:color w:val="auto"/>
              </w:rPr>
              <w:t>also use a portion of the remaining net proceeds for</w:t>
            </w:r>
          </w:p>
        </w:tc>
      </w:tr>
      <w:tr>
        <w:trPr>
          <w:trHeight w:val="155"/>
        </w:trPr>
        <w:tc>
          <w:tcPr>
            <w:tcW w:w="3440" w:type="dxa"/>
            <w:vAlign w:val="bottom"/>
            <w:tcBorders>
              <w:bottom w:val="single" w:sz="8" w:color="auto"/>
            </w:tcBorders>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r>
      <w:tr>
        <w:trPr>
          <w:trHeight w:val="365"/>
        </w:trPr>
        <w:tc>
          <w:tcPr>
            <w:tcW w:w="3440" w:type="dxa"/>
            <w:vAlign w:val="bottom"/>
          </w:tcPr>
          <w:p>
            <w:pPr>
              <w:spacing w:after="0"/>
              <w:rPr>
                <w:sz w:val="24"/>
                <w:szCs w:val="24"/>
                <w:color w:val="auto"/>
              </w:rPr>
            </w:pPr>
          </w:p>
        </w:tc>
        <w:tc>
          <w:tcPr>
            <w:tcW w:w="7580" w:type="dxa"/>
            <w:vAlign w:val="bottom"/>
          </w:tcPr>
          <w:p>
            <w:pPr>
              <w:ind w:left="19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5"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50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acquisitions of, or strategic investments in, complementary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businesses, products, services, or technologies, although we do</w:t>
      </w:r>
    </w:p>
    <w:p>
      <w:pPr>
        <w:ind w:left="5840"/>
        <w:spacing w:after="0" w:line="234" w:lineRule="auto"/>
        <w:rPr>
          <w:sz w:val="20"/>
          <w:szCs w:val="20"/>
          <w:color w:val="auto"/>
        </w:rPr>
      </w:pPr>
      <w:r>
        <w:rPr>
          <w:rFonts w:ascii="Arial" w:cs="Arial" w:eastAsia="Arial" w:hAnsi="Arial"/>
          <w:sz w:val="18"/>
          <w:szCs w:val="18"/>
          <w:color w:val="auto"/>
        </w:rPr>
        <w:t>not currently have any agreements or commitments for any</w:t>
      </w:r>
    </w:p>
    <w:p>
      <w:pPr>
        <w:ind w:left="5840"/>
        <w:spacing w:after="0" w:line="235" w:lineRule="auto"/>
        <w:rPr>
          <w:sz w:val="20"/>
          <w:szCs w:val="20"/>
          <w:color w:val="auto"/>
        </w:rPr>
      </w:pPr>
      <w:r>
        <w:rPr>
          <w:rFonts w:ascii="Arial" w:cs="Arial" w:eastAsia="Arial" w:hAnsi="Arial"/>
          <w:sz w:val="18"/>
          <w:szCs w:val="18"/>
          <w:color w:val="auto"/>
        </w:rPr>
        <w:t>material acquisitions or investments. See the section titled “Use</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 Proceeds” for additional information.</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We have two classes of common stock: Class A common stock</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and Class B common stock. Class A common stock is entitled</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to one vote per share and Class B common stock is entitled</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to            votes per share and is convertible at any time into</w:t>
            </w:r>
          </w:p>
        </w:tc>
      </w:tr>
      <w:tr>
        <w:trPr>
          <w:trHeight w:val="239"/>
        </w:trPr>
        <w:tc>
          <w:tcPr>
            <w:tcW w:w="3780" w:type="dxa"/>
            <w:vAlign w:val="bottom"/>
          </w:tcPr>
          <w:p>
            <w:pPr>
              <w:spacing w:after="0"/>
              <w:rPr>
                <w:sz w:val="20"/>
                <w:szCs w:val="20"/>
                <w:color w:val="auto"/>
              </w:rPr>
            </w:pP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one share of Class A common stock.</w:t>
            </w:r>
          </w:p>
        </w:tc>
      </w:tr>
      <w:tr>
        <w:trPr>
          <w:trHeight w:val="234"/>
        </w:trPr>
        <w:tc>
          <w:tcPr>
            <w:tcW w:w="3780" w:type="dxa"/>
            <w:vAlign w:val="bottom"/>
          </w:tcPr>
          <w:p>
            <w:pPr>
              <w:spacing w:after="0"/>
              <w:rPr>
                <w:sz w:val="20"/>
                <w:szCs w:val="20"/>
                <w:color w:val="auto"/>
              </w:rPr>
            </w:pP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Holders of Class A common stock and Class B common stock</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will generally vote together as a single class, unless otherwise</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required by law or our amended and restated certificate of</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incorporation that will be in effect immediately prior to the</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closing of this offering. Once this offering is completed, the</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holders of our outstanding Class B common stock will hold</w:t>
            </w:r>
          </w:p>
        </w:tc>
      </w:tr>
      <w:tr>
        <w:trPr>
          <w:trHeight w:val="203"/>
        </w:trPr>
        <w:tc>
          <w:tcPr>
            <w:tcW w:w="3780" w:type="dxa"/>
            <w:vAlign w:val="bottom"/>
          </w:tcPr>
          <w:p>
            <w:pPr>
              <w:spacing w:after="0"/>
              <w:rPr>
                <w:sz w:val="17"/>
                <w:szCs w:val="17"/>
                <w:color w:val="auto"/>
              </w:rPr>
            </w:pPr>
          </w:p>
        </w:tc>
        <w:tc>
          <w:tcPr>
            <w:tcW w:w="3180" w:type="dxa"/>
            <w:vAlign w:val="bottom"/>
          </w:tcPr>
          <w:p>
            <w:pPr>
              <w:ind w:left="194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   % of our outstanding shares and control</w:t>
            </w:r>
          </w:p>
        </w:tc>
      </w:tr>
      <w:tr>
        <w:trPr>
          <w:trHeight w:val="203"/>
        </w:trPr>
        <w:tc>
          <w:tcPr>
            <w:tcW w:w="3780" w:type="dxa"/>
            <w:vAlign w:val="bottom"/>
          </w:tcPr>
          <w:p>
            <w:pPr>
              <w:spacing w:after="0"/>
              <w:rPr>
                <w:sz w:val="17"/>
                <w:szCs w:val="17"/>
                <w:color w:val="auto"/>
              </w:rPr>
            </w:pPr>
          </w:p>
        </w:tc>
        <w:tc>
          <w:tcPr>
            <w:tcW w:w="3180" w:type="dxa"/>
            <w:vAlign w:val="bottom"/>
          </w:tcPr>
          <w:p>
            <w:pPr>
              <w:ind w:left="194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   % of the voting power of our outstanding</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shares, and our executive officers, directors, and stockholders</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holding more than 5% of our outstanding shares, together with</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their affiliates, will beneficially own, in the aggregate,</w:t>
            </w:r>
          </w:p>
        </w:tc>
      </w:tr>
      <w:tr>
        <w:trPr>
          <w:trHeight w:val="203"/>
        </w:trPr>
        <w:tc>
          <w:tcPr>
            <w:tcW w:w="3780" w:type="dxa"/>
            <w:vAlign w:val="bottom"/>
          </w:tcPr>
          <w:p>
            <w:pPr>
              <w:spacing w:after="0"/>
              <w:rPr>
                <w:sz w:val="17"/>
                <w:szCs w:val="17"/>
                <w:color w:val="auto"/>
              </w:rPr>
            </w:pPr>
          </w:p>
        </w:tc>
        <w:tc>
          <w:tcPr>
            <w:tcW w:w="3180" w:type="dxa"/>
            <w:vAlign w:val="bottom"/>
          </w:tcPr>
          <w:p>
            <w:pPr>
              <w:ind w:left="194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   % of our outstanding shares and control</w:t>
            </w:r>
          </w:p>
        </w:tc>
      </w:tr>
      <w:tr>
        <w:trPr>
          <w:trHeight w:val="203"/>
        </w:trPr>
        <w:tc>
          <w:tcPr>
            <w:tcW w:w="3780" w:type="dxa"/>
            <w:vAlign w:val="bottom"/>
          </w:tcPr>
          <w:p>
            <w:pPr>
              <w:spacing w:after="0"/>
              <w:rPr>
                <w:sz w:val="17"/>
                <w:szCs w:val="17"/>
                <w:color w:val="auto"/>
              </w:rPr>
            </w:pPr>
          </w:p>
        </w:tc>
        <w:tc>
          <w:tcPr>
            <w:tcW w:w="3180" w:type="dxa"/>
            <w:vAlign w:val="bottom"/>
          </w:tcPr>
          <w:p>
            <w:pPr>
              <w:ind w:left="194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700" w:type="dxa"/>
            <w:vAlign w:val="bottom"/>
          </w:tcPr>
          <w:p>
            <w:pPr>
              <w:ind w:left="60"/>
              <w:spacing w:after="0" w:line="202" w:lineRule="exact"/>
              <w:rPr>
                <w:sz w:val="20"/>
                <w:szCs w:val="20"/>
                <w:color w:val="auto"/>
              </w:rPr>
            </w:pPr>
            <w:r>
              <w:rPr>
                <w:rFonts w:ascii="Arial" w:cs="Arial" w:eastAsia="Arial" w:hAnsi="Arial"/>
                <w:sz w:val="18"/>
                <w:szCs w:val="18"/>
                <w:color w:val="auto"/>
              </w:rPr>
              <w:t>   % of the voting power of our outstanding</w:t>
            </w:r>
          </w:p>
        </w:tc>
      </w:tr>
      <w:tr>
        <w:trPr>
          <w:trHeight w:val="239"/>
        </w:trPr>
        <w:tc>
          <w:tcPr>
            <w:tcW w:w="3780" w:type="dxa"/>
            <w:vAlign w:val="bottom"/>
          </w:tcPr>
          <w:p>
            <w:pPr>
              <w:spacing w:after="0"/>
              <w:rPr>
                <w:sz w:val="20"/>
                <w:szCs w:val="20"/>
                <w:color w:val="auto"/>
              </w:rPr>
            </w:pPr>
          </w:p>
        </w:tc>
        <w:tc>
          <w:tcPr>
            <w:tcW w:w="3180" w:type="dxa"/>
            <w:vAlign w:val="bottom"/>
          </w:tcPr>
          <w:p>
            <w:pPr>
              <w:ind w:left="19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4"/>
        </w:trPr>
        <w:tc>
          <w:tcPr>
            <w:tcW w:w="3780" w:type="dxa"/>
            <w:vAlign w:val="bottom"/>
          </w:tcPr>
          <w:p>
            <w:pPr>
              <w:spacing w:after="0"/>
              <w:rPr>
                <w:sz w:val="20"/>
                <w:szCs w:val="20"/>
                <w:color w:val="auto"/>
              </w:rPr>
            </w:pP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The holders of our outstanding Class B common stock will have</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the ability to control the outcome of matters submitted to our</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stockholders for approval, including the election of our directors</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and the approval of any change in control transaction. See the</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sections titled “Principal Stockholders” and “Description of</w:t>
            </w:r>
          </w:p>
        </w:tc>
      </w:tr>
      <w:tr>
        <w:trPr>
          <w:trHeight w:val="239"/>
        </w:trPr>
        <w:tc>
          <w:tcPr>
            <w:tcW w:w="3780" w:type="dxa"/>
            <w:vAlign w:val="bottom"/>
          </w:tcPr>
          <w:p>
            <w:pPr>
              <w:spacing w:after="0"/>
              <w:rPr>
                <w:sz w:val="20"/>
                <w:szCs w:val="20"/>
                <w:color w:val="auto"/>
              </w:rPr>
            </w:pP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Capital Stock” for additional information.</w:t>
            </w:r>
          </w:p>
        </w:tc>
      </w:tr>
      <w:tr>
        <w:trPr>
          <w:trHeight w:val="234"/>
        </w:trPr>
        <w:tc>
          <w:tcPr>
            <w:tcW w:w="37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See the section titled “Risk Factors” and the other information</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included elsewhere in this prospectus for a discussion of factors</w:t>
            </w:r>
          </w:p>
        </w:tc>
      </w:tr>
      <w:tr>
        <w:trPr>
          <w:trHeight w:val="203"/>
        </w:trPr>
        <w:tc>
          <w:tcPr>
            <w:tcW w:w="3780" w:type="dxa"/>
            <w:vAlign w:val="bottom"/>
          </w:tcPr>
          <w:p>
            <w:pPr>
              <w:spacing w:after="0"/>
              <w:rPr>
                <w:sz w:val="17"/>
                <w:szCs w:val="17"/>
                <w:color w:val="auto"/>
              </w:rPr>
            </w:pPr>
          </w:p>
        </w:tc>
        <w:tc>
          <w:tcPr>
            <w:tcW w:w="7240" w:type="dxa"/>
            <w:vAlign w:val="bottom"/>
            <w:gridSpan w:val="4"/>
          </w:tcPr>
          <w:p>
            <w:pPr>
              <w:ind w:left="1940"/>
              <w:spacing w:after="0" w:line="202" w:lineRule="exact"/>
              <w:rPr>
                <w:sz w:val="20"/>
                <w:szCs w:val="20"/>
                <w:color w:val="auto"/>
              </w:rPr>
            </w:pPr>
            <w:r>
              <w:rPr>
                <w:rFonts w:ascii="Arial" w:cs="Arial" w:eastAsia="Arial" w:hAnsi="Arial"/>
                <w:sz w:val="18"/>
                <w:szCs w:val="18"/>
                <w:color w:val="auto"/>
              </w:rPr>
              <w:t>you should carefully consider before deciding to invest in our</w:t>
            </w:r>
          </w:p>
        </w:tc>
      </w:tr>
      <w:tr>
        <w:trPr>
          <w:trHeight w:val="239"/>
        </w:trPr>
        <w:tc>
          <w:tcPr>
            <w:tcW w:w="3780" w:type="dxa"/>
            <w:vAlign w:val="bottom"/>
          </w:tcPr>
          <w:p>
            <w:pPr>
              <w:spacing w:after="0"/>
              <w:rPr>
                <w:sz w:val="20"/>
                <w:szCs w:val="20"/>
                <w:color w:val="auto"/>
              </w:rPr>
            </w:pPr>
          </w:p>
        </w:tc>
        <w:tc>
          <w:tcPr>
            <w:tcW w:w="7240" w:type="dxa"/>
            <w:vAlign w:val="bottom"/>
            <w:gridSpan w:val="4"/>
          </w:tcPr>
          <w:p>
            <w:pPr>
              <w:ind w:left="1940"/>
              <w:spacing w:after="0"/>
              <w:rPr>
                <w:sz w:val="20"/>
                <w:szCs w:val="20"/>
                <w:color w:val="auto"/>
              </w:rPr>
            </w:pPr>
            <w:r>
              <w:rPr>
                <w:rFonts w:ascii="Arial" w:cs="Arial" w:eastAsia="Arial" w:hAnsi="Arial"/>
                <w:sz w:val="18"/>
                <w:szCs w:val="18"/>
                <w:color w:val="auto"/>
              </w:rPr>
              <w:t>Class A common stock.</w:t>
            </w:r>
          </w:p>
        </w:tc>
      </w:tr>
      <w:tr>
        <w:trPr>
          <w:trHeight w:val="270"/>
        </w:trPr>
        <w:tc>
          <w:tcPr>
            <w:tcW w:w="3780" w:type="dxa"/>
            <w:vAlign w:val="bottom"/>
          </w:tcPr>
          <w:p>
            <w:pPr>
              <w:ind w:left="180"/>
              <w:spacing w:after="0"/>
              <w:rPr>
                <w:sz w:val="20"/>
                <w:szCs w:val="20"/>
                <w:color w:val="auto"/>
              </w:rPr>
            </w:pPr>
            <w:r>
              <w:rPr>
                <w:rFonts w:ascii="Arial" w:cs="Arial" w:eastAsia="Arial" w:hAnsi="Arial"/>
                <w:sz w:val="18"/>
                <w:szCs w:val="18"/>
                <w:color w:val="auto"/>
              </w:rPr>
              <w:t>Proposed trading symbol</w:t>
            </w:r>
          </w:p>
        </w:tc>
        <w:tc>
          <w:tcPr>
            <w:tcW w:w="3180" w:type="dxa"/>
            <w:vAlign w:val="bottom"/>
          </w:tcPr>
          <w:p>
            <w:pPr>
              <w:ind w:left="1940"/>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155"/>
        </w:trPr>
        <w:tc>
          <w:tcPr>
            <w:tcW w:w="37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r>
        <w:trPr>
          <w:trHeight w:val="365"/>
        </w:trPr>
        <w:tc>
          <w:tcPr>
            <w:tcW w:w="3780" w:type="dxa"/>
            <w:vAlign w:val="bottom"/>
          </w:tcPr>
          <w:p>
            <w:pPr>
              <w:spacing w:after="0"/>
              <w:rPr>
                <w:sz w:val="24"/>
                <w:szCs w:val="24"/>
                <w:color w:val="auto"/>
              </w:rPr>
            </w:pPr>
          </w:p>
        </w:tc>
        <w:tc>
          <w:tcPr>
            <w:tcW w:w="3180" w:type="dxa"/>
            <w:vAlign w:val="bottom"/>
          </w:tcPr>
          <w:p>
            <w:pPr>
              <w:ind w:left="16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27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532"/>
        <w:spacing w:after="0" w:line="242" w:lineRule="auto"/>
        <w:rPr>
          <w:sz w:val="20"/>
          <w:szCs w:val="20"/>
          <w:color w:val="auto"/>
        </w:rPr>
      </w:pPr>
      <w:r>
        <w:rPr>
          <w:rFonts w:ascii="Arial" w:cs="Arial" w:eastAsia="Arial" w:hAnsi="Arial"/>
          <w:sz w:val="18"/>
          <w:szCs w:val="18"/>
          <w:color w:val="auto"/>
        </w:rPr>
        <w:t xml:space="preserve">The number of shares of our Class A common stock and Class B common stock that will be outstanding immediately after the closing of this offering is based on no shares of our Class A common stock and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shares of our Class B common stock (including shares of our redeemable convertible preferred stock on an as-converted basis and after giving effect to the RSU Net Settlement, after withholding shares to satisfy estimated tax withholding and remittance obligations of $ million (based on the assumed initial offering price set forth on the cover page of this prospectus, and an assumed % tax withholding rate)) outstanding as of         , 2025, and excludes:</w:t>
      </w:r>
    </w:p>
    <w:p>
      <w:pPr>
        <w:spacing w:after="0" w:line="84" w:lineRule="exact"/>
        <w:rPr>
          <w:sz w:val="20"/>
          <w:szCs w:val="20"/>
          <w:color w:val="auto"/>
        </w:rPr>
      </w:pPr>
    </w:p>
    <w:p>
      <w:pPr>
        <w:jc w:val="both"/>
        <w:ind w:left="1020" w:right="400" w:hanging="199"/>
        <w:spacing w:after="0" w:line="253" w:lineRule="auto"/>
        <w:tabs>
          <w:tab w:leader="none" w:pos="1000" w:val="left"/>
        </w:tabs>
        <w:rPr>
          <w:sz w:val="20"/>
          <w:szCs w:val="20"/>
          <w:color w:val="auto"/>
        </w:rPr>
      </w:pPr>
      <w:r>
        <w:rPr>
          <w:rFonts w:ascii="Arial" w:cs="Arial" w:eastAsia="Arial" w:hAnsi="Arial"/>
          <w:sz w:val="18"/>
          <w:szCs w:val="18"/>
          <w:color w:val="auto"/>
        </w:rPr>
        <w:t>•</w:t>
        <w:tab/>
        <w:t>        shares of Class B common stock issuable upon the exercise of stock options outstanding as of        , 2025 under our Amended and Restated 2016 Equity Incentive Plan, or 2016 Plan, with a weighted-average exercise price of $        per share;</w:t>
      </w:r>
    </w:p>
    <w:p>
      <w:pPr>
        <w:spacing w:after="0" w:line="74" w:lineRule="exact"/>
        <w:rPr>
          <w:sz w:val="20"/>
          <w:szCs w:val="20"/>
          <w:color w:val="auto"/>
        </w:rPr>
      </w:pPr>
    </w:p>
    <w:p>
      <w:pPr>
        <w:ind w:left="102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shares of Class B common stock issuable upon the vesting and settlement of restricted stock units, or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w:t>
      </w:r>
    </w:p>
    <w:p>
      <w:pPr>
        <w:spacing w:after="0" w:line="79" w:lineRule="exact"/>
        <w:rPr>
          <w:sz w:val="20"/>
          <w:szCs w:val="20"/>
          <w:color w:val="auto"/>
        </w:rPr>
      </w:pPr>
    </w:p>
    <w:p>
      <w:pPr>
        <w:jc w:val="both"/>
        <w:ind w:left="1020" w:right="200" w:hanging="199"/>
        <w:spacing w:after="0" w:line="253" w:lineRule="auto"/>
        <w:tabs>
          <w:tab w:leader="none" w:pos="1000" w:val="left"/>
        </w:tabs>
        <w:rPr>
          <w:sz w:val="20"/>
          <w:szCs w:val="20"/>
          <w:color w:val="auto"/>
        </w:rPr>
      </w:pPr>
      <w:r>
        <w:rPr>
          <w:rFonts w:ascii="Arial" w:cs="Arial" w:eastAsia="Arial" w:hAnsi="Arial"/>
          <w:sz w:val="18"/>
          <w:szCs w:val="18"/>
          <w:color w:val="auto"/>
        </w:rPr>
        <w:t>•</w:t>
        <w:tab/>
        <w:t>        shares of Class B common stock reserved for future issuance under our 2016 Plan as of        , 2025, which shares will cease to be available for issuance upon the effectiveness of the registration statement of which this prospectus forms a part;</w:t>
      </w:r>
    </w:p>
    <w:p>
      <w:pPr>
        <w:spacing w:after="0" w:line="7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shares of our Class B common stock issuable upon the exercise of outstanding warrants to purchase Class B</w:t>
      </w:r>
    </w:p>
    <w:p>
      <w:pPr>
        <w:spacing w:after="0" w:line="14" w:lineRule="exact"/>
        <w:rPr>
          <w:sz w:val="20"/>
          <w:szCs w:val="20"/>
          <w:color w:val="auto"/>
        </w:rPr>
      </w:pPr>
    </w:p>
    <w:p>
      <w:pPr>
        <w:ind w:left="1020"/>
        <w:spacing w:after="0"/>
        <w:tabs>
          <w:tab w:leader="none" w:pos="3360" w:val="left"/>
        </w:tabs>
        <w:rPr>
          <w:sz w:val="20"/>
          <w:szCs w:val="20"/>
          <w:color w:val="auto"/>
        </w:rPr>
      </w:pPr>
      <w:r>
        <w:rPr>
          <w:rFonts w:ascii="Arial" w:cs="Arial" w:eastAsia="Arial" w:hAnsi="Arial"/>
          <w:sz w:val="18"/>
          <w:szCs w:val="18"/>
          <w:color w:val="auto"/>
        </w:rPr>
        <w:t xml:space="preserve">common stock as of          </w:t>
        <w:tab/>
        <w:t>, 2025, with a weighted-average exercise price of $            per share;</w:t>
      </w:r>
    </w:p>
    <w:p>
      <w:pPr>
        <w:spacing w:after="0" w:line="99" w:lineRule="exact"/>
        <w:rPr>
          <w:sz w:val="20"/>
          <w:szCs w:val="20"/>
          <w:color w:val="auto"/>
        </w:rPr>
      </w:pPr>
    </w:p>
    <w:p>
      <w:pPr>
        <w:ind w:left="1020" w:right="120" w:hanging="195"/>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shares of Class A common stock reserved for issuance under our 2025 Equity Incentive Plan, or 2025 Plan, plus any future increases in the number of shares of Class A common stock reserved for issuance thereunder, as more fully described in the section titled “Executive Compensation—Employee Benefit and Stock Plans—2025 Equity Incentive Plan,” which will become available for issuance upon the effectiveness of the registration statement of which this prospectus is a part; and</w:t>
      </w:r>
    </w:p>
    <w:p>
      <w:pPr>
        <w:spacing w:after="0" w:line="81" w:lineRule="exact"/>
        <w:rPr>
          <w:rFonts w:ascii="Arial" w:cs="Arial" w:eastAsia="Arial" w:hAnsi="Arial"/>
          <w:sz w:val="18"/>
          <w:szCs w:val="18"/>
          <w:color w:val="auto"/>
        </w:rPr>
      </w:pPr>
    </w:p>
    <w:p>
      <w:pPr>
        <w:ind w:left="1020" w:right="260" w:hanging="195"/>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shares of Class A common stock reserved for issuance under our 2025 Employee Stock Purchase Plan, or 2025 ESPP, plus any future increases in the number of shares of Class A common stock reserved for issuance thereunder, as more fully described in the section titled “Executive Compensation—Employee Benefit and Stock Plans—2025 Employee Stock Purchase Plans,” which will become available for issuance upon the effectiveness of the registration statement of which this prospectus is a part.</w:t>
      </w:r>
    </w:p>
    <w:p>
      <w:pPr>
        <w:spacing w:after="0" w:line="176" w:lineRule="exact"/>
        <w:rPr>
          <w:sz w:val="20"/>
          <w:szCs w:val="20"/>
          <w:color w:val="auto"/>
        </w:rPr>
      </w:pPr>
    </w:p>
    <w:p>
      <w:pPr>
        <w:ind w:left="300" w:right="140" w:firstLine="532"/>
        <w:spacing w:after="0" w:line="271" w:lineRule="auto"/>
        <w:rPr>
          <w:sz w:val="20"/>
          <w:szCs w:val="20"/>
          <w:color w:val="auto"/>
        </w:rPr>
      </w:pPr>
      <w:r>
        <w:rPr>
          <w:rFonts w:ascii="Arial" w:cs="Arial" w:eastAsia="Arial" w:hAnsi="Arial"/>
          <w:sz w:val="18"/>
          <w:szCs w:val="18"/>
          <w:color w:val="auto"/>
        </w:rPr>
        <w:t>Our 2025 Plan and 2025 ESPP provide for annual automatic increases in the number of shares reserved thereunder. See the section titled “Executive Compensation—Employee Benefit and Stock Plans” for additional information.</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17" w:lineRule="exact"/>
        <w:rPr>
          <w:sz w:val="20"/>
          <w:szCs w:val="20"/>
          <w:color w:val="auto"/>
        </w:rPr>
      </w:pPr>
    </w:p>
    <w:p>
      <w:pPr>
        <w:ind w:left="1020" w:right="180" w:hanging="195"/>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reclassification of our common stock into Class B common stock and the authorization of our Class A common stock in connection with this offering;</w:t>
      </w:r>
    </w:p>
    <w:p>
      <w:pPr>
        <w:spacing w:after="0" w:line="59" w:lineRule="exact"/>
        <w:rPr>
          <w:rFonts w:ascii="Arial" w:cs="Arial" w:eastAsia="Arial" w:hAnsi="Arial"/>
          <w:sz w:val="18"/>
          <w:szCs w:val="18"/>
          <w:color w:val="auto"/>
        </w:rPr>
      </w:pPr>
    </w:p>
    <w:p>
      <w:pPr>
        <w:ind w:left="1020" w:right="120" w:hanging="195"/>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shares of our redeemable convertible preferred stock outstanding as of        , 2025 into        shares of Class B common stock immediately prior to the closing of this offering;</w:t>
      </w: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304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3304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320" w:hanging="195"/>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closing of this offering;</w:t>
      </w:r>
    </w:p>
    <w:p>
      <w:pPr>
        <w:spacing w:after="0" w:line="59" w:lineRule="exact"/>
        <w:rPr>
          <w:rFonts w:ascii="Arial" w:cs="Arial" w:eastAsia="Arial" w:hAnsi="Arial"/>
          <w:sz w:val="18"/>
          <w:szCs w:val="18"/>
          <w:color w:val="auto"/>
        </w:rPr>
      </w:pPr>
    </w:p>
    <w:p>
      <w:pPr>
        <w:ind w:left="1020" w:right="20" w:hanging="195"/>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issuance of        shares of Class B common stock in connection with the vesting and settlement of certain RSUs outstanding as of the date of this prospectus subject to service-based and/or liquidity event-based conditions, for which</w:t>
      </w:r>
    </w:p>
    <w:p>
      <w:pPr>
        <w:ind w:left="1020"/>
        <w:spacing w:after="0" w:line="234" w:lineRule="auto"/>
        <w:rPr>
          <w:rFonts w:ascii="Arial" w:cs="Arial" w:eastAsia="Arial" w:hAnsi="Arial"/>
          <w:sz w:val="18"/>
          <w:szCs w:val="18"/>
          <w:color w:val="auto"/>
        </w:rPr>
      </w:pPr>
      <w:r>
        <w:rPr>
          <w:rFonts w:ascii="Arial" w:cs="Arial" w:eastAsia="Arial" w:hAnsi="Arial"/>
          <w:sz w:val="18"/>
          <w:szCs w:val="18"/>
          <w:color w:val="auto"/>
        </w:rPr>
        <w:t>(i) the service-based condition was fully or partially satisfied as of such date and (ii) the liquidity event-based condition, if applicable, will be satisfied upon the effectiveness of the registration statement of which this prospectus forms a part (which we refer to as the IPO Vesting RSUs), after giving effect to the withholding of        shares of our Class B common stock to satisfy the associated estimated tax withholding and remittance obligations (based on the assumed initial public offering price of $        per share, the midpoint of the price range set forth on the cover page of this prospectus, and an</w:t>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assumed            % tax withholding rate), which we refer to as the RSU Net Settlement;</w:t>
      </w:r>
    </w:p>
    <w:p>
      <w:pPr>
        <w:spacing w:after="0" w:line="99" w:lineRule="exact"/>
        <w:rPr>
          <w:sz w:val="20"/>
          <w:szCs w:val="20"/>
          <w:color w:val="auto"/>
        </w:rPr>
      </w:pPr>
    </w:p>
    <w:p>
      <w:pPr>
        <w:ind w:left="1020" w:right="20" w:hanging="195"/>
        <w:spacing w:after="0" w:line="27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or forfeitures of outstanding stock options and, except as described above, no settlement of outstanding RSUs; and</w:t>
      </w:r>
    </w:p>
    <w:p>
      <w:pPr>
        <w:spacing w:after="0" w:line="59" w:lineRule="exact"/>
        <w:rPr>
          <w:sz w:val="20"/>
          <w:szCs w:val="20"/>
          <w:color w:val="auto"/>
        </w:rPr>
      </w:pPr>
    </w:p>
    <w:p>
      <w:pPr>
        <w:ind w:left="1020" w:right="20" w:hanging="199"/>
        <w:spacing w:after="0" w:line="271" w:lineRule="auto"/>
        <w:tabs>
          <w:tab w:leader="none" w:pos="1000" w:val="left"/>
        </w:tabs>
        <w:rPr>
          <w:sz w:val="20"/>
          <w:szCs w:val="20"/>
          <w:color w:val="auto"/>
        </w:rPr>
      </w:pPr>
      <w:r>
        <w:rPr>
          <w:rFonts w:ascii="Arial" w:cs="Arial" w:eastAsia="Arial" w:hAnsi="Arial"/>
          <w:sz w:val="18"/>
          <w:szCs w:val="18"/>
          <w:color w:val="auto"/>
        </w:rPr>
        <w:t>•</w:t>
        <w:tab/>
        <w:t>no exercise by the underwriters of their option to purchase up to an additional        shares of our Class A common stock in this offering.</w:t>
      </w:r>
    </w:p>
    <w:p>
      <w:pPr>
        <w:spacing w:after="0" w:line="15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The assumed        % tax withholding rate used in this prospectus is an assumed blended withholding rate for the IPO Vesting RSUs that are subject to withholding in the RSU Net Settlement. A portion of the IPO Vesting RSUs that will settle as part of the RSU Net Settlement are not subject to tax withholding obligations.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 date of this prospectus, and actual tax withholding rates. In addition, information in this prospectus relating to RSUs outstanding as of the date of this prospectus reflect estimated forfeitures through        , 2025.</w:t>
      </w:r>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320" w:top="455" w:right="7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58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1658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12"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2023 and 2024 (except for pro forma net loss per share attributable to common stockholders and weighted-average shares used to compute pro forma net loss per share attributable to common stockholders) from our audited consolidated financial statements included elsewhere in this prospectus. Our historical results are not necessarily indicative of the results to be expected for any future period, and our interim results are not necessarily indicative of results to be expected for the full year or any other period. When you read this summary of consolidated financial and other data, it is important that you read it together with the historical consolidated financial statements and the related notes included elsewhere in this prospectus, as well as the sections titled “Risk Factors,” “Capitalization,” and “Management’s Discussion and Analysis of Financial Condition and Results of Operations.”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27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center"/>
              <w:ind w:right="31"/>
              <w:spacing w:after="0" w:line="147" w:lineRule="exact"/>
              <w:rPr>
                <w:sz w:val="20"/>
                <w:szCs w:val="20"/>
                <w:color w:val="auto"/>
              </w:rPr>
            </w:pPr>
            <w:r>
              <w:rPr>
                <w:rFonts w:ascii="Arial" w:cs="Arial" w:eastAsia="Arial" w:hAnsi="Arial"/>
                <w:sz w:val="14"/>
                <w:szCs w:val="14"/>
                <w:b w:val="1"/>
                <w:bCs w:val="1"/>
                <w:color w:val="auto"/>
              </w:rPr>
              <w:t>(in thousands, except 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Commission</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2"/>
              </w:rPr>
              <w:t>  159,754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2"/>
              </w:rPr>
              <w:t>  254,926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159,754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254,926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line="202" w:lineRule="exact"/>
              <w:rPr>
                <w:sz w:val="20"/>
                <w:szCs w:val="20"/>
                <w:color w:val="auto"/>
              </w:rPr>
            </w:pPr>
            <w:r>
              <w:rPr>
                <w:rFonts w:ascii="Arial" w:cs="Arial" w:eastAsia="Arial" w:hAnsi="Arial"/>
                <w:sz w:val="16"/>
                <w:szCs w:val="16"/>
                <w:color w:val="auto"/>
              </w:rPr>
              <w:t>Costs and expenses</w:t>
            </w:r>
            <w:r>
              <w:rPr>
                <w:rFonts w:ascii="Arial" w:cs="Arial" w:eastAsia="Arial" w:hAnsi="Arial"/>
                <w:sz w:val="23"/>
                <w:szCs w:val="23"/>
                <w:color w:val="auto"/>
                <w:vertAlign w:val="superscript"/>
              </w:rPr>
              <w:t>(1)</w:t>
            </w: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22,417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Technology (exclusive of amortization)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22,288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 (loss) on marketable securities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line="202" w:lineRule="exact"/>
              <w:rPr>
                <w:sz w:val="20"/>
                <w:szCs w:val="20"/>
                <w:color w:val="auto"/>
              </w:rPr>
            </w:pPr>
            <w:r>
              <w:rPr>
                <w:rFonts w:ascii="Arial" w:cs="Arial" w:eastAsia="Arial" w:hAnsi="Arial"/>
                <w:sz w:val="18"/>
                <w:szCs w:val="18"/>
                <w:color w:val="auto"/>
              </w:rPr>
              <w:t>Unrealized foreign currency translation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comprehensive income (loss)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Net other comprehensive income</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6"/>
                <w:szCs w:val="16"/>
                <w:color w:val="auto"/>
              </w:rPr>
              <w:t>Basic net income per share</w:t>
            </w:r>
            <w:r>
              <w:rPr>
                <w:rFonts w:ascii="Arial" w:cs="Arial" w:eastAsia="Arial" w:hAnsi="Arial"/>
                <w:sz w:val="23"/>
                <w:szCs w:val="23"/>
                <w:color w:val="auto"/>
                <w:vertAlign w:val="superscript"/>
              </w:rPr>
              <w:t>(2)</w:t>
            </w:r>
          </w:p>
        </w:tc>
        <w:tc>
          <w:tcPr>
            <w:tcW w:w="3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Diluted net income per share</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Pr>
          <w:p>
            <w:pPr>
              <w:ind w:left="340"/>
              <w:spacing w:after="0" w:line="210" w:lineRule="exact"/>
              <w:rPr>
                <w:sz w:val="20"/>
                <w:szCs w:val="20"/>
                <w:color w:val="auto"/>
              </w:rPr>
            </w:pPr>
            <w:r>
              <w:rPr>
                <w:rFonts w:ascii="Arial" w:cs="Arial" w:eastAsia="Arial" w:hAnsi="Arial"/>
                <w:sz w:val="17"/>
                <w:szCs w:val="17"/>
                <w:color w:val="auto"/>
              </w:rPr>
              <w:t>Weighted-average shares used in computing basic net income per share</w:t>
            </w:r>
            <w:r>
              <w:rPr>
                <w:rFonts w:ascii="Arial" w:cs="Arial" w:eastAsia="Arial" w:hAnsi="Arial"/>
                <w:sz w:val="24"/>
                <w:szCs w:val="24"/>
                <w:color w:val="auto"/>
                <w:vertAlign w:val="superscript"/>
              </w:rPr>
              <w:t>(2)</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Weighted-average shares used in computing diluted net income per share</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383,063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Pr>
          <w:p>
            <w:pPr>
              <w:ind w:left="340"/>
              <w:spacing w:after="0" w:line="210" w:lineRule="exact"/>
              <w:rPr>
                <w:sz w:val="20"/>
                <w:szCs w:val="20"/>
                <w:color w:val="auto"/>
              </w:rPr>
            </w:pPr>
            <w:r>
              <w:rPr>
                <w:rFonts w:ascii="Arial" w:cs="Arial" w:eastAsia="Arial" w:hAnsi="Arial"/>
                <w:sz w:val="17"/>
                <w:szCs w:val="17"/>
                <w:color w:val="auto"/>
              </w:rPr>
              <w:t>Pro forma net loss per share, basic and diluted (unaudited)</w:t>
            </w:r>
            <w:r>
              <w:rPr>
                <w:rFonts w:ascii="Arial" w:cs="Arial" w:eastAsia="Arial" w:hAnsi="Arial"/>
                <w:sz w:val="24"/>
                <w:szCs w:val="24"/>
                <w:color w:val="auto"/>
                <w:vertAlign w:val="superscript"/>
              </w:rPr>
              <w:t>(3)</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8"/>
          <w:szCs w:val="18"/>
          <w:color w:val="auto"/>
        </w:rPr>
        <w:t>(unaudited)</w:t>
      </w:r>
      <w:r>
        <w:rPr>
          <w:rFonts w:ascii="Arial" w:cs="Arial" w:eastAsia="Arial" w:hAnsi="Arial"/>
          <w:sz w:val="26"/>
          <w:szCs w:val="26"/>
          <w:color w:val="auto"/>
          <w:vertAlign w:val="superscript"/>
        </w:rPr>
        <w:t>(3)</w:t>
      </w:r>
    </w:p>
    <w:p>
      <w:pPr>
        <w:spacing w:after="0" w:line="102"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Amounts include stock-based compensation expense as follows: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01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61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2023</w:t>
            </w:r>
          </w:p>
        </w:tc>
        <w:tc>
          <w:tcPr>
            <w:tcW w:w="8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r>
      <w:tr>
        <w:trPr>
          <w:trHeight w:val="156"/>
        </w:trPr>
        <w:tc>
          <w:tcPr>
            <w:tcW w:w="61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20" w:type="dxa"/>
            <w:vAlign w:val="bottom"/>
            <w:gridSpan w:val="2"/>
          </w:tcPr>
          <w:p>
            <w:pPr>
              <w:jc w:val="right"/>
              <w:ind w:right="27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35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  507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687</w:t>
            </w: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5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2,003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35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1,097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7"/>
                <w:szCs w:val="17"/>
                <w:color w:val="auto"/>
              </w:rPr>
            </w:pPr>
          </w:p>
        </w:tc>
      </w:tr>
      <w:tr>
        <w:trPr>
          <w:trHeight w:val="239"/>
        </w:trPr>
        <w:tc>
          <w:tcPr>
            <w:tcW w:w="618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540" w:type="dxa"/>
            <w:vAlign w:val="bottom"/>
            <w:gridSpan w:val="2"/>
          </w:tcPr>
          <w:p>
            <w:pPr>
              <w:jc w:val="right"/>
              <w:ind w:right="208"/>
              <w:spacing w:after="0"/>
              <w:rPr>
                <w:sz w:val="20"/>
                <w:szCs w:val="20"/>
                <w:color w:val="auto"/>
              </w:rPr>
            </w:pPr>
            <w:r>
              <w:rPr>
                <w:rFonts w:ascii="Arial" w:cs="Arial" w:eastAsia="Arial" w:hAnsi="Arial"/>
                <w:sz w:val="18"/>
                <w:szCs w:val="18"/>
                <w:color w:val="auto"/>
              </w:rPr>
              <w:t>3,607</w:t>
            </w:r>
          </w:p>
        </w:tc>
        <w:tc>
          <w:tcPr>
            <w:tcW w:w="860" w:type="dxa"/>
            <w:vAlign w:val="bottom"/>
          </w:tcPr>
          <w:p>
            <w:pPr>
              <w:jc w:val="right"/>
              <w:spacing w:after="0"/>
              <w:rPr>
                <w:sz w:val="20"/>
                <w:szCs w:val="20"/>
                <w:color w:val="auto"/>
              </w:rPr>
            </w:pPr>
            <w:r>
              <w:rPr>
                <w:rFonts w:ascii="Arial" w:cs="Arial" w:eastAsia="Arial" w:hAnsi="Arial"/>
                <w:sz w:val="18"/>
                <w:szCs w:val="18"/>
                <w:color w:val="auto"/>
              </w:rPr>
              <w:t>3,166</w:t>
            </w:r>
          </w:p>
        </w:tc>
        <w:tc>
          <w:tcPr>
            <w:tcW w:w="60" w:type="dxa"/>
            <w:vAlign w:val="bottom"/>
          </w:tcPr>
          <w:p>
            <w:pPr>
              <w:spacing w:after="0"/>
              <w:rPr>
                <w:sz w:val="20"/>
                <w:szCs w:val="20"/>
                <w:color w:val="auto"/>
              </w:rPr>
            </w:pPr>
          </w:p>
        </w:tc>
      </w:tr>
    </w:tbl>
    <w:p>
      <w:pPr>
        <w:spacing w:after="0" w:line="188" w:lineRule="exact"/>
        <w:rPr>
          <w:sz w:val="20"/>
          <w:szCs w:val="20"/>
          <w:color w:val="auto"/>
        </w:rPr>
      </w:pPr>
    </w:p>
    <w:p>
      <w:pPr>
        <w:ind w:left="820" w:right="160" w:hanging="522"/>
        <w:spacing w:after="0" w:line="24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Notes 2 and 15 to our consolidated financial statements included elsewhere in this prospectus for an explanation of the method used to calculate our basic and diluted net income per share and the weighted-average number of shares used in the computation of the per share amounts.</w:t>
      </w:r>
    </w:p>
    <w:p>
      <w:pPr>
        <w:spacing w:after="0" w:line="1" w:lineRule="exact"/>
        <w:rPr>
          <w:rFonts w:ascii="Arial" w:cs="Arial" w:eastAsia="Arial" w:hAnsi="Arial"/>
          <w:sz w:val="18"/>
          <w:szCs w:val="18"/>
          <w:color w:val="auto"/>
        </w:rPr>
      </w:pPr>
    </w:p>
    <w:p>
      <w:pPr>
        <w:ind w:left="820" w:right="100" w:hanging="522"/>
        <w:spacing w:after="0" w:line="24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basic and diluted net loss per share for the year ended December 31, 2024 has been computed to give effect to the conversion of outstanding shares of redeemable convertible preferred stock and the RSU Net Settlement and related stock-based compensation expense.</w:t>
      </w:r>
    </w:p>
    <w:p>
      <w:pPr>
        <w:spacing w:after="0" w:line="17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The following table sets forth the computation of the pro forma basic and diluted net loss per share:</w:t>
      </w:r>
    </w:p>
    <w:p>
      <w:pPr>
        <w:spacing w:after="0" w:line="248"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p>
      <w:pPr>
        <w:ind w:left="9140"/>
        <w:spacing w:after="0"/>
        <w:tabs>
          <w:tab w:leader="none" w:pos="102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p>
    <w:p>
      <w:pPr>
        <w:spacing w:after="0" w:line="1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except per share</w:t>
      </w:r>
    </w:p>
    <w:p>
      <w:pPr>
        <w:jc w:val="center"/>
        <w:ind w:left="8580"/>
        <w:spacing w:after="0" w:line="234" w:lineRule="auto"/>
        <w:rPr>
          <w:sz w:val="20"/>
          <w:szCs w:val="20"/>
          <w:color w:val="auto"/>
        </w:rPr>
      </w:pPr>
      <w:r>
        <w:rPr>
          <w:rFonts w:ascii="Arial" w:cs="Arial" w:eastAsia="Arial" w:hAnsi="Arial"/>
          <w:sz w:val="14"/>
          <w:szCs w:val="14"/>
          <w:b w:val="1"/>
          <w:bCs w:val="1"/>
          <w:color w:val="auto"/>
        </w:rPr>
        <w:t>amounts)</w:t>
      </w:r>
    </w:p>
    <w:tbl>
      <w:tblPr>
        <w:tblLayout w:type="fixed"/>
        <w:tblInd w:w="3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3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1,689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6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w w:val="94"/>
              </w:rPr>
              <w:t>48,832</w:t>
            </w: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 (RSUs)</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6340" w:type="dxa"/>
            <w:vAlign w:val="bottom"/>
            <w:gridSpan w:val="2"/>
          </w:tcPr>
          <w:p>
            <w:pPr>
              <w:spacing w:after="0"/>
              <w:rPr>
                <w:sz w:val="20"/>
                <w:szCs w:val="20"/>
                <w:color w:val="auto"/>
              </w:rPr>
            </w:pPr>
            <w:r>
              <w:rPr>
                <w:rFonts w:ascii="Arial" w:cs="Arial" w:eastAsia="Arial" w:hAnsi="Arial"/>
                <w:sz w:val="18"/>
                <w:szCs w:val="18"/>
                <w:color w:val="auto"/>
              </w:rPr>
              <w:t>Pro forma net loss, basic and diluted</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Weighted-average shares used in computing net income per share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 for RSU Net Settlement</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Adjustment for Redeemable Convertible Preferred Stock Conversion</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2"/>
        </w:trPr>
        <w:tc>
          <w:tcPr>
            <w:tcW w:w="6340" w:type="dxa"/>
            <w:vAlign w:val="bottom"/>
            <w:gridSpan w:val="2"/>
          </w:tcPr>
          <w:p>
            <w:pPr>
              <w:spacing w:after="0"/>
              <w:rPr>
                <w:sz w:val="20"/>
                <w:szCs w:val="20"/>
                <w:color w:val="auto"/>
              </w:rPr>
            </w:pPr>
            <w:r>
              <w:rPr>
                <w:rFonts w:ascii="Arial" w:cs="Arial" w:eastAsia="Arial" w:hAnsi="Arial"/>
                <w:sz w:val="18"/>
                <w:szCs w:val="18"/>
                <w:color w:val="auto"/>
              </w:rPr>
              <w:t>Pro forma net loss per share, basic and diluted</w:t>
            </w: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ind w:right="47"/>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2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Borders>
              <w:bottom w:val="single" w:sz="8" w:color="auto"/>
            </w:tcBorders>
            <w:gridSpan w:val="9"/>
          </w:tcPr>
          <w:p>
            <w:pPr>
              <w:jc w:val="center"/>
              <w:ind w:left="588"/>
              <w:spacing w:after="0"/>
              <w:rPr>
                <w:sz w:val="20"/>
                <w:szCs w:val="20"/>
                <w:color w:val="auto"/>
              </w:rPr>
            </w:pPr>
            <w:r>
              <w:rPr>
                <w:rFonts w:ascii="Arial" w:cs="Arial" w:eastAsia="Arial" w:hAnsi="Arial"/>
                <w:sz w:val="14"/>
                <w:szCs w:val="14"/>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6"/>
          </w:tcPr>
          <w:p>
            <w:pPr>
              <w:ind w:left="120"/>
              <w:spacing w:after="0" w:line="143" w:lineRule="exact"/>
              <w:rPr>
                <w:sz w:val="20"/>
                <w:szCs w:val="20"/>
                <w:color w:val="auto"/>
              </w:rPr>
            </w:pPr>
            <w:r>
              <w:rPr>
                <w:rFonts w:ascii="Arial" w:cs="Arial" w:eastAsia="Arial" w:hAnsi="Arial"/>
                <w:sz w:val="14"/>
                <w:szCs w:val="14"/>
                <w:b w:val="1"/>
                <w:bCs w:val="1"/>
                <w:color w:val="auto"/>
              </w:rPr>
              <w:t>Pro Forma As</w:t>
            </w:r>
          </w:p>
        </w:tc>
        <w:tc>
          <w:tcPr>
            <w:tcW w:w="60" w:type="dxa"/>
            <w:vAlign w:val="bottom"/>
            <w:gridSpan w:val="2"/>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220" w:type="dxa"/>
            <w:vAlign w:val="bottom"/>
            <w:gridSpan w:val="5"/>
          </w:tcPr>
          <w:p>
            <w:pPr>
              <w:jc w:val="center"/>
              <w:spacing w:after="0" w:line="175" w:lineRule="exact"/>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20"/>
                <w:szCs w:val="20"/>
                <w:b w:val="1"/>
                <w:bCs w:val="1"/>
                <w:color w:val="auto"/>
                <w:w w:val="99"/>
                <w:vertAlign w:val="superscript"/>
              </w:rPr>
              <w:t>(1)</w:t>
            </w:r>
          </w:p>
        </w:tc>
        <w:tc>
          <w:tcPr>
            <w:tcW w:w="1140" w:type="dxa"/>
            <w:vAlign w:val="bottom"/>
            <w:gridSpan w:val="8"/>
          </w:tcPr>
          <w:p>
            <w:pPr>
              <w:ind w:left="140"/>
              <w:spacing w:after="0" w:line="175"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0"/>
                <w:szCs w:val="20"/>
                <w:b w:val="1"/>
                <w:bCs w:val="1"/>
                <w:color w:val="auto"/>
                <w:vertAlign w:val="superscript"/>
              </w:rPr>
              <w:t>(2)(3)</w:t>
            </w: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5"/>
          </w:tcPr>
          <w:p>
            <w:pPr>
              <w:ind w:left="12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investments</w:t>
            </w:r>
          </w:p>
        </w:tc>
        <w:tc>
          <w:tcPr>
            <w:tcW w:w="1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  138,356</w:t>
            </w:r>
          </w:p>
        </w:tc>
        <w:tc>
          <w:tcPr>
            <w:tcW w:w="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w w:val="76"/>
              </w:rPr>
              <w:t> </w:t>
            </w:r>
          </w:p>
        </w:tc>
        <w:tc>
          <w:tcPr>
            <w:tcW w:w="440" w:type="dxa"/>
            <w:vAlign w:val="bottom"/>
            <w:gridSpan w:val="2"/>
            <w:shd w:val="clear" w:color="auto" w:fill="CCEEFF"/>
          </w:tcPr>
          <w:p>
            <w:pPr>
              <w:jc w:val="center"/>
              <w:ind w:right="28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4"/>
                <w:szCs w:val="4"/>
                <w:color w:val="auto"/>
                <w:w w:val="98"/>
              </w:rPr>
              <w:t> </w:t>
            </w:r>
          </w:p>
        </w:tc>
        <w:tc>
          <w:tcPr>
            <w:tcW w:w="2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76"/>
              </w:rPr>
              <w:t> </w:t>
            </w:r>
          </w:p>
        </w:tc>
        <w:tc>
          <w:tcPr>
            <w:tcW w:w="36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(4)</w:t>
            </w:r>
          </w:p>
        </w:tc>
        <w:tc>
          <w:tcPr>
            <w:tcW w:w="19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107,206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395,881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9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403,997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66,982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9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(173,665)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1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 (107,150)</w:t>
            </w:r>
          </w:p>
        </w:tc>
        <w:tc>
          <w:tcPr>
            <w:tcW w:w="3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 xml:space="preserve">$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w w:val="76"/>
              </w:rPr>
              <w:t> </w:t>
            </w:r>
          </w:p>
        </w:tc>
        <w:tc>
          <w:tcPr>
            <w:tcW w:w="440" w:type="dxa"/>
            <w:vAlign w:val="bottom"/>
            <w:gridSpan w:val="2"/>
            <w:shd w:val="clear" w:color="auto" w:fill="CCEEFF"/>
          </w:tcPr>
          <w:p>
            <w:pPr>
              <w:jc w:val="center"/>
              <w:ind w:right="280"/>
              <w:spacing w:after="0"/>
              <w:rPr>
                <w:sz w:val="20"/>
                <w:szCs w:val="20"/>
                <w:color w:val="auto"/>
              </w:rPr>
            </w:pPr>
            <w:r>
              <w:rPr>
                <w:rFonts w:ascii="Arial" w:cs="Arial" w:eastAsia="Arial" w:hAnsi="Arial"/>
                <w:sz w:val="4"/>
                <w:szCs w:val="4"/>
                <w:color w:val="auto"/>
                <w:w w:val="98"/>
              </w:rPr>
              <w:t> </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4"/>
                <w:szCs w:val="4"/>
                <w:color w:val="auto"/>
                <w:w w:val="98"/>
              </w:rPr>
              <w:t> </w:t>
            </w:r>
          </w:p>
        </w:tc>
        <w:tc>
          <w:tcPr>
            <w:tcW w:w="2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76"/>
              </w:rPr>
              <w:t> </w:t>
            </w:r>
          </w:p>
        </w:tc>
        <w:tc>
          <w:tcPr>
            <w:tcW w:w="36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bl>
    <w:p>
      <w:pPr>
        <w:spacing w:after="0" w:line="170" w:lineRule="exact"/>
        <w:rPr>
          <w:sz w:val="20"/>
          <w:szCs w:val="20"/>
          <w:color w:val="auto"/>
        </w:rPr>
      </w:pPr>
    </w:p>
    <w:p>
      <w:pPr>
        <w:ind w:left="820" w:right="740" w:hanging="522"/>
        <w:spacing w:after="0" w:line="271"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(i) the automatic conversion of all outstanding shares of redeemable convertible preferred stock, of which there were        shares</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35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4735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20"/>
        <w:spacing w:after="0" w:line="237" w:lineRule="auto"/>
        <w:rPr>
          <w:sz w:val="20"/>
          <w:szCs w:val="20"/>
          <w:color w:val="auto"/>
        </w:rPr>
      </w:pPr>
      <w:r>
        <w:rPr>
          <w:rFonts w:ascii="Arial" w:cs="Arial" w:eastAsia="Arial" w:hAnsi="Arial"/>
          <w:sz w:val="18"/>
          <w:szCs w:val="18"/>
          <w:color w:val="auto"/>
        </w:rPr>
        <w:t xml:space="preserve">outstanding as of        , 2025, into an equal number of shares of Class B common stock, as if such conversion had occurred on        , 2025, (ii) the reclassification of our outstanding common stock as Class B common stock, (iii) stock-based compensation expense of $        million related to RSUs subject to the RSU Net Settlement, reflected as an increase to additional paid-in capital and accumulated deficit, as further described in Notes 2 and 13 of our consolidated financial statements included elsewhere in this prospectus, (iv) the net issuance of        shares of Class B common stock in connection with the RSU Net Settlement, 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 (v) the $       </w:t>
      </w:r>
    </w:p>
    <w:p>
      <w:pPr>
        <w:spacing w:after="0" w:line="3" w:lineRule="exact"/>
        <w:rPr>
          <w:sz w:val="20"/>
          <w:szCs w:val="20"/>
          <w:color w:val="auto"/>
        </w:rPr>
      </w:pPr>
    </w:p>
    <w:p>
      <w:pPr>
        <w:ind w:left="820"/>
        <w:spacing w:after="0" w:line="234" w:lineRule="auto"/>
        <w:rPr>
          <w:sz w:val="20"/>
          <w:szCs w:val="20"/>
          <w:color w:val="auto"/>
        </w:rPr>
      </w:pPr>
      <w:r>
        <w:rPr>
          <w:rFonts w:ascii="Arial" w:cs="Arial" w:eastAsia="Arial" w:hAnsi="Arial"/>
          <w:sz w:val="18"/>
          <w:szCs w:val="18"/>
          <w:color w:val="auto"/>
        </w:rPr>
        <w:t>million increase in liabilities and corresponding decrease in additional paid-in capital resulting from the share withholding for the tax withholding and remittance obligations related to the RSU Net Settlement and (vi) the filing and effectiveness of our amended and restated certificate of incorporation, which will occur immediately prior to the closing of this offering.</w:t>
      </w:r>
    </w:p>
    <w:p>
      <w:pPr>
        <w:ind w:left="820" w:hanging="522"/>
        <w:spacing w:after="0" w:line="23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data gives effect to (i) the items described in footnote (1) above, (ii) our</w:t>
      </w:r>
    </w:p>
    <w:p>
      <w:pPr>
        <w:ind w:left="820" w:right="200"/>
        <w:spacing w:after="0" w:line="234" w:lineRule="auto"/>
        <w:rPr>
          <w:sz w:val="20"/>
          <w:szCs w:val="20"/>
          <w:color w:val="auto"/>
        </w:rPr>
      </w:pPr>
      <w:r>
        <w:rPr>
          <w:rFonts w:ascii="Arial" w:cs="Arial" w:eastAsia="Arial" w:hAnsi="Arial"/>
          <w:sz w:val="18"/>
          <w:szCs w:val="18"/>
          <w:color w:val="auto"/>
        </w:rPr>
        <w:t>receipt of $        million estimated net proceeds from the sale of shares of Class A common stock in this offering at an assumed initial public offering price of $        per share, the midpoint of the price range set forth on the cover page of this prospectus, after deducting underwriting discounts and commissions and estimated offering expenses payable by us; (iii) the use of net proceeds from this offering, together with existing cash and cash equivalents, if necessary, to satisfy the estimated tax withholding and remittance obligations related to the RSU Net Settlement described in footnote (1) above.</w:t>
      </w:r>
    </w:p>
    <w:p>
      <w:pPr>
        <w:spacing w:after="0" w:line="3" w:lineRule="exact"/>
        <w:rPr>
          <w:sz w:val="20"/>
          <w:szCs w:val="20"/>
          <w:color w:val="auto"/>
        </w:rPr>
      </w:pPr>
    </w:p>
    <w:p>
      <w:pPr>
        <w:ind w:left="820" w:right="60" w:hanging="522"/>
        <w:spacing w:after="0" w:line="23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$1.00 increase (decrease) in the assumed initial public offering price of $        per share, the midpoint of the price range set forth on the cover page of this prospectus, would increase (decrease) each of cash, cash equivalents, and investments, working capital, total assets, and total stockholders’ (deficit) equity by $        million, assuming that the number of shares of Class A common stock offered by us, as set forth on the cover page of this prospectus, remains the same, and after deducting underwriting discounts and commissions and estimated offering expenses payable by us. Similarly, each increase (decrease) of 1.0 million shares in the number of shares of Class A common stock offered by us would increase (decrease) each of cash,</w:t>
      </w:r>
    </w:p>
    <w:p>
      <w:pPr>
        <w:spacing w:after="0" w:line="4" w:lineRule="exact"/>
        <w:rPr>
          <w:sz w:val="20"/>
          <w:szCs w:val="20"/>
          <w:color w:val="auto"/>
        </w:rPr>
      </w:pPr>
    </w:p>
    <w:p>
      <w:pPr>
        <w:ind w:left="820" w:right="20"/>
        <w:spacing w:after="0" w:line="234" w:lineRule="auto"/>
        <w:rPr>
          <w:sz w:val="20"/>
          <w:szCs w:val="20"/>
          <w:color w:val="auto"/>
        </w:rPr>
      </w:pPr>
      <w:r>
        <w:rPr>
          <w:rFonts w:ascii="Arial" w:cs="Arial" w:eastAsia="Arial" w:hAnsi="Arial"/>
          <w:sz w:val="18"/>
          <w:szCs w:val="18"/>
          <w:color w:val="auto"/>
        </w:rPr>
        <w:t>cash equivalents, and investments, working capital, total assets, and total stockholders’ (deficit) equity by $        million, assuming the assumed initial public offering price of $        per share of Class A common stock remains the same, and after deducting underwriting discounts and commissions and estimated offering expenses payable by us. Each $1.00 increase (decrease) in the assumed initial public offering price per share of $        , which is the midpoint of the price range set forth on the cover page of this prospectus, would increase (decrease) the amount of estimated tax withholding and remittance obligations related to the RSU Net Settlement by $        million. In addition, each 1.0% increase (decrease) in the assumed tax withholding rates would increase (decrease) the amount of estimated tax withholding and remittance obligations related to the RSU Net Settlement by $        million. Pro forma adjustments in the footnotes above and the related information in the balance sheet data are illustrative only and may differ from actual amounts based on the actual initial public offering price and other terms of this offering determined at pricing, the actual tax withholding rates, as well as the actual amount of RSUs settled in connection with this offering.</w:t>
      </w:r>
    </w:p>
    <w:p>
      <w:pPr>
        <w:spacing w:after="0" w:line="8" w:lineRule="exact"/>
        <w:rPr>
          <w:sz w:val="20"/>
          <w:szCs w:val="20"/>
          <w:color w:val="auto"/>
        </w:rPr>
      </w:pPr>
    </w:p>
    <w:p>
      <w:pPr>
        <w:ind w:left="5520" w:right="4100" w:hanging="5222"/>
        <w:spacing w:after="0" w:line="642" w:lineRule="auto"/>
        <w:tabs>
          <w:tab w:leader="none" w:pos="8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 21</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81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4581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04" w:lineRule="exact"/>
        <w:rPr>
          <w:sz w:val="20"/>
          <w:szCs w:val="20"/>
          <w:color w:val="auto"/>
        </w:rPr>
      </w:pPr>
    </w:p>
    <w:p>
      <w:pPr>
        <w:ind w:left="300" w:right="100" w:firstLine="532"/>
        <w:spacing w:after="0" w:line="24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and non-GAAP financial measures, among others, to help us evaluate our business, identify trends affecting our performance, formulate business plans, and make strategic decisions. See the section titled “Management’s Discussion and Analysis of Financial Condition and Results of Operations—Key Business Metrics and Non-GAAP Financial Measures” included elsewhere in this prospectus for our definitions of these metrics.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left="497"/>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Total Activated Policies</w:t>
            </w: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72</w:t>
            </w:r>
          </w:p>
        </w:tc>
        <w:tc>
          <w:tcPr>
            <w:tcW w:w="5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Revenue Per Unit</w:t>
            </w:r>
          </w:p>
        </w:tc>
        <w:tc>
          <w:tcPr>
            <w:tcW w:w="2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7"/>
              <w:spacing w:after="0" w:line="202" w:lineRule="exact"/>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3"/>
          </w:tcPr>
          <w:p>
            <w:pPr>
              <w:jc w:val="center"/>
              <w:ind w:right="73"/>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     154</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     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Gross Margin</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96%</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6"/>
                <w:szCs w:val="16"/>
                <w:color w:val="auto"/>
              </w:rPr>
              <w:t>Contribution Profit</w:t>
            </w:r>
            <w:r>
              <w:rPr>
                <w:rFonts w:ascii="Arial" w:cs="Arial" w:eastAsia="Arial" w:hAnsi="Arial"/>
                <w:sz w:val="23"/>
                <w:szCs w:val="23"/>
                <w:color w:val="auto"/>
                <w:vertAlign w:val="superscript"/>
              </w:rPr>
              <w:t>(1)</w:t>
            </w:r>
          </w:p>
        </w:tc>
        <w:tc>
          <w:tcPr>
            <w:tcW w:w="2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51</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160"/>
              <w:spacing w:after="0" w:line="202" w:lineRule="exact"/>
              <w:rPr>
                <w:sz w:val="20"/>
                <w:szCs w:val="20"/>
                <w:color w:val="auto"/>
              </w:rPr>
            </w:pPr>
            <w:r>
              <w:rPr>
                <w:rFonts w:ascii="Arial" w:cs="Arial" w:eastAsia="Arial" w:hAnsi="Arial"/>
                <w:sz w:val="16"/>
                <w:szCs w:val="16"/>
                <w:i w:val="1"/>
                <w:iCs w:val="1"/>
                <w:color w:val="auto"/>
              </w:rPr>
              <w:t>Contribution Margin</w:t>
            </w:r>
            <w:r>
              <w:rPr>
                <w:rFonts w:ascii="Arial" w:cs="Arial" w:eastAsia="Arial" w:hAnsi="Arial"/>
                <w:sz w:val="23"/>
                <w:szCs w:val="23"/>
                <w:color w:val="auto"/>
                <w:vertAlign w:val="superscript"/>
              </w:rPr>
              <w:t>(1)</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2</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Net Income Margin</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2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37"/>
              <w:spacing w:after="0" w:line="202" w:lineRule="exact"/>
              <w:rPr>
                <w:sz w:val="20"/>
                <w:szCs w:val="20"/>
                <w:color w:val="auto"/>
              </w:rPr>
            </w:pPr>
            <w:r>
              <w:rPr>
                <w:rFonts w:ascii="Arial" w:cs="Arial" w:eastAsia="Arial" w:hAnsi="Arial"/>
                <w:sz w:val="18"/>
                <w:szCs w:val="18"/>
                <w:color w:val="auto"/>
              </w:rPr>
              <w:t>7</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ind w:left="160"/>
              <w:spacing w:after="0" w:line="202" w:lineRule="exact"/>
              <w:rPr>
                <w:sz w:val="20"/>
                <w:szCs w:val="20"/>
                <w:color w:val="auto"/>
              </w:rPr>
            </w:pPr>
            <w:r>
              <w:rPr>
                <w:rFonts w:ascii="Arial" w:cs="Arial" w:eastAsia="Arial" w:hAnsi="Arial"/>
                <w:sz w:val="16"/>
                <w:szCs w:val="16"/>
                <w:i w:val="1"/>
                <w:iCs w:val="1"/>
                <w:color w:val="auto"/>
              </w:rPr>
              <w:t>Adjusted EBITDA Margin</w:t>
            </w:r>
            <w:r>
              <w:rPr>
                <w:rFonts w:ascii="Arial" w:cs="Arial" w:eastAsia="Arial" w:hAnsi="Arial"/>
                <w:sz w:val="23"/>
                <w:szCs w:val="23"/>
                <w:color w:val="auto"/>
                <w:vertAlign w:val="superscript"/>
              </w:rPr>
              <w:t>(1)</w:t>
            </w: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20" w:right="20" w:hanging="52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Contribution Profit, Contribution Margin, Adjusted EBITDA, and Adjusted EBITDA Margin are not calculated in accordance with generally accepted accounting principles in the United States, or GAAP.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 see the section titled “Management’s Discussion and Analysis of Financial Condition and Results of Operations—Key Business Metrics and Non-GAAP Financial Measures.”</w:t>
      </w: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180" w:firstLine="551"/>
        <w:spacing w:after="0" w:line="241"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common stock. Any of the following risks could have an adverse effect on our business, financial condition, operating results, or prospects and could cause the trading price of our common stock to decline, which could cause you to lose part or all of your investment. Our business, financial condition, operating results, or prospects could also be harmed by risks and uncertainties not currently known to us or that we currently do not believe are material.</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losses, and while we have recently achieved profitability, we may not sustain it in the future.</w:t>
      </w:r>
    </w:p>
    <w:p>
      <w:pPr>
        <w:spacing w:after="0" w:line="21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historically incurred net losses since our inception in 2016 and only recently achieved profitability in the year ended December 31, 2023. There is no guarantee that we will maintain profitability as we continue to invest in our business. We expect to make significant investments to further develop and expand our business. In particular, we expect to continue to expend substantial financial and other resources on marketing and advertising as part of our strategy to increase the number of new policies activated on our platform and expand our agency relationships, carrier relationships, and product offerings. We also expect to expend financial and other resources on research and development to further enhance our technology platform and underwriting capabilities. The timing and magnitude of revenue growth from activating new policies may not align with the period in which we incur operating expenses. This timing difference may result in expenses exceeding revenue in certain periods, impacting margins, profitability, and cash flow. As a public company, we will incur significant legal, accounting, and other expenses that we did not incur as a private company. If we fail to increase revenue on the timeline that we expect or in an amount sufficient to offset these costs, we may not be able to sustain profitability. Moreover, if our revenue declines, we may be unable to reduce costs in a timely manner as many of our costs are fixed, at least in the short term. In addition, if we reduce variable costs to respond to losses, such as costs associated with marketing activities, this may negatively impact the number of policies activated, as well as agent sales through our platform.</w:t>
      </w:r>
    </w:p>
    <w:p>
      <w:pPr>
        <w:spacing w:after="0" w:line="18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addition, following the closing of this offering, the stock-based compensation expense related to our RSUs will result in significant increases in our expenses in future periods, which may negatively impact our ability to maintain profitability. In particular, in the quarter in which this offering is completed, we will recognize approximately $        million of stock-based compensation expense associated with the satisfaction of the liquidity event-based condition for certain outstanding RSUs, for which the service-based conditions have been fully or partially satisfied prior to the closing of this offering, which will also negatively impact our cash flow for that quarter.</w:t>
      </w:r>
    </w:p>
    <w:p>
      <w:pPr>
        <w:spacing w:after="0" w:line="176"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While we have demonstrated the ability to reach profitability, we may not maintain it in the future, and we may continue to incur significant losses.</w:t>
      </w:r>
    </w:p>
    <w:p>
      <w:pPr>
        <w:spacing w:after="0" w:line="156" w:lineRule="exact"/>
        <w:rPr>
          <w:sz w:val="20"/>
          <w:szCs w:val="20"/>
          <w:color w:val="auto"/>
        </w:rPr>
      </w:pPr>
    </w:p>
    <w:p>
      <w:pPr>
        <w:ind w:left="120" w:right="300" w:firstLine="551"/>
        <w:spacing w:after="0" w:line="278"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which makes it difficult to plan for future operations and growth initiatives and predict future results.</w:t>
      </w:r>
    </w:p>
    <w:p>
      <w:pPr>
        <w:spacing w:after="0" w:line="13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We have limited experience operating our business at its current scale, scope, and complexity, particularly given the recent growth in our carrier and agency relationships. Our limited history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experience operating our current business may negatively impact our ability to accurately predict our future results and plan strategic investments and initiatives to further expand our business and offerings, including to support agencies and carriers with whom we work, certain of which may require changes to our liquidity strategy and cash flow management, as well as to maintain or improve efficiency in our operations and costs. For example, changes in observed persistency from unexpected termination trends have in the past resulted in and could in the future result in similar changes to persistency estimates, leading to in-period adjustments to our revenue as such changes are applied to previously activated policies and impact on revenue recognized for newly activated policies. Several factors have resulted in, and may in the future result in, such fluctuations in our persistency estimates, including when we begin working with new carriers or introduce new products, as we have limited historical data on policy terminations and resulting persistency in such cases to help inform our persistency estimates. Further, as we continue to scale our platform and increase the total number of activated policies at any given time, we may experience larger and more frequent in-period adjustments to revenue in respect of previously activated policies as well as greater variation in persistency estimates for newly activated policies, as a larger number of activated policies contribute to and impact observed persistency as well as persistency estimates. We also have limited experience with the post-issue audit and termination practices with new carriers. Policies and practices relating to carrier implementation of the results of our post-issue audits, and ensuing policy terminations by carriers, can differ across carriers or for the same carrier across periods for various factors that are outside of our control and over which we have limited to no visibility. If these carrier actions following our post-issue audits are delayed for any reason, or if carriers do not implement our recommendations as we expect, we have at times experienced and in the future may experience an outsized amount of policy terminations concentrated in certain periods when such carriers address their backlog of policy audits, impacting persistency and persistency estimates for the relevant periods and resulting in fluctuations in revenue growth. These dynamics have negatively impacted and may in the future negatively impact our ability to accurately predict future revenue and cash flows and may in future periods result in unexpected differences between actual results compared to our forecasts.</w:t>
      </w:r>
    </w:p>
    <w:p>
      <w:pPr>
        <w:spacing w:after="0" w:line="195"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We also have limited experience with our third-party channel, which is becoming an increasingly significant portion of our total revenue and growth strategy. In particular, as we expand our agency relationships, we have faced and may continue to face increased pressure to offer higher agent compensation or incentives, which could harm our margins and profitability even if agent engagement on our platform is sustained or grows.</w:t>
      </w:r>
    </w:p>
    <w:p>
      <w:pPr>
        <w:spacing w:after="0" w:line="17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You should consider and evaluate our prospects in light of the risks and uncertainties frequently encountered by growing companies in rapidly evolving markets, in particular, markets that are or could be materially impacted by macroeconomic uncertainty such as the life insurance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and scope of offerings, our results of operations could differ materially from our expectations, and our business, financial condition, and results of operations could be adversely affected.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21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While we have experienced rapid growth in recent periods, we may be unable to manage our growth successfully, and our recent growth rates may not be indicative of our future growth. The scalability and extensibility of our platform and our overall growth depends on the functionality of our technology and network infrastructure and its ability to handle increased traffic and demand for bandwidth, particularly as we expand our product offerings and agency relationships. The growth in consumers, agents, and carriers using our platform and the insurance product sales processed through</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20"/>
        <w:spacing w:after="0" w:line="275" w:lineRule="auto"/>
        <w:rPr>
          <w:sz w:val="20"/>
          <w:szCs w:val="20"/>
          <w:color w:val="auto"/>
        </w:rPr>
      </w:pPr>
      <w:r>
        <w:rPr>
          <w:rFonts w:ascii="Arial" w:cs="Arial" w:eastAsia="Arial" w:hAnsi="Arial"/>
          <w:sz w:val="17"/>
          <w:szCs w:val="17"/>
          <w:color w:val="auto"/>
        </w:rPr>
        <w:t>our platform have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continuing to enhance its scalability in order to maintain the performance of our platform.</w:t>
      </w:r>
    </w:p>
    <w:p>
      <w:pPr>
        <w:spacing w:after="0" w:line="152"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If we are unable to scale our support and operational processes effectively, the quality of the experience for consumers, agents, and agencies could suffer. This may negatively impact agent engagement and retention as well as our relationships with carriers and agencies, conversion rates, and consumer satisfaction.</w:t>
      </w:r>
    </w:p>
    <w:p>
      <w:pPr>
        <w:spacing w:after="0" w:line="169"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As we expand our business, we may also face integration challenges as well as potential unknown liabilities and reputational concerns in connection with third-party agencies or carriers we work with, including challenges, liabilities, and concerns that may impact and cause fluctuations in our financial results. For example, when working with new carriers or new products with existing carriers, our limited historical experience and data may result in more frequent changes to persistency and resulting persistency estimates, which can result in more frequent adjustments to revenue in future periods. We intend to further expand our overall business but our revenue may not continue to grow. As part of that expansion, we expect to grow our team across various functions, which will increase our costs and the complexity of our operations and place additional demands on our management, systems, and infrastructure. If we are unable to manage operational and integration challenges, or suffer unknown liabilities and reputational damage, our business may be adversely affected.</w:t>
      </w:r>
    </w:p>
    <w:p>
      <w:pPr>
        <w:spacing w:after="0" w:line="16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As we grow, we will be required to continue to improve our financial controls and procedures, and we may not be able to do so effectively. For example risk of compliance failures may increase if our internal controls and systems do not keep pace with evolving regulatory requirements or increased transaction volumes. In addition, as the volume of personal and sensitive data we process increases, so does the importance of maintaining robust data privacy and security protections. We have been the subject of, and may in the future be exposed to, regulatory investigations and actions, which may result in reputational harm and a loss of trust among our consumers and counterparties.</w:t>
      </w:r>
    </w:p>
    <w:p>
      <w:pPr>
        <w:spacing w:after="0" w:line="181" w:lineRule="exact"/>
        <w:rPr>
          <w:sz w:val="20"/>
          <w:szCs w:val="20"/>
          <w:color w:val="auto"/>
        </w:rPr>
      </w:pPr>
    </w:p>
    <w:p>
      <w:pPr>
        <w:jc w:val="both"/>
        <w:ind w:left="120" w:right="140" w:firstLine="551"/>
        <w:spacing w:after="0" w:line="256" w:lineRule="auto"/>
        <w:rPr>
          <w:sz w:val="20"/>
          <w:szCs w:val="20"/>
          <w:color w:val="auto"/>
        </w:rPr>
      </w:pPr>
      <w:r>
        <w:rPr>
          <w:rFonts w:ascii="Arial" w:cs="Arial" w:eastAsia="Arial" w:hAnsi="Arial"/>
          <w:sz w:val="18"/>
          <w:szCs w:val="18"/>
          <w:b w:val="1"/>
          <w:bCs w:val="1"/>
          <w:i w:val="1"/>
          <w:iCs w:val="1"/>
          <w:color w:val="auto"/>
        </w:rPr>
        <w:t>Revenue we earn on the sale of insurance products is based on premiums set by carriers, and any meaningful change in these premiums, or any decrease in commission rates that we negotiate with our carriers based on such premiums, or actions by carriers seeking repayment of commissions, could adversely impact our revenue.</w:t>
      </w:r>
    </w:p>
    <w:p>
      <w:pPr>
        <w:spacing w:after="0" w:line="15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We derive revenue from commissions on the sale of insurance products that are paid by the carriers from whom our consumers purchase insurance. We negotiate commission rates with our carriers, which are a percentage of premiums that the carriers charge our consumers. Premiums vary by insurance product provided by carriers, and we do not set the insurance premiums on which our commissions are based. Our consumers’ eligibility for insurance products, as determined through our underwriting processes, impacts the selection of products available to consumers, and as a result, the product mix sold on our platform and for which we receive commissions. Average premiums and underwriting criteria may still change significantly in response to shifts in interest rates, mortality trends, other market or regulatory developments and macroeconomic conditions, as well as carrier pricing strategies. In addition, capacity could be reduced by carriers failing or withdrawing from writing certain coverages that we offer our consumers.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consumer demand for insurance products, the availability of comparable products from other carriers at a lower cost, and the availability of alternative insurance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products to consumers. Because we cannot predict or control these factors, our revenue, margins, and profitability may be volatile. These changes could reduce the volume of policies sold through our platform or our third-party channel and impact our ability to generate revenue.</w:t>
      </w:r>
    </w:p>
    <w:p>
      <w:pPr>
        <w:spacing w:after="0" w:line="16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carriers continue to refine their distribution strategies, they may seek to further minimize their expenses by reducing the commission rates payable to insurance agents, brokers, or platforms like ours. The reduction of these commission rates, along with fluctuations in life insurance premiums, may significantly affect our revenue growth, margins, and profitability. Because we do not determine the timing or extent of premium pricing changes, it may be difficult to precisely forecast changes in our revenue. As a result, we may have to adjust our budgets for future operational and capital expenditures and other expenditures to account for unexpected changes in revenue, and any changes in premium rates or reduction in commission rates may adversely affect our business, financial condition, and results of operations.</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certain of our carrier contracts, upon certain policy terminations, we are obligated to repay to our carriers or their affiliates all or a portion of the commissions received. Larger or more frequent than expected policy terminations result in changes to persistency and our persistency estimates, which may lead to adjustments to revenue in future periods. Reductions in revenue in such circumstances could negatively impact our results of operations and financial condition and decrease predictability and comparability across periods. In particular, when implementation of our post-issue audit results are delayed by carriers, the resulting terminations, if any, and related adjustments to our revenue will also be delayed and may not have been accounted for in our estimates of future performance. This dynamic negatively impacts the comparability of our results of operations across periods and may negatively impact investor perception of our financial performance. Additionally, upon the termination of policies sold through agents, we may not be able to fully or promptly recoup agent payments owed to us from the applicable agency or agent. This could negatively impact our cash flows and financial results and could adversely impact our ability to budget for future expenditures, particularly if we are also obligated to repay carriers’ commissions received upon any such policy terminations.</w:t>
      </w:r>
    </w:p>
    <w:p>
      <w:pPr>
        <w:spacing w:after="0" w:line="188" w:lineRule="exact"/>
        <w:rPr>
          <w:sz w:val="20"/>
          <w:szCs w:val="20"/>
          <w:color w:val="auto"/>
        </w:rPr>
      </w:pPr>
    </w:p>
    <w:p>
      <w:pPr>
        <w:ind w:left="120" w:right="560" w:firstLine="551"/>
        <w:spacing w:after="0" w:line="278" w:lineRule="auto"/>
        <w:rPr>
          <w:sz w:val="20"/>
          <w:szCs w:val="20"/>
          <w:color w:val="auto"/>
        </w:rPr>
      </w:pPr>
      <w:r>
        <w:rPr>
          <w:rFonts w:ascii="Arial" w:cs="Arial" w:eastAsia="Arial" w:hAnsi="Arial"/>
          <w:sz w:val="18"/>
          <w:szCs w:val="18"/>
          <w:b w:val="1"/>
          <w:bCs w:val="1"/>
          <w:i w:val="1"/>
          <w:iCs w:val="1"/>
          <w:color w:val="auto"/>
        </w:rPr>
        <w:t>Our business may be harmed if we lose relationships with carriers, fail to maintain good relationships with carriers, become even more dependent upon a limited number of carriers or fail to develop new carrier relationships.</w:t>
      </w:r>
    </w:p>
    <w:p>
      <w:pPr>
        <w:spacing w:after="0" w:line="13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enter into contractual producer and third-party administration relationships with carriers that are sometimes unique to Ethos but are generally non-exclusive and terminable on notice by either party for any reason. In many cases, carriers also have the ability to amend the terms of our agreements on short notice. Carriers may be unwilling to allow us to sell their existing or new insurance products or may amend our agreements with them, for a variety of reasons, including for competitive or regulatory reasons or because of a reluctance to distribute their products through our platform. In particular, if we experience greater terminations of policies, including due to broader industry, economic, or mortality trends, our carriers may seek to restructure or renegotiate their contractual terms with us, including reductions in commission rates, or may determine to leave our platform altogether. Any such restructurings, renegotiations, or departures may also harm our reputation, making it more difficult to secure future carrier relationships on favorable terms or at all. Carriers may also cease offering certain products that comprise a higher volume of our historical activated policies for various reasons, including due to such products’ actual or expected future return on investment for such carriers, which would harm our business, growth, and results of operations.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which could negatively impact our revenue growth</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and also our relationships with agencies and engagement of their agents on our platform. Our ability to grow our business could also be harmed if we fail to develop new carrier relationships.</w:t>
      </w:r>
    </w:p>
    <w:p>
      <w:pPr>
        <w:spacing w:after="0" w:line="15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we have a significant amount of receivables from carriers for policies placed through our platform. If those carriers were to experience liquidity problems or other financial difficulties, we could encounter delays or defaults in payments owed to us, which could have a significant adverse impact on our financial condition and results of operations. The potential for an insurer to cease writing insurance offered through our platform could negatively impact overall capacity in the industry, which in turn could reduce placement of certain lines of insurance and reduced revenue and profitability for us. Questions about a carrier’s perceived stability or financial strength may contribute to such insurer’s strategic decisions to focus on certain lines of insurance to the detriment of others. The failure of a carrier with which we place insurance could result in errors and omissions, or E&amp;O, claims against us by our consumers, and the failure of our carriers could make the E&amp;O insurance we rely upon cost prohibitive or unavailable, which could have a significant adverse impact on our financial condition and results of operations. In addition, if any carrier merges or if one of our large carriers fails or withdraws from offering certain lines of insurance, the insurance industry’s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resulting from a pandemic, elevated mortality rates, or other public health events. Any of these events could adversely affect our financial condition and results of operations.</w:t>
      </w:r>
    </w:p>
    <w:p>
      <w:pPr>
        <w:spacing w:after="0" w:line="299" w:lineRule="exact"/>
        <w:rPr>
          <w:sz w:val="20"/>
          <w:szCs w:val="20"/>
          <w:color w:val="auto"/>
        </w:rPr>
      </w:pPr>
    </w:p>
    <w:p>
      <w:pPr>
        <w:ind w:left="120" w:right="120" w:firstLine="551"/>
        <w:spacing w:after="0" w:line="278" w:lineRule="auto"/>
        <w:rPr>
          <w:sz w:val="20"/>
          <w:szCs w:val="20"/>
          <w:color w:val="auto"/>
        </w:rPr>
      </w:pPr>
      <w:r>
        <w:rPr>
          <w:rFonts w:ascii="Arial" w:cs="Arial" w:eastAsia="Arial" w:hAnsi="Arial"/>
          <w:sz w:val="18"/>
          <w:szCs w:val="18"/>
          <w:b w:val="1"/>
          <w:bCs w:val="1"/>
          <w:i w:val="1"/>
          <w:iCs w:val="1"/>
          <w:color w:val="auto"/>
        </w:rPr>
        <w:t>We rely on a limited number of carriers, and if we are unable to maintain these relationships or diversify the carriers with whom we work, our business and results of operations could be harmed.</w:t>
      </w:r>
    </w:p>
    <w:p>
      <w:pPr>
        <w:spacing w:after="0" w:line="3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While we continue to expand our carrier relationships, a significant portion of our policy volume is attributable to a limited number of carriers. For the years ended December 31, 2023 and 2024, our top three carrier relationships, which are Ameritas, Legal &amp; General America, and TruStage, represented approximately 97% and 98%, respectively, of our total revenue. As our business and the insurance industry evolve, it may become necessary for us to offer insurance products from a reduced number of carriers or to derive a greater portion of our revenue from a more concentrated number of carriers as our business and the insurance industry evolve.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carriers could harm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ind w:left="120" w:right="80" w:firstLine="551"/>
        <w:spacing w:after="0" w:line="278" w:lineRule="auto"/>
        <w:rPr>
          <w:sz w:val="20"/>
          <w:szCs w:val="20"/>
          <w:color w:val="auto"/>
        </w:rPr>
      </w:pPr>
      <w:r>
        <w:rPr>
          <w:rFonts w:ascii="Arial" w:cs="Arial" w:eastAsia="Arial" w:hAnsi="Arial"/>
          <w:sz w:val="18"/>
          <w:szCs w:val="18"/>
          <w:b w:val="1"/>
          <w:bCs w:val="1"/>
          <w:i w:val="1"/>
          <w:iCs w:val="1"/>
          <w:color w:val="auto"/>
        </w:rPr>
        <w:t>We rely on a limited number of agency counterparties, and if we are unsuccessful in maintaining relationships with these and new agencies, our results of operations will be harmed.</w:t>
      </w:r>
    </w:p>
    <w:p>
      <w:pPr>
        <w:spacing w:after="0" w:line="139" w:lineRule="exact"/>
        <w:rPr>
          <w:sz w:val="20"/>
          <w:szCs w:val="20"/>
          <w:color w:val="auto"/>
        </w:rPr>
      </w:pPr>
    </w:p>
    <w:p>
      <w:pPr>
        <w:ind w:left="120" w:firstLine="551"/>
        <w:spacing w:after="0" w:line="259" w:lineRule="auto"/>
        <w:rPr>
          <w:sz w:val="20"/>
          <w:szCs w:val="20"/>
          <w:color w:val="auto"/>
        </w:rPr>
      </w:pPr>
      <w:r>
        <w:rPr>
          <w:rFonts w:ascii="Arial" w:cs="Arial" w:eastAsia="Arial" w:hAnsi="Arial"/>
          <w:sz w:val="17"/>
          <w:szCs w:val="17"/>
          <w:color w:val="auto"/>
        </w:rPr>
        <w:t>In addition to our DTC channel, we rely on our third-party channel, consisting primarily of contractual relationships with independent agents and agencies, to generate a significant and growing portion of our revenue. Our revenue from sales of policies on our platform through our third-party channel is driven by a limited number of agencies. In each of the years ended December 31, 2023 and 2024, approximately 13% and 26%, respectively, of our revenue was generated through three of our most significant agency relationships. We anticipate that we will continue to derive a significant portion of our revenue from sales of policies on our platform through agents from a limited number of agencies for the foreseeable future, and in some cases, the portion of our revenue attributable to certain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agencies may increase in the future. We may not be able to maintain or increase revenue associated with such agencies for a variety of reasons, including if the agencies or affiliated agents no longer perceive our platform to be accretive to or cost-effective for activating new policies, or agents determine that alternative platforms, other methods of selling policies or products not offered by us are preferable. Our contractual arrangements with agencies have no minimum term or engagement commitments. As a result, the agencies with whom we work may disengage from or abandon use of our platform or services at any time at their discretion. We have in the past experienced, and may in the future experience, decreases or gaps in agent engagement with our platform, including as directed by agencies, for various reasons unrelated to Ethos or our platform or products.</w:t>
      </w:r>
    </w:p>
    <w:p>
      <w:pPr>
        <w:spacing w:after="0" w:line="185" w:lineRule="exact"/>
        <w:rPr>
          <w:sz w:val="20"/>
          <w:szCs w:val="20"/>
          <w:color w:val="auto"/>
        </w:rPr>
      </w:pPr>
    </w:p>
    <w:p>
      <w:pPr>
        <w:ind w:left="120" w:right="400" w:firstLine="551"/>
        <w:spacing w:after="0" w:line="261" w:lineRule="auto"/>
        <w:rPr>
          <w:sz w:val="20"/>
          <w:szCs w:val="20"/>
          <w:color w:val="auto"/>
        </w:rPr>
      </w:pPr>
      <w:r>
        <w:rPr>
          <w:rFonts w:ascii="Arial" w:cs="Arial" w:eastAsia="Arial" w:hAnsi="Arial"/>
          <w:sz w:val="17"/>
          <w:szCs w:val="17"/>
          <w:color w:val="auto"/>
        </w:rPr>
        <w:t>These agencies facilitate our access to a broader consumer base, including those who prefer purchasing insurance through traditional advisory channels. If we are unable to attract, retain, or maintain productive relationships within this channel, or if agents choose to offer competing products instead of or in addition to ours, our revenue and growth could be adversely affected. Additionally, regulatory changes, shifts in consumer behavior, shifts in demand for particular product offerings, or increased competition from other similar platforms could further impact our ability to sustain these partnerships and maintain our revenue growth.</w:t>
      </w:r>
    </w:p>
    <w:p>
      <w:pPr>
        <w:spacing w:after="0" w:line="16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recent years, private equity sponsors have acquired numerous independent insurance agencies, including certain of our current agency counterparties. This consolidation may continue or accelerate in the future, resulting in fewer independent agencies and more agencies under common ownership. In addition, while we maintain distinct contractual relationships with agencies, certain agencies are or may in the future be consolidated under common control. As a result, if we fail to maintain a positive relationship with the ultimate control parties for these agencies, we may experience loss of engagement from agents at such agencies or disengagement by such agencies from our platform. This shift towards consolidation could impact our ability to initiate new or maintain existing agency relationships and could also heighten the risks relating to agency and affiliated agent engagement with our platform described above.</w:t>
      </w:r>
    </w:p>
    <w:p>
      <w:pPr>
        <w:spacing w:after="0" w:line="185"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We incur marketing and incentive expenses when onboarding a new agency or engaging with agents at an agency with whom we already work. The effectiveness of such marketing and incentive efforts, and as a result, their return on investment, may not materialize or be known for several quarters due to the time it takes for new agents to be fully ramped up on our platform. In addition, our agencies may seek to exert leverage to negotiate for higher compensation, which, if granted, could negatively affect our margins.</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Maintaining and growing our agency relationships generally require us to continually improve our platform, which may involve significant technological and design challenges, and agencies have placed and are expected to continue to place considerable pressure on us to improve. Accordingly, we expect to devote a substantial amount of our resources to our agency relationships, which could detract from or delay other strategic initiatives. Moreover, it is possible that agencies with whom we work may develop their own infrastructure that may compete with our services or partner with a competitor’s infrastructure. In addition, while we maintain distinct contractual relationships with agencies, certain agencies are or may in the future be consolidated under common control. As a result, if we fail to maintain a positive relationship with the ultimate control parties for these agencies, we may experience loss of engagement from agents at such agencies or disengagement by such agencies from our platform. If we are unable to retain these key relationships or if agencies reduce their activity on our platform, our revenue would be adversely impacted and our business, operating results, financial condition, and future prospects would be materially and adversely affected.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right="600" w:firstLine="551"/>
        <w:spacing w:after="0" w:line="278" w:lineRule="auto"/>
        <w:rPr>
          <w:sz w:val="20"/>
          <w:szCs w:val="20"/>
          <w:color w:val="auto"/>
        </w:rPr>
      </w:pPr>
      <w:r>
        <w:rPr>
          <w:rFonts w:ascii="Arial" w:cs="Arial" w:eastAsia="Arial" w:hAnsi="Arial"/>
          <w:sz w:val="18"/>
          <w:szCs w:val="18"/>
          <w:b w:val="1"/>
          <w:bCs w:val="1"/>
          <w:i w:val="1"/>
          <w:iCs w:val="1"/>
          <w:color w:val="auto"/>
        </w:rPr>
        <w:t>Our success depends on individual agent adoption and engagement, and if agents do not engage with or adopt our platform, our results of operations will be harmed.</w:t>
      </w:r>
    </w:p>
    <w:p>
      <w:pPr>
        <w:spacing w:after="0" w:line="139"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Our success depends on individual agent engagement. Agent-level adoption of our platform is not guaranteed and may vary significantly across agencies. If agents are slow to adopt our platform, choose to deprioritize it, or lack sufficient support or training, the anticipated benefits of a given agency or agent relationship may not materialize. Agent acceptance of our platform also depends on its perceived quality, effectiveness, and useability compared to alternative selling methods. Moreover, agent behavior can be affected by factors beyond our control, such as changes in agency compensation structures, internal agency incentives, or technical issues that disrupt agent workflows or compensation accuracy, which factors may be influenced or directed by agencies as part of their own competitive strategies. These dynamics have in the past, and may in the future, reduce agents’ platform engagement and impact the volume of policies sold.</w:t>
      </w:r>
    </w:p>
    <w:p>
      <w:pPr>
        <w:spacing w:after="0" w:line="180"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Some of the agents that activate policies using our platform, or provide additional services on our platform, may have relationships with or influence over our consumers, and therefore we risk the loss of such consumers if agents choose not to engage with our platform or prioritize our products.</w:t>
      </w:r>
    </w:p>
    <w:p>
      <w:pPr>
        <w:spacing w:after="0" w:line="171" w:lineRule="exact"/>
        <w:rPr>
          <w:sz w:val="20"/>
          <w:szCs w:val="20"/>
          <w:color w:val="auto"/>
        </w:rPr>
      </w:pPr>
    </w:p>
    <w:p>
      <w:pPr>
        <w:ind w:left="120" w:right="220" w:firstLine="551"/>
        <w:spacing w:after="0" w:line="278" w:lineRule="auto"/>
        <w:rPr>
          <w:sz w:val="20"/>
          <w:szCs w:val="20"/>
          <w:color w:val="auto"/>
        </w:rPr>
      </w:pPr>
      <w:r>
        <w:rPr>
          <w:rFonts w:ascii="Arial" w:cs="Arial" w:eastAsia="Arial" w:hAnsi="Arial"/>
          <w:sz w:val="18"/>
          <w:szCs w:val="18"/>
          <w:b w:val="1"/>
          <w:bCs w:val="1"/>
          <w:i w:val="1"/>
          <w:iCs w:val="1"/>
          <w:color w:val="auto"/>
        </w:rPr>
        <w:t>Our business depends in part on third-party data, technology, and infrastructure providers and failure to maintain these relationships or changes in their services could adversely affect our operations, revenue, and growth.</w:t>
      </w:r>
    </w:p>
    <w:p>
      <w:pPr>
        <w:spacing w:after="0" w:line="13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anticipate that the growth of our business will continue to depend on third-party relationships, including key technology and service providers that support our platform, such as payment processors. We rely on third-party technology and infrastructure providers to support key aspects of our business, including cloud hosting, data processing, application performance, and core platform functionality. Many of these providers operate on a non-exclusive basis and may also support our competitors or offer competing services, which could impact our ability to differentiate or maintain performance. Identifying, negotiating, and documenting relationships with third parties requires significant time and resources as does integrating third-party content and technology into our platform and operations.</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also rely on certain third-party data sources to support policyholder underwriting and decision-making through our platform. These sources include credit-based insurance scores, driving records, prescription data, medical records, and other consumer information provided by unaffiliated vendors, and, in some cases, analysis and interpretation of such data. Access to this data is important to the speed, accuracy, and overall functionality of our platform. If we lose access to any of these data sources, including any analytics thereof, experience disruptions in availability, or encounter changes in pricing, usage terms, or regulatory constraints affecting access to or use of such data (or any analytics thereof), our ability to support underwriting could be impaired. In addition, if these vendors degrade service quality or if these data sources fail to meet evolving technical or compliance standards, or fail to meet standards of accuracy and acceptable ranges of mortality predictiveness of our present and future carrier partners, it could result in delays or friction in the application process for consumers and agents, and limit the ability of carriers to efficiently evaluate risk. Because our underwriting model does not involve traditional medical exams or laboratory testing, we rely on these alternative data sources to evaluate risk. While we believe these data sources are sufficient to support accurate and efficient underwriting, they may not provide the same depth or type of medical information as traditional processes. As a result, our ability to support certain products, including those that require more comprehensive medical evaluation, may be limited, and some carriers may be unwilling to underwrite policies using our approach. While we have not experienced limitations on the number of carriers that our platform’s decision-making can handle, we may encounter difficulties or challenges with our decision-making processes and capabilities, including due to factors impacting our third-party vendors that may be outside of our control, that impede our ability to satisfy our carriers’ underwriting standards and conditions and harm our reputation, business, and results of operations. Further, any of these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developments could reduce the effectiveness of our platform, diminish adoption or satisfaction among carriers, agents, and applicants, and adversely affect our business and operating results. In addition, third-party service providers may not perform as expected under our agreements, and we or our carriers may in the future have disagreements or disputes with such providers, while our competitors may be effective in providing incentives to carriers to favor their products or services on competitors’ platforms or to prevent or reduce sales made through our platform. If we lose access to products from a particular carrier, or experience a significant disruption in the supply of products from a current carrier, especially a carrier offering a unique or popular insurance product, our business and operating results could be harmed.</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changes in the availability, cost, permitted use, or quality of certain third-party underwriting data could disrupt our business operations and harm our business, growth, and results of operations. For example, if any laws or regulations were to prohibit the use of financial underwriting scores based on concerns of discriminatory impact, we could lose the ability to support rapid underwriting, which would negatively impact our consumer experience, conversion rates, revenue, and operating margins. Similarly, if providers of prescription and medical claims intelligence were to discontinue or limit their data offerings, and we were required to rely on raw data inputs, we would need to rapidly adapt our underwriting processes, which we are not currently equipped to do. Any of these developments could impair the functionality and competitiveness of our platform and negatively affect our business, financial condition, and results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subject to risks related to disputes, legal proceedings, and governmental inquiries.</w:t>
      </w:r>
    </w:p>
    <w:p>
      <w:pPr>
        <w:spacing w:after="0" w:line="21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are subject to litigation, regulatory investigations, and claims arising in the normal course of our business operations. The risks associated with these matters often are difficult to assess or quantify and the existence and magnitude of potential claims often remain unknown for substantial periods of time. While we have insurance coverage for some of these potential claims, others may be subject to certain exclusions under our policy and/or not be otherwise covered by insurance, insurers may dispute coverage, or any ultimate liabilities may exceed our coverage limits.</w:t>
      </w:r>
    </w:p>
    <w:p>
      <w:pPr>
        <w:spacing w:after="0" w:line="176"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We may be subject to actions and claims relating to the sale of insurance. Actions and claims may result in the rescission of such sales and consequently, carriers may seek to recoup commissions paid to us, which may lead to legal action against us. The outcome of such actions cannot be predicted, and such claims or actions could have a material adverse effect on our business, financial condition, and results of operations.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subject to numerous laws and regulations and may be subject to regulatory investigations from time to time. The insurance industry has been subject to a significant level of scrutiny by various regulatory bodies, including state attorneys general and insurance departments, concerning certain practices within the insurance industry. These practices include the marketing and sale of life insurance policies, denials of coverage, the suitability of insurance products and services, the use, handling, and disclosure of consumer information (including personal information), lead generation and data sharing and sales, and the handling of commissions and agent compensation. From time to time, we have received informational requests from governmental authorities and have been and may in the future be subject to investigations and enforcement actions, including lawsuits, injunctions, damages, and criminal and civil penalties related to disclosures of personal information, including certain types of sensitive health information.</w:t>
      </w:r>
    </w:p>
    <w:p>
      <w:pPr>
        <w:spacing w:after="0" w:line="180"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These same laws sometimes also provide individuals with private rights of action. Therefore, in addition to regulatory investigations and actions, the insurance industry has been subject to consumer lawsuits, including class actions, brought under insurance and state and federal consumer protection laws.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There have been a number of revisions to existing, or proposals to modify or enact new laws and regulations regarding insurance agents, brokers, and distribution platforms. These actions have imposed or could impose additional obligations on us with respect to products sold on our platform.</w:t>
      </w:r>
    </w:p>
    <w:p>
      <w:pPr>
        <w:spacing w:after="0" w:line="16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cannot predict the impact that any new laws, rules, or regulations may have on our business and financial results, and we may become subject to governmental inquiries, subpoenas, or lawsuits.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spacing w:after="0" w:line="176"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Our involvement in investigations and lawsuits have caused and may in the future cause us to incur additional legal and other costs, including fines and damages, some of which may be material in amount. Regardless of final costs, these matters could have a material adverse effect on us by exposing us to negative publicity, reputational damage, harm to consumer relationships, or diversion of personnel and management resources.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business strategy depends in part on expanding our third-party channel, which includes independent agencies and the agents who sell insurance products through our platform. Our third-party channel also increases our exposure to regulatory and compliance risks that we do not directly control. These agencies and agents operate independently and are responsible for their own sales practices, data privacy and security, and marketing activities. As the volume of activity through agencies and agents increases, so does the potential for noncompliance with applicable laws by such parties, including state insurance regulations, consumer protection laws, data privacy laws, and anti-fraud statutes. For example, agents with which we have relationships have in the past, and may in the future, terminate policies issued by carriers we have relationships with and replace them with policies issued by carriers we do not contract with, which is a practice that we prohibit in our contractual arrangements with agencies. Our ability to monitor and influence their conduct is limited, and if any agency or agent fails to comply with applicable laws or engages in conduct that exposes them to liability, we could face reputational harm as well as other negative consequences, including regulatory scrutiny, government investigations, legal liability, or monetary penalties, even if we were not directly involved in the conduct at issue. Any of these outcomes could adversely affect our business, financial condition, and results of operations.</w:t>
      </w:r>
    </w:p>
    <w:p>
      <w:pPr>
        <w:spacing w:after="0" w:line="185" w:lineRule="exact"/>
        <w:rPr>
          <w:sz w:val="20"/>
          <w:szCs w:val="20"/>
          <w:color w:val="auto"/>
        </w:rPr>
      </w:pPr>
    </w:p>
    <w:p>
      <w:pPr>
        <w:ind w:left="120" w:right="740" w:firstLine="551"/>
        <w:spacing w:after="0" w:line="278" w:lineRule="auto"/>
        <w:rPr>
          <w:sz w:val="20"/>
          <w:szCs w:val="20"/>
          <w:color w:val="auto"/>
        </w:rPr>
      </w:pPr>
      <w:r>
        <w:rPr>
          <w:rFonts w:ascii="Arial" w:cs="Arial" w:eastAsia="Arial" w:hAnsi="Arial"/>
          <w:sz w:val="18"/>
          <w:szCs w:val="18"/>
          <w:b w:val="1"/>
          <w:bCs w:val="1"/>
          <w:i w:val="1"/>
          <w:iCs w:val="1"/>
          <w:color w:val="auto"/>
        </w:rPr>
        <w:t>Competition in our industry is intense, and our inability to compete effectively may adversely affect our business, financial condition, and results of operations.</w:t>
      </w:r>
    </w:p>
    <w:p>
      <w:pPr>
        <w:spacing w:after="0" w:line="139"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The business of selling insurance products and services is highly competitive and fragmented, and we expect competition to intensify. We compete for consumers on the basis of reputation, customer service, product offerings, and our ability to innovate and tailor products and services to meet the specific needs of a consumer.</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actively compete with a number of companies, including agencies, brokerages, traditional carrier distribution channels, as well as companies with online and platform offerings similar to ours.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 may not offer in the future.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intermediaries. Furthermore, we compete with various other companies that provide risk-related services or alternatives to traditional insurance services, including other competing start-up companies, which are focused on using technology and innovation, including artificial intelligence, machine learning, and similar tools and technologies, or collectively, AI, digital platforms, data analytics, robotics and blockchain,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If we cannot compete successfully against current and future competitors, our business, results of operations, and financial condition could be negatively impacted.</w:t>
      </w:r>
    </w:p>
    <w:p>
      <w:pPr>
        <w:spacing w:after="0" w:line="180"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consumers, which could have an adverse effect on our business, financial condition, and results of operations.</w:t>
      </w:r>
    </w:p>
    <w:p>
      <w:pPr>
        <w:spacing w:after="0" w:line="183" w:lineRule="exact"/>
        <w:rPr>
          <w:sz w:val="20"/>
          <w:szCs w:val="20"/>
          <w:color w:val="auto"/>
        </w:rPr>
      </w:pPr>
    </w:p>
    <w:p>
      <w:pPr>
        <w:ind w:left="120" w:right="1040" w:firstLine="551"/>
        <w:spacing w:after="0" w:line="271" w:lineRule="auto"/>
        <w:rPr>
          <w:sz w:val="20"/>
          <w:szCs w:val="20"/>
          <w:color w:val="auto"/>
        </w:rPr>
      </w:pPr>
      <w:r>
        <w:rPr>
          <w:rFonts w:ascii="Arial" w:cs="Arial" w:eastAsia="Arial" w:hAnsi="Arial"/>
          <w:sz w:val="18"/>
          <w:szCs w:val="18"/>
          <w:color w:val="auto"/>
        </w:rPr>
        <w:t>Similarly, any increase in competition due to new legislative or industry developments could adversely affect us. These developments include:</w:t>
      </w:r>
    </w:p>
    <w:p>
      <w:pPr>
        <w:spacing w:after="0" w:line="59" w:lineRule="exact"/>
        <w:rPr>
          <w:sz w:val="20"/>
          <w:szCs w:val="20"/>
          <w:color w:val="auto"/>
        </w:rPr>
      </w:pPr>
    </w:p>
    <w:p>
      <w:pPr>
        <w:ind w:left="880" w:right="580" w:hanging="224"/>
        <w:spacing w:after="0" w:line="27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capital-raising by carriers, which could result in new capital in the industry, which in turn may lead to changes in insurance premiums and commissions;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carriers selling insurance directly to insureds without the involvement of a broker, agent or other intermediary;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business compensation model as a result of regulatory developments; and</w:t>
      </w:r>
    </w:p>
    <w:p>
      <w:pPr>
        <w:spacing w:after="0" w:line="117" w:lineRule="exact"/>
        <w:rPr>
          <w:rFonts w:ascii="Arial" w:cs="Arial" w:eastAsia="Arial" w:hAnsi="Arial"/>
          <w:sz w:val="18"/>
          <w:szCs w:val="18"/>
          <w:color w:val="auto"/>
        </w:rPr>
      </w:pPr>
    </w:p>
    <w:p>
      <w:pPr>
        <w:ind w:left="880" w:right="160" w:hanging="224"/>
        <w:spacing w:after="0" w:line="25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spacing w:after="0" w:line="169"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New competition as a result of these or other competitive or industry developments could cause the demand for our products and services to decrease, which could in turn adversely affect our business, financial condition, and results of operations.</w:t>
      </w:r>
    </w:p>
    <w:p>
      <w:pPr>
        <w:spacing w:after="0" w:line="156" w:lineRule="exact"/>
        <w:rPr>
          <w:sz w:val="20"/>
          <w:szCs w:val="20"/>
          <w:color w:val="auto"/>
        </w:rPr>
      </w:pPr>
    </w:p>
    <w:p>
      <w:pPr>
        <w:ind w:left="120" w:right="380" w:firstLine="551"/>
        <w:spacing w:after="0" w:line="256" w:lineRule="auto"/>
        <w:rPr>
          <w:sz w:val="20"/>
          <w:szCs w:val="20"/>
          <w:color w:val="auto"/>
        </w:rPr>
      </w:pPr>
      <w:r>
        <w:rPr>
          <w:rFonts w:ascii="Arial" w:cs="Arial" w:eastAsia="Arial" w:hAnsi="Arial"/>
          <w:sz w:val="18"/>
          <w:szCs w:val="18"/>
          <w:b w:val="1"/>
          <w:bCs w:val="1"/>
          <w:i w:val="1"/>
          <w:iCs w:val="1"/>
          <w:color w:val="auto"/>
        </w:rPr>
        <w:t>Cyber attacks, data breaches, security incidents, systems failures, and resulting interruptions in the availability of our websites, mobile applications, platform, or services could adversely affect our business, financial condition, and results of operations.</w:t>
      </w:r>
    </w:p>
    <w:p>
      <w:pPr>
        <w:spacing w:after="0" w:line="15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It is critical to our success that consumers, agents, and carriers be able to access our platform at all times. Our systems, or those of third parties upon which we rely, may experience service interruptions or degradation or other performance problems because of data breaches or data security incidents (for additional information on this risk, see the section titled “Risk Factors—Risks Related to Intellectual Property, Data Privacy, and Security—If our information technology systems or those of third parties with whom we work or our data, are or were compromised, we could experience adverse consequences resulting from such compromise, including regulatory investigations or actions, litigation,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fines and penalties, disruptions of our business operations, reputational harm, loss of revenue or profits, loss of consumers or sales, and other adverse consequences”), infrastructure changes, human error, earthquakes, hurricanes, floods, fires, other natural disasters, power losses, disruptions in telecommunications services, fraud, military or political conflicts, terrorist attacks, or other attempts to infiltrate or harm our systems or platform. It has become increasingly difficult and expensive to maintain and improve the performance of our systems and the availability of our platform, especially during peak usage times, as our operations grow and the usage of our platform increases. Some of our systems are not fully redundant, and our disaster recovery planning may not be sufficient for all eventualities.</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may experience system failures and other events or conditions that interrupt the availability or reduce or affect the speed or functionality of our platform. These events could result in significant losses of revenue and could harm our brand and reputation. Affected users could seek monetary recourse from us for their losses and such claims, even if unsuccessful, would likely be time-consuming and costly for us to address. In addition, such breaches have in the past required, and may in the future require notification to governmental agencies, the media, or individuals pursuant to various federal and state privacy and security laws and regulations. Further, we may not be able to identify the cause or causes of these performance problems within an acceptable period of time. A prolonged interruption in the availability or reduction in the availability, speed, or other functionality of our platform could adversely affect our business and reputation and could result in the loss of consumers. Our business interruption insurance may not be sufficient to cover all of our losses that may result from interruptions in our service as a result of system failures, cyber attacks, and similar events.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brand awareness and marketing efforts to help grow our business may not be effective.</w:t>
      </w:r>
    </w:p>
    <w:p>
      <w:pPr>
        <w:spacing w:after="0" w:line="21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Promoting awareness of our platform and maintaining and enhancing our reputation is important to our ability to grow our business, and attracting consumers, agents, agencies, and carriers can be costly. We believe that much of the growth in the number of consumers, agents, agencies, and carriers that utilize our platform is attributable to our paid marketing initiatives. Our marketing efforts have included referrals, affiliate programs, partnerships, display advertising, television, billboards, radio, video, social media, email, podcasts, search engine optimization, and keyword search campaigns. Our marketing initiatives may become increasingly expensive, and we may not generate a meaningful return on these initiatives. Even if we increase revenue as a result of our paid marketing efforts, it may not offset the additional marketing expenses we incur. If our marketing efforts to help grow our business are not successful or cost-effective, our business, financial condition, and results of operations could be adversely affected.</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successful promotion of our brand and the market’s awareness of our platform and product offerings will depend on a number of factors, including our marketing efforts, ability to continue to expand our product offerings, and ability to successfully differentiate our platform from competing channels. We expect to invest substantial resources to promote and maintain our brand, but there is no guarantee that our brand development strategies will enhance the recognition of our brand or lead to increased sales. Brand promotion activities may not yield increased revenue, and even if they do, the increased revenue may not offset the expenses we incur in promoting and maintaining our brand and reputation. If our efforts to cost-effectively promote and maintain our brand are not successful, our results of operations and our ability to attract and engage consumers, agencies, and agents may be adversely affected. Further, even if our brand recognition and consumer loyalty increase, this may not yield increased revenue for us.</w:t>
      </w:r>
    </w:p>
    <w:p>
      <w:pPr>
        <w:spacing w:after="0" w:line="180"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Unfavorable publicity regarding our customer service, privacy, data security, data protection practices, and certain agencies with which we have a relationship could also harm our reputation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diminish confidence in, and the use of, our services. Fear of loss of consumers or lack of consumer adoption due to poor service quality or negative customer or shopper reviews or press may make agencies or agents reluctant to remain with us. The same negative network effects could occur as a result of trust and safety or fraud incidents as well as data breaches and other data security incidents. In addition, negative publicity related to agencies or carriers with whom we work may damage our reputation, even if the publicity is not directly related to us. If we fail to maintain, protect, and enhance our brand successfully or to maintain loyalty among consumers, agencies, and carriers, or if we incur substantial expenses in unsuccessful attempts to maintain, protect, and enhance our brand, we may fail to attract or increase the engagement of consumers, agencies, and carriers, and our business, financial condition, and results of operations may suffer.</w:t>
      </w:r>
    </w:p>
    <w:p>
      <w:pPr>
        <w:spacing w:after="0" w:line="170" w:lineRule="exact"/>
        <w:rPr>
          <w:sz w:val="20"/>
          <w:szCs w:val="20"/>
          <w:color w:val="auto"/>
        </w:rPr>
      </w:pPr>
    </w:p>
    <w:p>
      <w:pPr>
        <w:ind w:left="120" w:right="40" w:firstLine="551"/>
        <w:spacing w:after="0" w:line="278"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39"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79"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accurately predict revenue and appropriately plan our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levels of terminations that result in larger than expected changes in observed persistency and our persistency estimates;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macroeconomic pressures and challenges, including due to inflation, high interest rates, and tariffs;</w:t>
      </w:r>
    </w:p>
    <w:p>
      <w:pPr>
        <w:spacing w:after="0" w:line="117"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the loss of new agency and carrier relationships as well as introduction of new products or the loss of existing products on our platform;</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or diminution in our third-party channel as well as future shifts in revenue contribution between our two channels;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new policies activated;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the recoupment of agent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entry into agreements to sell a portion of our commissions receivable;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strategic investments and expenditures;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operating expense as we seek to improve efficiencies, comply with changing regulatory requirements, and expand our business, offerings, and technologies;</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future public health threats on our business;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12"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unduly relied upon as an indication of future performance.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620" w:firstLine="551"/>
        <w:spacing w:after="0" w:line="278" w:lineRule="auto"/>
        <w:rPr>
          <w:sz w:val="20"/>
          <w:szCs w:val="20"/>
          <w:color w:val="auto"/>
        </w:rPr>
      </w:pPr>
      <w:r>
        <w:rPr>
          <w:rFonts w:ascii="Arial" w:cs="Arial" w:eastAsia="Arial" w:hAnsi="Arial"/>
          <w:sz w:val="18"/>
          <w:szCs w:val="18"/>
          <w:b w:val="1"/>
          <w:bCs w:val="1"/>
          <w:i w:val="1"/>
          <w:iCs w:val="1"/>
          <w:color w:val="auto"/>
        </w:rPr>
        <w:t>Changes in our accounting estimates and assumptions could negatively affect our financial position and operating results.</w:t>
      </w:r>
    </w:p>
    <w:p>
      <w:pPr>
        <w:spacing w:after="0" w:line="13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We prepare our consolidated financial statements in accordance with GAAP. These accounting principles require us to make assumptions, estimates or judgments that affect the reported amounts of assets, liabilities, revenue, and expenses in our consolidated financial statements. We are required to make certain judgments and estimates that affect the disclosed and recorded amounts of revenue and expenses related to accounting under Accounting Standards Codification, or ASC, Topic 606 </w:t>
      </w:r>
      <w:r>
        <w:rPr>
          <w:rFonts w:ascii="Arial" w:cs="Arial" w:eastAsia="Arial" w:hAnsi="Arial"/>
          <w:sz w:val="18"/>
          <w:szCs w:val="18"/>
          <w:i w:val="1"/>
          <w:iCs w:val="1"/>
          <w:color w:val="auto"/>
        </w:rPr>
        <w:t>Reverse Recognition</w:t>
      </w:r>
      <w:r>
        <w:rPr>
          <w:rFonts w:ascii="Arial" w:cs="Arial" w:eastAsia="Arial" w:hAnsi="Arial"/>
          <w:sz w:val="18"/>
          <w:szCs w:val="18"/>
          <w:color w:val="auto"/>
        </w:rPr>
        <w:t>. For example, persistency estimates may be more variable early in the life cycle of a product or carrier relationship due to lack of relevant historical data to analyze. Lack of historical data as well as experience with post-issue audit practices of new carriers on our platform can result in greater fluctuations in future revenue and cash flows. We periodically evaluate our assumptions, estimates and judgment and conduct persistency assessments with outside advisors on a quarterly basis. We base our estimates and judgments on historical experience and other assumptions that we believe are reasonable under the circumstances. Such assumptions, estimates or judgments, however, are both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spacing w:after="0" w:line="185" w:lineRule="exact"/>
        <w:rPr>
          <w:sz w:val="20"/>
          <w:szCs w:val="20"/>
          <w:color w:val="auto"/>
        </w:rPr>
      </w:pPr>
    </w:p>
    <w:p>
      <w:pPr>
        <w:ind w:left="120" w:right="360" w:firstLine="551"/>
        <w:spacing w:after="0" w:line="278" w:lineRule="auto"/>
        <w:rPr>
          <w:sz w:val="20"/>
          <w:szCs w:val="20"/>
          <w:color w:val="auto"/>
        </w:rPr>
      </w:pPr>
      <w:r>
        <w:rPr>
          <w:rFonts w:ascii="Arial" w:cs="Arial" w:eastAsia="Arial" w:hAnsi="Arial"/>
          <w:sz w:val="18"/>
          <w:szCs w:val="18"/>
          <w:b w:val="1"/>
          <w:bCs w:val="1"/>
          <w:i w:val="1"/>
          <w:iCs w:val="1"/>
          <w:color w:val="auto"/>
        </w:rPr>
        <w:t>Our ability to recoup payments from agents and the timing of those recouped payments may impact our business and operating results.</w:t>
      </w:r>
    </w:p>
    <w:p>
      <w:pPr>
        <w:spacing w:after="0" w:line="139"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Upon termination of a policy within certain time periods of activation, we are entitled to recoup all or a portion of agent payments. We have historically experienced and may continue to experience delays in receiving recoupment payments from agents beyond contractually prescribed repayment periods. We have limited means to pursue repayments from individual agents, and actions we take to pursue repayments may be perceived negatively by applicable agencies, which may harm our relationships with such agencies. In addition, if we take, or are perceived to take, punitive action against certain highly productive agents who are delayed in paying recoupment amounts, it could negatively impact our business and results of operations. Delays in recoupment of agent repayments may negatively impact our ability to make commission repayments to carriers upon lapses of policies. Any delays in our commission repayments in connection with policy lapses may harm our reputation and relationship with carriers, which would negatively impact our business, financial condition, and results of operations.</w:t>
      </w:r>
    </w:p>
    <w:p>
      <w:pPr>
        <w:spacing w:after="0" w:line="185"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i w:val="1"/>
          <w:iCs w:val="1"/>
          <w:color w:val="auto"/>
        </w:rPr>
        <w:t>Non-compliance with or changes in laws, regulations or licensing requirements applicable to us could restrict our ability to conduct our business and impact our results of operations and financial condition.</w:t>
      </w:r>
    </w:p>
    <w:p>
      <w:pPr>
        <w:spacing w:after="0" w:line="13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industry in which we operate is subject to extensive regulation. We are subject to regulation and supervision both federally and in each applicable local jurisdiction. In general, these regulations are designed to protect customers,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including requirements to maintain surety bonds in a number of states. Failure to comply with regulatory requirements, or changes in regulatory requirements or interpretations, could result in actions by regulators, potentially leading to fines and penalties, adverse publicity, and damage to our reputation in the marketplace. We may be unable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of regulatory authorities, we may be penalized. In extreme cases, revocation of our authority to do business in one or more jurisdictions could result from failure to comply with regulatory requirements. In addition, we could face lawsuits by consumers (including class action lawsuits),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spacing w:after="0" w:line="17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Insurance agents and their principals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any payments we make to third parties are in compliance with applicable laws. However, should any regulatory agency take a contrary position and prevail, we will be required to change the manner in which we pay fees to such agents or principals or require entities receiving such payments to become registered or licensed.</w:t>
      </w:r>
    </w:p>
    <w:p>
      <w:pPr>
        <w:spacing w:after="0" w:line="17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These regulators are also increasingly focused on the use of AI in offering and underwriting consumer products. In addition, because we act as both a producer and a third-party administrator to support policy distribution and provide certain administrative services on behalf of carriers, we are required to maintain various state licenses to operate in these roles. Failure to obtain or maintain these licenses, or to comply with associated regulatory requirements, could impair our ability to operate in certain jurisdictions and adversely affect our business.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consumers, carriers, and third parties.</w:t>
      </w:r>
    </w:p>
    <w:p>
      <w:pPr>
        <w:spacing w:after="0" w:line="18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are also subject to U.S. federal and state laws governing marketing and consumer outreach. For example, certain outreach activities, such as marketing calls or text messages, may be subject to Telephone Consumer Protection Act, or TCPA, as interpreted and implemented by the Federal Communications Commission, or FCC and U.S. courts, as well as similar state telemarketing laws, which regulate how and when such communications may be made and can impose significant restrictions on the use of telephone calls and text messages to residential and mobile telephone numbers as a means of communication when prior consent of the person being contacted has not been obtained. Violations of the TCPA may be enforced by the FCC or by individuals through litigation, as we have experienced in the past, including through costly class actions, of which numerous suits under federal and state laws have been filed in recent years against companies who conduct telemarketing and/or SMS texting programs, resulting in significant judgements or settlement awards to the plaintiffs. Further, any changes to the TCPA, its interpretation, or enforcement that further restricts the way we or our agents contact and communicate with potential consumers or generate leads could harm our business, financial condition, and result of operations. Additionally, CAN-SPAM establishes specific requirements for commercial email messages and specifies penalties for the transmission of commercial email. Although we have implemented compliance procedures and may rely on enterprise partners or vendors to manage these activities, we may still face, and have faced, regulatory scrutiny or claims regarding actual or perceived violations of these laws. Our uses of certain personal or health information for marketing and other purposes may also be restricted by federal and state laws and regulations. In addition, because we facilitate financial transactions in connection with the sale and servicing of insurance policies, and collect personal and financial data from applicants, we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auto"/>
        </w:rPr>
        <w:t>are subject to certain anti-money laundering and economic sanctions laws and regulations, including those administered by the U.S. Department of the Treasury’s Office of Foreign Assets Control, or OFAC. Failure to comply with these requirements could result in significant penalties, regulatory investigations, reputational harm, or limitations on our ability to operate.</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Additionally, 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In addition, the growth of our product mix to include more complex or variable products further exposes us to risk and regulatory scrutiny of the sale of such products to seniors. For example, our platform now includes wills and estate planning services, which may subject us to additional legal and regulatory requirements, including those relating to the unauthorized practice of law, state-specific documentation standards, and marketing to seniors. We are unable to predict whether any such laws or regulations will be enacted and to what extent such laws and regulations would affect our business.</w:t>
      </w:r>
    </w:p>
    <w:p>
      <w:pPr>
        <w:spacing w:after="0" w:line="182"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i w:val="1"/>
          <w:iCs w:val="1"/>
          <w:color w:val="auto"/>
        </w:rPr>
        <w:t>Fluctuations or an overall decline in economic activity, or any adverse trends in the life insurance industry, could have a material adverse effect on the financial condition and results of operations of our business</w:t>
      </w:r>
      <w:r>
        <w:rPr>
          <w:rFonts w:ascii="Arial" w:cs="Arial" w:eastAsia="Arial" w:hAnsi="Arial"/>
          <w:sz w:val="18"/>
          <w:szCs w:val="18"/>
          <w:color w:val="auto"/>
        </w:rPr>
        <w:t>.</w:t>
      </w:r>
    </w:p>
    <w:p>
      <w:pPr>
        <w:spacing w:after="0" w:line="13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Macroeconomic challenges, including adverse conditions resulting from uncertainty concerning tariffs, the volatility and strength of the capital markets, increased rates of inflation, high interest rates, government shutdowns, debt ceilings or funding, and public health emergencies can and have affected the life insurance industry. Life insurance trends have historically been impacted by changes in interest rates, employment levels, and median household income. The current macroecononic environment, characterized by elevated interest rates and heightened consumer price sensitivity, has impacted and may continue to impact the insurance industry, including by contributing to fluctuations in policy demand and pricing behavior across the industry. Downward fluctuations in the year-over-year insurance premiums charged by insurers to protect against the same risk could adversely affect our commission rates and our revenue growth and margins. Shifts in life insurance trends resulting from macroeconomic uncertainty or changes in mortality rates also harm our ability to accurately predict our business trends as well as our persistency assumptions, which can cause fluctuations in revenue and cash flow in future periods, including from policy cancellations. Insolvencies and consolidations associated with an economic downturn, especially insolvencies in the insurance industry, could adversely affect our business through the reduction in activity of or loss of carriers or agencies as well as a slowdown in the life insurance market. Also, some of our consumers or some agencies may experience liquidity problems or other financial difficulties in the event of a prolonged deterioration in macroeconomic conditions or a recession, which could result in our consumers becoming more price-sensitive to life insurance products and may reduce our ability to or impact the rate at which we recover the portion of agent payments due back to us from terminations. Shifts in consumer demand for product offerings away from those that we or our carriers offer may also negatively impact our revenue growth and margins. For all these reasons, a decline in economic activity could have a material adverse effect on our business, financial condition, and results of operations.</w:t>
      </w:r>
    </w:p>
    <w:p>
      <w:pPr>
        <w:spacing w:after="0" w:line="186"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3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Our operations are dependent upon our ability to protect our personnel, offices, and technology infrastructure against damage from business continuity events that could have a significant disruptive effect on our operations. Should we or our critical third-party service providers experience a local or regional disaster or other business continuity problem, such as an earthquake, hurricane, terrorist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attack,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our hybrid work model, and our existing backup systems provide us with some degree of flexibility, we still can experience near-term operational challenges in particular areas of our operations. We could potentially lose key executives, personnel, consumer data or experience material adverse interruptions to our operations or delivery of services to consumers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reputational harm, damaged consumer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spacing w:after="0" w:line="188"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8"/>
          <w:szCs w:val="18"/>
          <w:b w:val="1"/>
          <w:bCs w:val="1"/>
          <w:i w:val="1"/>
          <w:iCs w:val="1"/>
          <w:color w:val="auto"/>
        </w:rPr>
        <w:t>If we are unable to apply technology effectively in driving value for our consumers through technology-based solutions or gain internal efficiencies and effective internal controls through the application of technology and related tools, our operating results, consumer relationships, growth, and compliance programs could be adversely affected.</w:t>
      </w:r>
    </w:p>
    <w:p>
      <w:pPr>
        <w:spacing w:after="0" w:line="15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future success depends, in part, on our ability to anticipate and respond effectively to the threat of, and the opportunity presented by, digital disruption and other technology changes. These may include new applications or insurance-related services based on AI or machine learning technologies.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customer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develop more cost-effective technologies or product offerings, we could experience a material adverse effect on our operating results, consumer relationships, growth, and compliance programs.</w:t>
      </w:r>
    </w:p>
    <w:p>
      <w:pPr>
        <w:spacing w:after="0" w:line="182" w:lineRule="exact"/>
        <w:rPr>
          <w:sz w:val="20"/>
          <w:szCs w:val="20"/>
          <w:color w:val="auto"/>
        </w:rPr>
      </w:pPr>
    </w:p>
    <w:p>
      <w:pPr>
        <w:ind w:left="120" w:right="120" w:firstLine="551"/>
        <w:spacing w:after="0" w:line="256" w:lineRule="auto"/>
        <w:rPr>
          <w:sz w:val="20"/>
          <w:szCs w:val="20"/>
          <w:color w:val="auto"/>
        </w:rPr>
      </w:pPr>
      <w:r>
        <w:rPr>
          <w:rFonts w:ascii="Arial" w:cs="Arial" w:eastAsia="Arial" w:hAnsi="Arial"/>
          <w:sz w:val="18"/>
          <w:szCs w:val="18"/>
          <w:b w:val="1"/>
          <w:bCs w:val="1"/>
          <w:i w:val="1"/>
          <w:iCs w:val="1"/>
          <w:color w:val="auto"/>
        </w:rPr>
        <w:t>If we do not continue to innovate and further develop our platform, our platform developments do not perform, we do not successfully manage our platform strategy, or we are not able to keep pace with technological developments, we may not remain competitive and our business and results of operations could suffer.</w:t>
      </w:r>
    </w:p>
    <w:p>
      <w:pPr>
        <w:spacing w:after="0" w:line="15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success depends in part on our ability to continue to innovate and further develop our platform. To remain competitive, we must continuously enhance and improve the functionality and features of our platform, including our website and mobile application and the suite of agent and other customer services that we offer through our platform. To compete effectively, we must also provide a convenient, efficient, and reliable customer experience on our platform, and we may be unable to effectively address customer needs or identify emerging customer trends.</w:t>
      </w:r>
    </w:p>
    <w:p>
      <w:pPr>
        <w:spacing w:after="0" w:line="176"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In addition, any new features or functionalities for our platform that we develop may not be introduced in a timely or cost-effective manner, may contain errors or defects, or may not achieve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broad market acceptance. Agents may delay adoption and use of new features or functionalities and compare them against potentially competitive products in the market. Further, we may make changes to our platform and platform strategy that consumers, agents, or carriers do not find useful, and we may discontinue certain features or functionalities that our consumers or agents have otherwise enjoyed. Failure to effectively manage our platform and platform strategy could lead to consumer, agent or carrier dissatisfaction, which could adversely affect our business and operating results. If existing and new consumers do not perceive the services provided by agents that utilize our platform or the products offered by carriers on our platform to be reliable, competitive, and affordable, or if we fail to offer new and relevant features and functionalities on our platform, we may not be able to attract consumers or to increase the number of policies activated on our platform, any of which could adversely affect our business, financial condition, and results of operations.</w:t>
      </w:r>
    </w:p>
    <w:p>
      <w:pPr>
        <w:spacing w:after="0" w:line="180"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Further, if competitors introduce new features, offerings, or technologies, or if new industry standards and practices or customer trends emerge, our existing technology, services, websites, and mobile application may become less popular or obsolete. In the event that our competitors’ technology is, or is perceived to be, superior to our or our partners’ technology, they may be able to leverage such technology to compete more effectively with us, which could adversely affect our business, financial condition, and results of operations. Our future success could depend in large part on our ability to invest in, develop, and respond to technological advances and emerging industry standards and practices in a cost-effective and timely manner.</w:t>
      </w:r>
    </w:p>
    <w:p>
      <w:pPr>
        <w:spacing w:after="0" w:line="181" w:lineRule="exact"/>
        <w:rPr>
          <w:sz w:val="20"/>
          <w:szCs w:val="20"/>
          <w:color w:val="auto"/>
        </w:rPr>
      </w:pPr>
    </w:p>
    <w:p>
      <w:pPr>
        <w:ind w:left="120" w:right="380" w:firstLine="551"/>
        <w:spacing w:after="0" w:line="278" w:lineRule="auto"/>
        <w:rPr>
          <w:sz w:val="20"/>
          <w:szCs w:val="20"/>
          <w:color w:val="auto"/>
        </w:rPr>
      </w:pPr>
      <w:r>
        <w:rPr>
          <w:rFonts w:ascii="Arial" w:cs="Arial" w:eastAsia="Arial" w:hAnsi="Arial"/>
          <w:sz w:val="18"/>
          <w:szCs w:val="18"/>
          <w:b w:val="1"/>
          <w:bCs w:val="1"/>
          <w:i w:val="1"/>
          <w:iCs w:val="1"/>
          <w:color w:val="auto"/>
        </w:rPr>
        <w:t>Our inability to retain or hire qualified employees, as well as the loss of any of our executive officers, could negatively impact our ability to retain existing business and generate new business.</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opportunities than we can. Any new personnel we hire may not be or become as productive as we expect, as we may face challenges adequately or appropriately integrating them into our workforce culture. Our effort to retain and develop personnel may also result in significant additional expenses, which could adversely affect our profitability. If we are unable to successfully attract, retain, and motivate our employees, whether as a result of an insufficient number of qualified applicants, difficulty in recruiting new employees, or inadequate resources to train, integrate, and retain qualified employees, our business, financial condition, results of operations, and reputation could be materially and adversely affected.</w:t>
      </w:r>
    </w:p>
    <w:p>
      <w:pPr>
        <w:spacing w:after="0" w:line="180"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If any of our key professionals were to join an existing competitor or form a competing company, some of our carriers, agency counterparties, and consumers could choose to use the services of that competitor instead of our services.</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we could be adversely affected if we fail to adequately plan for the succession of our senior management, including our founders, executives, and key personnel. We currently do not maintain key person insurance on these individuals. Although we operate with a decentralized management system, the loss of our senior management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operations. While we have employment contracts with members of senior management, as well as our key employees, they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0" w:firstLine="551"/>
        <w:spacing w:after="0" w:line="278" w:lineRule="auto"/>
        <w:rPr>
          <w:sz w:val="20"/>
          <w:szCs w:val="20"/>
          <w:color w:val="auto"/>
        </w:rPr>
      </w:pPr>
      <w:r>
        <w:rPr>
          <w:rFonts w:ascii="Arial" w:cs="Arial" w:eastAsia="Arial" w:hAnsi="Arial"/>
          <w:sz w:val="18"/>
          <w:szCs w:val="18"/>
          <w:b w:val="1"/>
          <w:bCs w:val="1"/>
          <w:i w:val="1"/>
          <w:iCs w:val="1"/>
          <w:color w:val="auto"/>
        </w:rPr>
        <w:t>Any failure to offer high-quality support for our platform may harm our relationships with consumers, agents, and carriers and could adversely affect our business, financial condition, and results of operations.</w:t>
      </w:r>
    </w:p>
    <w:p>
      <w:pPr>
        <w:spacing w:after="0" w:line="13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ability to attract and retain consumers, agents, and carriers is dependent in part on our ability to provide high-quality support for our platform. Consumers, agents, agencies, and carriers depend on our support organization to resolve any issues relating to our platform. If we are unable to resolve issues in a timely and effective manner, whether raised by prospective or existing policyholders, or by agents and agencies, those users may lose trust in our platform, disengage from our offerings, or shift their business elsewhere. This could result in lower policy volume, reputational harm, and reduced commission revenue. As we continue to grow our business and expand our offerings, we will face challenges related to providing high-quality platform support services at scale. Any failure to maintain high-quality support for our platform, or a market perception that we do not maintain high-quality support, could harm our reputation and adversely affect our ability to scale our platform and business, our financial condition, and results of operations.</w:t>
      </w:r>
    </w:p>
    <w:p>
      <w:pPr>
        <w:spacing w:after="0" w:line="182" w:lineRule="exact"/>
        <w:rPr>
          <w:sz w:val="20"/>
          <w:szCs w:val="20"/>
          <w:color w:val="auto"/>
        </w:rPr>
      </w:pPr>
    </w:p>
    <w:p>
      <w:pPr>
        <w:ind w:left="120" w:right="400" w:firstLine="551"/>
        <w:spacing w:after="0" w:line="278" w:lineRule="auto"/>
        <w:rPr>
          <w:sz w:val="20"/>
          <w:szCs w:val="20"/>
          <w:color w:val="auto"/>
        </w:rPr>
      </w:pPr>
      <w:r>
        <w:rPr>
          <w:rFonts w:ascii="Arial" w:cs="Arial" w:eastAsia="Arial" w:hAnsi="Arial"/>
          <w:sz w:val="18"/>
          <w:szCs w:val="18"/>
          <w:b w:val="1"/>
          <w:bCs w:val="1"/>
          <w:i w:val="1"/>
          <w:iCs w:val="1"/>
          <w:color w:val="auto"/>
        </w:rPr>
        <w:t>We use third-party cloud service providers to deliver our platform services. Any disruption of services from our cloud service providers could harm our business.</w:t>
      </w:r>
    </w:p>
    <w:p>
      <w:pPr>
        <w:spacing w:after="0" w:line="139"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We currently manage our platform services and serve all of our consumers through third-party cloud computing services, such as Amazon Web Services. If, for any reason, we are required to migrate our computing to other cloud service providers, such a transition could require significant time and expense and our business could be adversely impacted.</w:t>
      </w:r>
    </w:p>
    <w:p>
      <w:pPr>
        <w:spacing w:after="0" w:line="169"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color w:val="auto"/>
        </w:rPr>
        <w:t>Our third-party cloud service providers do not guarantee that access to our platform will be uninterrupted or error-free. Any damage to, or failure of, our providers’ systems could result in interruptions to our platform. Interruptions in our services would reduce our revenue, subject us to potential liability and adversely affect our ability to retain our consumers or attract new consumers and would also impact our relationships with carriers and agents using our platform. The performance, reliability, and availability of our platform is critical to our reputation and our ability to attract and retain consumers, agents, and carriers with whom we have a direct relationship. If service interruptions occur, consumers, agents, or carriers could share information about negative experiences on social media or via other channels, which could result in damage to our reputation and loss of future sales. In addition, the hosting costs for our cloud services have increased over time and may increase further if we continue to require more computing or storage capacity and such capacity may not be available on the same terms or with the same costs or at all. These costs could adversely impact our business and financial condition.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may be negatively affected by E&amp;O claims.</w:t>
      </w:r>
    </w:p>
    <w:p>
      <w:pPr>
        <w:spacing w:after="0" w:line="21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consumers, to provide carriers with complete and accurate information relating to the risks being insured, or to appropriately apply funds that we hold on a fiduciary basis. It is not always possible to prevent or detect errors and omissions, and the precautions we take may not be effective in all cases.</w:t>
      </w:r>
    </w:p>
    <w:p>
      <w:pPr>
        <w:spacing w:after="0" w:line="185"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We have errors and omissions insurance coverage to protect against the risk of liability resulting from our alleged and actual errors and omissions. Prices for this insurance and the scope and limits of</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coverage terms available are dependent on our claims history as well as market conditions that are outside of our control. While we endeavor to purchase coverage that is appropriate to our assessment of our risk, we are unable to predict with certainty the frequency, nature or magnitude of claims for direct or consequential damages or whether our errors and omissions insurance will cover such claims.</w:t>
      </w:r>
    </w:p>
    <w:p>
      <w:pPr>
        <w:spacing w:after="0" w:line="152"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an adverse outcome in a particular matter could have a material adverse effect on our results of operations, financial condition or cash flow in a given quarterly or annual period.</w:t>
      </w:r>
    </w:p>
    <w:p>
      <w:pPr>
        <w:spacing w:after="0" w:line="176" w:lineRule="exact"/>
        <w:rPr>
          <w:sz w:val="20"/>
          <w:szCs w:val="20"/>
          <w:color w:val="auto"/>
        </w:rPr>
      </w:pPr>
    </w:p>
    <w:p>
      <w:pPr>
        <w:ind w:left="120" w:right="480" w:firstLine="551"/>
        <w:spacing w:after="0" w:line="256" w:lineRule="auto"/>
        <w:rPr>
          <w:sz w:val="20"/>
          <w:szCs w:val="20"/>
          <w:color w:val="auto"/>
        </w:rPr>
      </w:pPr>
      <w:r>
        <w:rPr>
          <w:rFonts w:ascii="Arial" w:cs="Arial" w:eastAsia="Arial" w:hAnsi="Arial"/>
          <w:sz w:val="18"/>
          <w:szCs w:val="18"/>
          <w:b w:val="1"/>
          <w:bCs w:val="1"/>
          <w:i w:val="1"/>
          <w:iCs w:val="1"/>
          <w:color w:val="auto"/>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spacing w:after="0" w:line="15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pursuing our corporate strategy, we have in the past acquired, and may in the future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the time and resources spent in researching it could adversely result in missed opportunities to locate and acquire other businesses. If we make acquisitions, we may not realize the anticipated benefits of such acquisitions, including revenue growth, operational efficiencies or expected synergies. If we dispose of or otherwise exit certain businesses, we may incur material disposition-related charges, or we may be unable to reduce overhead related to the divested assets.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the marketplace does not accept our products or services, or that we are unable to retain consumers that adopt our new products or services; and the risk of additional liabilities associated with these efforts. In addition, many of the businesses that we acquire and develop will likely have significantly smaller scales of operations prior to the implementation of our growth strategy. If we are not able to manage the growing complexity of these businesses, including improving, refining, or revising our systems and operational practices, and 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spacing w:after="0" w:line="182" w:lineRule="exact"/>
        <w:rPr>
          <w:sz w:val="20"/>
          <w:szCs w:val="20"/>
          <w:color w:val="auto"/>
        </w:rPr>
      </w:pPr>
    </w:p>
    <w:p>
      <w:pPr>
        <w:ind w:left="120" w:right="140" w:firstLine="551"/>
        <w:spacing w:after="0" w:line="256" w:lineRule="auto"/>
        <w:rPr>
          <w:sz w:val="20"/>
          <w:szCs w:val="20"/>
          <w:color w:val="auto"/>
        </w:rPr>
      </w:pPr>
      <w:r>
        <w:rPr>
          <w:rFonts w:ascii="Arial" w:cs="Arial" w:eastAsia="Arial" w:hAnsi="Arial"/>
          <w:sz w:val="18"/>
          <w:szCs w:val="18"/>
          <w:b w:val="1"/>
          <w:bCs w:val="1"/>
          <w:i w:val="1"/>
          <w:iCs w:val="1"/>
          <w:color w:val="auto"/>
        </w:rPr>
        <w:t>If we fail to improve and enhance the functionality, performance, reliability, design, security, and scalability of our platform and innovate and introduce new solutions in a manner that responds to our consumers’ evolving needs, our business may be adversely affected.</w:t>
      </w:r>
    </w:p>
    <w:p>
      <w:pPr>
        <w:spacing w:after="0" w:line="159"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The life insurance markets in which we compete are characterized by constant change and innovation and we expect them to continue to evolve rapidly. Our success has been based on our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ability to identify and anticipate the needs of our consumers and design and maintain a platform that provides them with the tools they need to operate their businesses. Our ability to attract new consumers, earn renewal revenue, being commissions received from the carrier after the first term of a policy, from existing consumers and increase sales to both new and existing consumers will depend in large part on our ability to continue to improve and enhance the functionality, performance, reliability, design, security, and scalability of our platform and to innovate and introduce new solutions. If we fail to anticipate and address consumers’ rapidly changing needs and expectations or adapt to emerging trends, our reputation could be harmed and our business, operating results, and financial condition could suffer.</w:t>
      </w:r>
    </w:p>
    <w:p>
      <w:pPr>
        <w:spacing w:after="0" w:line="18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Furthermore, we expect adoption of our platform and solutions by carriers, agency counterparties, agents, and consumers to increase. As the number of carriers with greater product offerings increases, so does the need for us to offer increased functionality, performance, reliability, scalability, and support, which requires us to devote additional resources to such efforts. Furthermore, as adoption of our platform and solutions by carriers, agency counterparties, agents, and consumers increases, so does the scrutiny and audit requirements imposed on us by our partners, which may demand assurances regarding the security and compliance of our platform. We have in the past, and may in the future be required to undergo third-party audits or obtain industry certifications to validate the effectiveness of our controls. These audits and certifications can be costly and time-consuming. To the extent we are not able to enhance our platform’s functionality to satisfy these requirements, our business, operating results, reputation, and financial condition could be adversely affected.</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experience difficulties with software development that could delay or prevent the development, introduction, or implementation of new solutions and enhancements. We must also continually update, test, and enhance our software platform. The continual improvement and enhancement of our platform requires significant investment and we may not have the resources to make such investment. We may make significant investments in new solutions or enhancements that may not achieve expected returns and such solutions or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execute on these efforts in a manner that responds to our consumers’ evolving needs, our business, operating results, and financial condition will be adversely affected.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results may be adversely affected by changes in the mode of compensation in the insurance industry.</w:t>
      </w:r>
    </w:p>
    <w:p>
      <w:pPr>
        <w:spacing w:after="0" w:line="21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past, state regulators have scrutinized the manner in which insurance brokers are compensated. For example, in 2004, the Attorney General of the State of New York brought charges against members of the insurance brokerage community. These actions have created uncertainty concerning longstanding methods of compensating insurance brokers. Given that the insurance brokerage industry has faced scrutiny from regulators in the past over its compensation practices, and the transparency and discourse to consumers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spacing w:after="0" w:line="187" w:lineRule="exact"/>
        <w:rPr>
          <w:sz w:val="20"/>
          <w:szCs w:val="20"/>
          <w:color w:val="auto"/>
        </w:rPr>
      </w:pPr>
    </w:p>
    <w:p>
      <w:pPr>
        <w:ind w:left="120" w:firstLine="551"/>
        <w:spacing w:after="0" w:line="278" w:lineRule="auto"/>
        <w:rPr>
          <w:sz w:val="20"/>
          <w:szCs w:val="20"/>
          <w:color w:val="auto"/>
        </w:rPr>
      </w:pPr>
      <w:r>
        <w:rPr>
          <w:rFonts w:ascii="Arial" w:cs="Arial" w:eastAsia="Arial" w:hAnsi="Arial"/>
          <w:sz w:val="18"/>
          <w:szCs w:val="18"/>
          <w:b w:val="1"/>
          <w:bCs w:val="1"/>
          <w:i w:val="1"/>
          <w:iCs w:val="1"/>
          <w:color w:val="auto"/>
        </w:rPr>
        <w:t>Internet search engines drive traffic to our platform and our new user growth could decline if we fail to appear prominently in search results.</w:t>
      </w:r>
    </w:p>
    <w:p>
      <w:pPr>
        <w:spacing w:after="0" w:line="139"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Our success depends in part on our ability to attract consumers through Internet search results on search engines such as Google. The number of consumers we attract to our platform from search</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engines is due in large part to how and where our websites rank in unpaid search results. These rankings can be affected by a number of factors, many of which are not under our direct control and may change frequently. For example, a search engine may change its ranking algorithms, terms of service, methodologies, or design layouts. As a result, links to our websites may not be prominent enough to drive traffic to our websites,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consumers. Any reduction in the number of consumers directed to our platform could adversely affect our business, financial condition, and results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w:t>
      </w:r>
    </w:p>
    <w:p>
      <w:pPr>
        <w:spacing w:after="0" w:line="21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Our reputation is one of our key assets. Our ability to attract and retain consumers is highly dependent upon the external perceptions of our level of service, trustworthiness, business practices, financial condition, and other subjective qualities. If a carrier, agency or group of agents is not satisfied with our platform, we may incur additional costs to address the sources of dissatisfaction or lose the relationship altogether, which may negatively impact other carriers’, agencies’, or agents’ perception regarding us. Our success is also dependent on maintaining a good reputation with existing and potential employees, agents, investors, regulators, and the communities in which we operate. Negative perceptions or publicity regarding these or other matters, including our association with consumers or business partners who themselves have a damaged reputation, or from actual or alleged conduct by us or our employees, could damage our reputation. Any resulting erosion of trust and confidence among existing and potential consumers, existing or potential agents, regulators, and other parties important to the success of our business could make it difficult for us to attract new consumers and maintain existing ones, which could have a material adverse effect on our business, financial condition, and results of operations.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Intellectual Property, Data Privacy, and Security</w:t>
      </w:r>
    </w:p>
    <w:p>
      <w:pPr>
        <w:spacing w:after="0" w:line="21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or collectively, process, personal information (which may also be referred to as “personally identifiable information,” “personal data,” “individually identifiable health information,” “consumer health data,” or similar terms), including sensitive information, such as proprietary and confidential business data, trade secrets, intellectual property, sensitive personal information and sensitive third-party data, or collectively, sensitive data. For example, we process personal information (including sensitive data) of our current, prospective, and past customers, which includes health data, financial data, and other personal information and sensitive data (such as social security numbers) as disclosed in our public-facing privacy notices.</w:t>
      </w:r>
    </w:p>
    <w:p>
      <w:pPr>
        <w:spacing w:after="0" w:line="185"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Our data collection and processing activities subject us to numerous data privacy and security obligations, such as various laws, regulations, guidance, industry standards, external and internal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privacy and security policies, contractual requirements, and other obligations relating to data privacy and security. These requirements and obligations also apply to transfers of information among our affiliates, as well as to transactions we enter into with vendors and other third parties.</w:t>
      </w:r>
    </w:p>
    <w:p>
      <w:pPr>
        <w:spacing w:after="0" w:line="16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comprehensive and sector-specific privacy laws and regulations, consumer protection laws (e.g., Section 5 of the Federal Trade Commission Act), and other similar laws (e.g., wiretapping laws). At the U.S. federal level, we are subject to, among other laws, the Gramm-Leach-Bliley Act, or GLBA, which requires financial institutions, including insurers, to,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U.S. Federal Trade Commission, or FTC. The FTC and state regulators enforce a variety of data privacy and cybersecurity issues, such as misrepresentations in privacy policies or failures to appropriately protect information about individuals, as unfair or deceptive acts or practices in or affecting commerce in violation of the FTC Act or similar state laws. While we are not directly subject to the federal Health Insurance Portability and Accountability Act of 1996, as amended, including as amended by the Health Information Technology for Economic and Clinical Health Act, or HITECH, and the regulations that implement such laws (collectively, HIPAA), HIPAA affects certain of our business operations. For example, we obtain individuals’ medical and health information from their medical providers and other entities, which we then use for the purposes of determining applicants’ eligibility for life insurance. Many medical providers and other entities cannot release such medical and health information to us unless the release authorizations signed by the individuals satisfy the applicable HIPAA requirements. We also represent in our contractual agreements with key vendors that we comply with HIPAA’s requirements for authorizations to disclose protected health information.</w:t>
      </w:r>
    </w:p>
    <w:p>
      <w:pPr>
        <w:spacing w:after="0" w:line="18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sales of personal information,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and requiring individual’s consent under certain circumstances. These state laws allow for statutory fines for noncompliance. For example, the California Consumer Privacy Act of 2018, as amended by the California Privacy Rights Act of 2020, and all regulations thereto, or collectively, CCPA, applies to personal information of consumers, business representatives, employees, and others who are California residents, and requires businesses to provide specific disclosures in privacy notices and honor requests of such individuals to exercise certain privacy rights including the opt-out of “sales” and “sharing” (as such terms are defined by CCPA) of personal information.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 Similar laws have been passed and/or are being considered in additional states, as well as at the federal level, and we expect more states to pass similar laws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They also require establishing a program of administrative, technical, and physical safeguards designed to protect the security and confidentiality of customer information. Additionally, in response to the growing threat of cyber-attacks in the insurance industry, certain jurisdictions, including New York, have begun to consider new cybersecurity measures, including the adoption of cybersecurity regulations. In March 2017, the New York State Department of Financial Services, or NYDFS, promulgated Cybersecurity Requirements for Financial Services Companies, which require covered financial institutions to establish and maintain a cybersecurity program and implement and maintain cybersecurity policies and procedures that meet specific requirements; the NYDFS adopted amendments to the cybersecurity regulation in 2023, the majority of which became effective in 2024. Additionally,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spacing w:after="0" w:line="180"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color w:val="auto"/>
        </w:rPr>
        <w:t>Several states have also enacted new laws and regulations governing the privacy and security of consumer health data. For example, Washington’s My Health My Data Act, or MHMDA, broadly defines consumer health data, places restrictions on collecting, processing, using, and sharing consumer health data (including imposing stringent requirements for affirmative consents), provides consumers certain rights with respect to their health data, and creates a private right of action to allow individuals to sue for violations of the law. While the MHMDA includes an exemption applicable to GLBA-covered data, and a similar law in Nevada also exempts GLBA-covered entities, other states are considering and may adopt consumer health data privacy laws in the future.</w:t>
      </w:r>
    </w:p>
    <w:p>
      <w:pPr>
        <w:spacing w:after="0" w:line="17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Additionally, under various privacy laws and other obligations, we may be required to obtain certain consents to process personal information. For example, some of our data processing practices have been and may in the future be subject to challenges or lawsuits under data privacy and communications laws, including for example under wiretapping laws, if we share consumer information with third parties through various methods, including chatbot and session replay providers, or via third-party marketing pixels, as has occurred. These practices may be subject to increased challenges by class action plaintiffs for violations of laws such as the California Invasion of Privacy Act and other similar laws. Our inability or failure to obtain consent for these practices could result, and in certain cases has resulted, in adverse consequences, including class action litigation and mass arbitration demands.</w:t>
      </w:r>
    </w:p>
    <w:p>
      <w:pPr>
        <w:spacing w:after="0" w:line="18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Regulators are increasingly scrutinizing the activities of third-party data suppliers, and laws in the United States (including the CCPA and California’s Delete Act) and other jurisdictions are likewise regulating such activity. These laws pose additional, material compliance risks to such data suppliers, and these suppliers may not be able to provide us with personal information in compliance with these laws. For example, some data suppliers are required to register as data brokers under certain state laws such as California law and file reports with regulators, which exposes them to increased scrutiny. Additionally, California’s Delete Act requires the California Privacy Protection Agency, or the CPPA, to establish by January 1, 2026 a mechanism to allow California consumers to submit a single, verifiable request to delete all of their personal information held by all registered data brokers and their service providers. Moreover, third-party data suppliers have recently been subject to increased litigation under</w:t>
      </w:r>
    </w:p>
    <w:p>
      <w:pPr>
        <w:spacing w:after="0" w:line="3" w:lineRule="exact"/>
        <w:rPr>
          <w:sz w:val="20"/>
          <w:szCs w:val="20"/>
          <w:color w:val="auto"/>
        </w:rPr>
      </w:pPr>
    </w:p>
    <w:p>
      <w:pPr>
        <w:jc w:val="both"/>
        <w:ind w:left="120" w:right="180"/>
        <w:spacing w:after="0" w:line="242" w:lineRule="auto"/>
        <w:rPr>
          <w:sz w:val="20"/>
          <w:szCs w:val="20"/>
          <w:color w:val="auto"/>
        </w:rPr>
      </w:pPr>
      <w:r>
        <w:rPr>
          <w:rFonts w:ascii="Arial" w:cs="Arial" w:eastAsia="Arial" w:hAnsi="Arial"/>
          <w:sz w:val="18"/>
          <w:szCs w:val="18"/>
          <w:color w:val="auto"/>
        </w:rPr>
        <w:t>various claims of violating certain state privacy laws. These laws and challenges may make it so difficult for our suppliers to provide the data that the costs associated with the data materially increase or may materially decrease the availability of data that our data suppliers can provide to us.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551"/>
        <w:spacing w:after="0" w:line="257" w:lineRule="auto"/>
        <w:rPr>
          <w:sz w:val="20"/>
          <w:szCs w:val="20"/>
          <w:color w:val="auto"/>
        </w:rPr>
      </w:pPr>
      <w:r>
        <w:rPr>
          <w:rFonts w:ascii="Arial" w:cs="Arial" w:eastAsia="Arial" w:hAnsi="Arial"/>
          <w:sz w:val="18"/>
          <w:szCs w:val="18"/>
          <w:color w:val="auto"/>
        </w:rPr>
        <w:t>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r>
        <w:rPr>
          <w:rFonts w:ascii="Arial" w:cs="Arial" w:eastAsia="Arial" w:hAnsi="Arial"/>
          <w:sz w:val="18"/>
          <w:szCs w:val="18"/>
          <w:b w:val="1"/>
          <w:bCs w:val="1"/>
          <w:i w:val="1"/>
          <w:iCs w:val="1"/>
          <w:color w:val="auto"/>
        </w:rPr>
        <w:t>.</w:t>
      </w:r>
    </w:p>
    <w:p>
      <w:pPr>
        <w:spacing w:after="0" w:line="15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Additionally, as part of certain lead monetization efforts, we have begun providing lead information from individuals who start but do not complete the insurance application process on our platform to a limited number of third-party agencies. While we intend for this information to be used solely for insurance-related purposes and by agencies, once shared, we do not control how these agencies handle the data. As a result, this initiative may expose us to heightened privacy, data security, and reputational risks, particularly if these third parties fail to comply with applicable laws or consumer expectations regarding the handling of personal information.</w:t>
      </w:r>
    </w:p>
    <w:p>
      <w:pPr>
        <w:spacing w:after="0" w:line="17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We are also bound by contractual obligations related to data privacy and security, with which we may not fully comply and our efforts to comply with such obligations may not be successful. For example, certain privacy laws require us to undertake certain obligations with respect to data privacy and security or require us or our customers to impose specific contractual restrictions on our or their service providers.</w:t>
      </w:r>
    </w:p>
    <w:p>
      <w:pPr>
        <w:spacing w:after="0" w:line="18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Legal requirements and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information on our behalf. In addition, these obligations may require us to change our business model in part because our business model depends on our ability to process personal information. As such, we are particularly exposed to the risks associated with the rapidly changing legal landscape, including with respect to data privacy laws and regulations. For example, we may be at heightened risk of regulatory scrutiny, and any changes in the regulatory framework could require us to fundamentally change our business model, which could adversely impact our business, financial condition and/or results of operations. In addition, we are and may become in the future contractually subject to self-regulatory standards adopted by industry groups. For example, we are subject to the Payment Card Industry Data Security Standard, or PCI DSS, a self-regulatory standard that requires companies that accept payment cards, or that process payment card information to implement certain cybersecurity measures and/or annually validate that required security controls are in place. Companies that accept payment cards but otherwise outsource payment card processing to a third party and do not process payment card information themselves, as we do, are subject to minimal requirements under the PCI DSS. If we or our payment processors fail to comply with the PCI DSS, we may incur significant fines or liability and lose access to major payment card systems.</w:t>
      </w:r>
    </w:p>
    <w:p>
      <w:pPr>
        <w:spacing w:after="0" w:line="18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may at times fail (or be perceived to have failed) to comply with our data privacy and security obligations. Moreover, despite our efforts, our personnel or third parties with whom we work may fail to comply with such obligations, which could negatively impact and in certain cases has negatively impacted our business operations. If we or the third parties with whom we work fail, or are perceived to have failed, to address or comply with applicable data privacy and security obligations, we could face significant consequences, including: government enforcement actions (e.g., investigations, fines, penalties, audits, inspections, consent orders, injunctions, settlement, or resolution orders and similar);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litigation (including class-action claims) and mass arbitration demands; additional reporting requirements and/or oversight and requirements to take remedial actions;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6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have in the past received, and may in the future receive, inquiries and have been, and may again become, subject to investigations, proceedings, orders, or various government inquiries regarding our data privacy and security practices and processing and related litigation. For example, in 2022, we learned that threat actors had launched an attack against our website and obtained consumer personal information from a third-party integration. As a result, we were the subject of class action litigation that has since settled as well as inquiries and investigations from various state regulators, all of which have since settled.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Data privacy and cybersecurity laws, rules, and regulations are matters of growing public concern and are continuously changing in the jurisdictions in which we operate. The failure to adhere to or successfully implement adequate policies and procedures in response to evolving laws, rules, and regulations could result in legal liability or other adverse impacts on our business such as impairment to our reputation.</w:t>
      </w:r>
    </w:p>
    <w:p>
      <w:pPr>
        <w:spacing w:after="0" w:line="18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Any of the foregoing could have a material adverse effect on our reputation, business, or financial condition, including: loss of consumers; interruptions or stoppages in our business operations; inability to process personal information; limited ability to develop or commercialize our products or services; expenditure of time and resources to defend any claim or inquiry; adverse publicity; or substantial changes to our business model or operations.</w:t>
      </w:r>
    </w:p>
    <w:p>
      <w:pPr>
        <w:spacing w:after="0" w:line="176"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spacing w:after="0" w:line="16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Cyber-attacks, data breaches, malicious internet-based activity, online and offline fraud, and other similar activities and/or cybersecurity incidents threaten the confidentiality, integrity, and availability of our and our customers’ personal information (including sensitive data) and information technology systems, and those of the third parties with whom we work. Any such incidents may also compromise confidential business information, result in intellectual property or other confidential or proprietary information being accessed, disclosed, misused, lost, or stolen, including customer, employee or company data (including personal information and other sensitive or regulated data), which could harm our reputation, competitive position or otherwise adversely affect our business. Such threats are prevalent and continue to rise and evolve, are increasingly difficult to detect, and come from a variety of sources, including traditional computer “hackers,” threat actors, “hacktivists,” organized criminal threat actors, personnel (such as through theft or misuse), AI agents, sophisticated nation states, and nation-state-supported actors.</w:t>
      </w:r>
    </w:p>
    <w:p>
      <w:pPr>
        <w:spacing w:after="0" w:line="183"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We and the third parties with whom we work are subject to a variety of evolving threats, including social-engineering attacks (including through deep fakes, which may be increasingly more difficult to identify as fake, and phishing attacks), malicious code (such as viruses and worms), malware</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spacing w:after="0" w:line="17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particular, severe ransomware attacks are becoming increasingly prevalent and could lead to significant interruptions in our operations, ability to provide our products or services, loss of sensitive data and income, reputational harm, and diversion of funds. In certain cases, payments may alleviate the negative impact of a ransomware attack, but we may be unwilling or unable to make such payments due to, for example, applicable laws or regulations prohibiting such payments. And even if we do make any such payments, doing so does not guarantee that we will regain access to any impacted systems or data and does not absolve us of liability under any applicable legal frameworks such as data breach and data security laws and regulations. Further,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sell or provide our services. In addition, remote work has increased risks to our information technology systems and data, as our employees and others utilize network connections, computers and devices outside our premises or network, including working at home, while in transit, and in public locations.</w:t>
      </w:r>
    </w:p>
    <w:p>
      <w:pPr>
        <w:spacing w:after="0" w:line="18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Moreover, it may be difficult and/or costly to detect, investigate, mitigate, contain, and remediate a security incident or data breach, and our efforts to do so may not be successful. Any actions taken by us or the third parties with whom we work to detect, investigate, mitigate, contain, and remediate a security incident or data breach could result in outages, data losses, and disruptions of our business among other risks and issues. Threat actors may also gain access to other networks and systems after a compromise of our networks and systems.</w:t>
      </w:r>
    </w:p>
    <w:p>
      <w:pPr>
        <w:spacing w:after="0" w:line="176"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There are many additional factors that could expose us to cybersecurity risks and vulnerabilities. For example,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also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despite any statements or representations they might make.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at any given moment third parties’ infrastructure in our supply chain or that of the third parties with whom we work could be compromised.</w:t>
      </w:r>
    </w:p>
    <w:p>
      <w:pPr>
        <w:spacing w:after="0" w:line="183"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While we have implemented security measures designed to protect against security incidents and data breaches, there can be no assurance that these measures will be effective. We take steps designed to detect, mitigate, and remediate vulnerabilities in our information systems (such as our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hardware and/or software, including that of third parties with whom we work). However, we have not and will not in the future be able to detect and remediate all such vulnerabilities including on a timely basis. Further, we have and may in the future experience delays in developing and deploying remedial measures and patches designed to address identified vulnerabilities. Any existing and/or unidentified vulnerabilities could be exploited and result in a security incident or data breach at any time.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confidential or sensitive data or our information technology systems, or those of the third parties with whom we work. For example, and as described above, in 2022, we learned that threat actors had launched attacks against our website and obtained consumer personal information from a third-party integration.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A data breach, security incident or other interruption could disrupt, and in certain cases has disrupted, our ability (and that of third parties with whom we work) to provide our services. We may expend significant resources or modify our business activities to try to protect against security incidents. Further, certain data privacy and security obligations have required us to implement and maintain specific security measures or industry-standard or reasonable security measures to protect our information technology systems and sensitive data.</w:t>
      </w:r>
    </w:p>
    <w:p>
      <w:pPr>
        <w:spacing w:after="0" w:line="1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federal laws, laws in all 50 U.S. states, the District of Columbia, and several U.S. territories can require businesses to provide notice to consumers whose personal information has been disclosed as a result of a data breach. Applicable data privacy and security obligations may require us, or we may voluntarily choose, to notify relevant stakeholders, including affected individuals, customers, regulators, and investors, of security incidents or data breaches, or to take other actions, such as providing credit monitoring and identity theft protection services, and we have done so in the past. Such disclosures and related remedial actions can be costly, and the disclosure or the failure to comply with such applicable requirements could lead to adverse consequences. If we (or a third party with whom we work) experience a security incident or data breach or are perceived to have experienced a security incident or data breach, we may experience, and have in the past experienced, material adverse consequences, such as government enforcement actions (for example, investigations, fines, penalties, audits, and inspections); additional reporting requirements and/or oversight; restrictions on processing personal information (including sensitive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Furthermore, our contracts may not contain limitations of liability, and even where they do, the limitations of liability in our contracts may not be sufficient to protect us from liabilities, damages, or claims related to our data privacy and security obligations. In addition, we cannot be sure that our insurance coverage will be adequate or sufficient to protect us from or to mitigate liabilities arising out of any issues with our privacy and security practices or any data breaches or other security incidents, that such coverage will continue to be available on commercially reasonable terms or at all, or that such coverage will pay future claims. Any of the foregoing risks could adversely affect our business, financial condition, and results of operations.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5"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580" w:firstLine="551"/>
        <w:spacing w:after="0" w:line="278" w:lineRule="auto"/>
        <w:rPr>
          <w:sz w:val="20"/>
          <w:szCs w:val="20"/>
          <w:color w:val="auto"/>
        </w:rPr>
      </w:pPr>
      <w:r>
        <w:rPr>
          <w:rFonts w:ascii="Arial" w:cs="Arial" w:eastAsia="Arial" w:hAnsi="Arial"/>
          <w:sz w:val="18"/>
          <w:szCs w:val="18"/>
          <w:b w:val="1"/>
          <w:bCs w:val="1"/>
          <w:i w:val="1"/>
          <w:iCs w:val="1"/>
          <w:color w:val="auto"/>
        </w:rPr>
        <w:t>We utilize artificial intelligence in connection with our business, which may expose us to regulatory, operational, or reputational risk.</w:t>
      </w:r>
    </w:p>
    <w:p>
      <w:pPr>
        <w:spacing w:after="0" w:line="13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utilize artificial intelligence, machine learning, and similar tools and technologies, or collectively, AI, that collect, aggregate, analyze or generate data or other materials or content in connection with our business, including ancillary and operational functions, such as customer support, lead targeting, agent fraud detection, and development tooling. The use of AI technologies involves inherent risks which may also increase if our use of AI evolves and expands to other areas of our business. For example, AI tools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or other material or content or if the data we are using as inputs for AI is not permitted to be further disclosed under state laws or contractual arrangements on which the AI tools we use rely, or the output of such AI tools, we also may incur liability through the violation of applicable laws and regulations, third-party intellectual property, privacy or other rights, or contracts to which we are a party.</w:t>
      </w:r>
    </w:p>
    <w:p>
      <w:pPr>
        <w:spacing w:after="0" w:line="8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Use of AI technologies could include the input of our confidential information (including non-public information and personal information) by third parties in contravention of non-disclosure agreements or by our personnel or other related parties in contravention of our policies and procedures and, in each case, could result in such confidential information becoming part of a dataset that is generally accessible by AI technologies, applications, and users. The misuse or misappropriation of our data could have an adverse impact on our reputation and could subject us to legal and regulatory investigations and/or actions. Further, the use of AI technologies could be affected by claims of infringement, misappropriation or other violations of intellectual property, including based on the use of large datasets used to train AI technologies or the use of output generated by AI technologies, in either case which contain or are substantially similar to material protected by intellectual property, including patents, copyrights or trademarks. Similar claims of infringement, misappropriation or other violations of intellectual property could be made against providers of AI technologies, and affecting users of such AI technologies, which are considered to have substantial similarities to other, pre-existing AI technologies. Moreover, AI technologies will likely be competitive with certain business practices, or increase the obsolescence of certain organizations’ products or services (which might include competitiveness with, or causing the obsolescence of, other AI technologies). Any such developments could affect any use of our or related third parties’ AI technologies and adversely impact, whether directly or indirectly, the success of our business.</w:t>
      </w:r>
    </w:p>
    <w:p>
      <w:pPr>
        <w:spacing w:after="0" w:line="7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AI technologies may also be more susceptible to cybersecurity threats in part given the volume of data they utilize, which, in turn, could make us more susceptible to cybersecurity threats (such as those described under “—Risks Related to Our Business—Cyber attacks, data breaches, security incidents, systems failures, and resulting interruptions in the availability of our websites, mobile applications, platform, or services could adversely affect our business, financial condition, and results of operations”) to the extent we rely on AI technologies. Further, we could be exposed to risks to the extent our third-party service providers or other partners use AI technologies in their business activities notwithstanding any preventative policies aimed at governing or restricting the use of such AI technologies. We are not able to control the way third-party products or services are developed, trained or maintained or the way third-party services utilizing AI technologies are provided to us.</w:t>
      </w:r>
    </w:p>
    <w:p>
      <w:pPr>
        <w:spacing w:after="0" w:line="180"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The legal and regulatory frameworks within which AI technologies operate continue to rapidly evolve, and it is impossible to predict the full extent of current or future risks related thereto. The technologies underlying AI and its uses are subject to a variety of laws and regulations, including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intellectual property, data privacy and cybersecurity, customer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are applying, or are considering applying, their platform moderation, data privacy and cybersecurity laws and regulations to AI or are considering general legal frameworks for AI. For example, the Colorado Department of Insurance has issued regulations requiring life insurers to establish risk-based governance and management frameworks designed to determine whether algorithms and predictive modeling potentially result in unfair discrimination. Additionally, the National Association of Insurance Commissioners issued a model bulletin on the use of AI that has been adopted in some form by more than 20 states. The bulletins generally describe regulators’ expectations that insurance industry participants develop governance frameworks and risk management protocols designed to prevent unfair or discriminatory practices in connection with the use of AI. We may be required to devote additional resources to comply with new or evolving AI-related regulations, and we may not always be able to anticipate or adapt quickly to such changes.</w:t>
      </w:r>
    </w:p>
    <w:p>
      <w:pPr>
        <w:spacing w:after="0" w:line="186"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Furthermore, because AI technology itself is highly complex and rapidly developing, it is not possible to predict all of the legal, operational or technological risks that may arise relating to any use of AI in our business. In particular, AI technologies could significantly disrupt our industry and the markets in which we operate and subject us to increased competition, legal and regulatory risks, and compliance costs, which could have a material adverse effect on our business, financial condition, and results of operations.</w:t>
      </w:r>
    </w:p>
    <w:p>
      <w:pPr>
        <w:spacing w:after="0" w:line="176" w:lineRule="exact"/>
        <w:rPr>
          <w:sz w:val="20"/>
          <w:szCs w:val="20"/>
          <w:color w:val="auto"/>
        </w:rPr>
      </w:pPr>
    </w:p>
    <w:p>
      <w:pPr>
        <w:ind w:left="120" w:firstLine="551"/>
        <w:spacing w:after="0" w:line="249" w:lineRule="auto"/>
        <w:rPr>
          <w:sz w:val="20"/>
          <w:szCs w:val="20"/>
          <w:color w:val="auto"/>
        </w:rPr>
      </w:pPr>
      <w:r>
        <w:rPr>
          <w:rFonts w:ascii="Arial" w:cs="Arial" w:eastAsia="Arial" w:hAnsi="Arial"/>
          <w:sz w:val="18"/>
          <w:szCs w:val="18"/>
          <w:b w:val="1"/>
          <w:bCs w:val="1"/>
          <w:i w:val="1"/>
          <w:iCs w:val="1"/>
          <w:color w:val="auto"/>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spacing w:after="0" w:line="16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success and ability to compete depends in part on our ability to obtain, maintain, protect, defend, and enforce our intellectual property. To protect our intellectual property rights, we rely on a combination of trademark and copyright laws, trade secret protection, confidentiality agreements, and other contractual arrangements with our affiliates, employees, consumers, strategic partners, and others. However, such measures provide only limited protection and the steps that we take to protect our intellectual property rights may be inadequate to deter infringement, misappropriation or other violation of our intellectual property or proprietary information by others. Further, the failure to protect our domain names could also adversely affect our reputation and brand and make it more difficult for subscribers to find our products and services. We may be unable, without significant cost or at all, to prevent third parties from acquiring domain names that are similar to, infringe upon or otherwise decrease the value of our trademarks and other proprietary rights.</w:t>
      </w:r>
    </w:p>
    <w:p>
      <w:pPr>
        <w:spacing w:after="0" w:line="180"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color w:val="auto"/>
        </w:rPr>
        <w:t>Moreover, while we take precautions designed to protect our intellectual property, competitors, and other unauthorized third parties may copy our technology and use our proprietary brand, content, and information to create or enhance competing solutions and products, which could adversely affect our competitive position in our rapidly evolving and highly competitive industry.</w:t>
      </w:r>
    </w:p>
    <w:p>
      <w:pPr>
        <w:spacing w:after="0" w:line="16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In addition, we may be unable to detect the unauthorized use of our intellectual property rights. Policing unauthorized use of our intellectual property is difficult, expensive, and time-consuming, and we may be required to spend significant resources to monitor and protect our intellectual property rights. Further, currently we do not own any U.S. trademark registrations for our brand names “Ethos” or “Ethos Technologies” that cover the services of our business, though we believe we have established common law rights through usage of such trademarks in commerce. Our lack of a U.S. federal trademark registration for our main brand may limit our ability to enforce such trademarks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expose us to claims from third parties that we have infringed, misappropriated, or otherwise violated their trademarks and/or allow competitors to register similar trademarks, potentially causing consumer confusion and/or harming our reputation. In the event that we opt to rebrand and/or are required to cease using any of our trademarks, we could incur significant costs and risks associated with any rebrand.</w:t>
      </w:r>
    </w:p>
    <w:p>
      <w:pPr>
        <w:spacing w:after="0" w:line="17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7"/>
          <w:szCs w:val="17"/>
          <w:color w:val="auto"/>
        </w:rPr>
        <w:t>Failure to protect our intellectual property adequately could harm our reputation and affect our ability to compete effectively in our industry. In addition, even if we initiate litigation against third parties, such as lawsuits alleging infringement, misappropriation or other violation of our intellectual property, we may not prevail. Litigation brought to protect and enforce our intellectual property rights could be costly, time-consuming, and distracting to management. Our efforts to enforce our intellectual property rights may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or interpreted narrowly and could put our related intellectual property at risk of not issuing or being cancelled. There could also be public announcements of the results of hearings, motions, or other interim proceedings or developments. If securities analysts or investors perceive these results to be negative, it could have a material adverse effect on the price of our Class A common stock. Any of the foregoing could adversely affect our business, financial condition, and results of operations.</w:t>
      </w:r>
    </w:p>
    <w:p>
      <w:pPr>
        <w:spacing w:after="0" w:line="177"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We also cannot guarantee that the operation of our business does not and will not infringe, misappropriate, or otherwise violate the rights of third parties. Third parties may assert intellectual property-related claims against us, including claims of infringement, misappropriation or other violation of their intellectual property,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Additionally, our competitors and other third parties hold numerous trademarks, patents, copyrights, trade secrets and, other intellectual property rights related to technology used in our industry and may hold or obtain trademarks, patents, copyrights, trade secrets and other intellectual property rights that could prevent, limit or interfere with our ability to make, use, develop, sell, or market our products and services, which could make it more difficult for us to operate our business.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rights and to defend claims that may be brought against them. Successful challenges against us could require us to modify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non-exclusive thereby giving our competitors and 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spacing w:after="0" w:line="185" w:lineRule="exact"/>
        <w:rPr>
          <w:sz w:val="20"/>
          <w:szCs w:val="20"/>
          <w:color w:val="auto"/>
        </w:rPr>
      </w:pPr>
    </w:p>
    <w:p>
      <w:pPr>
        <w:ind w:left="120" w:right="200" w:firstLine="551"/>
        <w:spacing w:after="0" w:line="309" w:lineRule="auto"/>
        <w:rPr>
          <w:sz w:val="20"/>
          <w:szCs w:val="20"/>
          <w:color w:val="auto"/>
        </w:rPr>
      </w:pPr>
      <w:r>
        <w:rPr>
          <w:rFonts w:ascii="Arial" w:cs="Arial" w:eastAsia="Arial" w:hAnsi="Arial"/>
          <w:sz w:val="17"/>
          <w:szCs w:val="17"/>
          <w:b w:val="1"/>
          <w:bCs w:val="1"/>
          <w:i w:val="1"/>
          <w:iCs w:val="1"/>
          <w:color w:val="auto"/>
        </w:rPr>
        <w:t>We employ third-party licensed software for use in our business, and the inability to maintain these licenses or errors in the software we license could result in increased costs or reduced service levels, which would adversely affect our business.</w:t>
      </w:r>
    </w:p>
    <w:p>
      <w:pPr>
        <w:spacing w:after="0" w:line="116"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Our business relies on certain third-party software obtained under licenses from other companies. We anticipate that we will continue to rely on such third-party software in the future. Although we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178" w:lineRule="exact"/>
        <w:rPr>
          <w:sz w:val="20"/>
          <w:szCs w:val="20"/>
          <w:color w:val="auto"/>
        </w:rPr>
      </w:pPr>
    </w:p>
    <w:p>
      <w:pPr>
        <w:ind w:left="120" w:right="40" w:firstLine="551"/>
        <w:spacing w:after="0" w:line="256"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 and services and subject us to costly litigation or other disputes.</w:t>
      </w:r>
    </w:p>
    <w:p>
      <w:pPr>
        <w:spacing w:after="0" w:line="159"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have in the past incorporated and may in the future incorporate certain open source software into our platform. Open source software is licensed by its authors or owners under open source licenses, which in some instances may subject us to certain unfavorable conditions.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7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Some open source licenses contain requirements that may, depending on how the licensed software is distributed, conveyed, used or modified, require that we make available source code for modifications or derivative works we create based upon the licensed open source software, authorize further modification and redistribution of that source code, make that source code available at little or no cost, or grant other licenses to our intellectual property. If we combine our proprietary software with open source software in a certain manner, we could be required under certain open source licenses to release the source code of our proprietary software under the terms of an open source software license. This could enable our competitors to create similar offerings with lower development effort and time and ultimately could result in a loss of our competitive advantages. To avoid the release of the affected portions of our source code, we could be required to purchase additional licenses and expend substantial time and resources to re-engineer some or all of our software or cease use or distribution of some or all of our software until we can adequately address the concerns.</w:t>
      </w:r>
    </w:p>
    <w:p>
      <w:pPr>
        <w:spacing w:after="0" w:line="18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Although we have certain policies and procedures in place to monitor our use of open source software that are designed to avoid subjecting our proprietary source code to conditions we do not intend, those policies and procedures may not be effective to detect or address all such conditions. In addition, the terms of many open source licenses have not been interpreted by U.S. or non-U.S. courts, and there is a risk that these licenses could be construed in a way that could impose unanticipated conditions or restrictions on our ability to provide or distribute our platform. There have been claims challenging the ownership of open source software against companies that incorporate open source software into their offerings. As a result, we could be subject to lawsuits by parties claiming ownership of what we believe to be open source software. If we are held to have breached or failed to fully comply with all the terms and conditions of an open 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i w:val="1"/>
          <w:iCs w:val="1"/>
          <w:color w:val="auto"/>
        </w:rPr>
        <w:t>The dual class structure of our common stock as described in our amended and restated certificate of incorporation has the effect of concentrating voting control with those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stockholders who held our stock prior to the closing of this offering and limiting your ability to influence corporate matters, which could adversely affect the trading price of our Class A common stock.</w:t>
      </w:r>
    </w:p>
    <w:p>
      <w:pPr>
        <w:spacing w:after="0" w:line="139" w:lineRule="exact"/>
        <w:rPr>
          <w:sz w:val="20"/>
          <w:szCs w:val="20"/>
          <w:color w:val="auto"/>
        </w:rPr>
      </w:pPr>
    </w:p>
    <w:p>
      <w:pPr>
        <w:ind w:left="120" w:right="300" w:firstLine="551"/>
        <w:spacing w:after="0" w:line="241" w:lineRule="auto"/>
        <w:rPr>
          <w:sz w:val="20"/>
          <w:szCs w:val="20"/>
          <w:color w:val="auto"/>
        </w:rPr>
      </w:pPr>
      <w:r>
        <w:rPr>
          <w:rFonts w:ascii="Arial" w:cs="Arial" w:eastAsia="Arial" w:hAnsi="Arial"/>
          <w:sz w:val="18"/>
          <w:szCs w:val="18"/>
          <w:color w:val="auto"/>
        </w:rPr>
        <w:t>Our Class B common stock has      votes per share, and our Class A common stock, which is the stock we are offering in this initial public offering, has one vote per share. Following the closing of this offering, stockholders who hold shares of Class B common stock, including           , will together hold approximately    % of the voting power of our outstanding capital stock following the</w:t>
      </w:r>
    </w:p>
    <w:p>
      <w:pPr>
        <w:spacing w:after="0" w:line="2"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closing of this offering, and           will beneficially own approximately    % of our outstanding classes of common stock as a whole, but will control approximately    % of the voting power of our outstanding common stock, following the closing of this offering. As a result,</w:t>
      </w:r>
    </w:p>
    <w:p>
      <w:pPr>
        <w:spacing w:after="0" w:line="1"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          will have significant influence over our management and affairs and over all matters requiring stockholder approval, including election of directors and significant corporate transactions, such as a merger or other sale of the company or our assets, for the foreseeable future.</w:t>
      </w:r>
    </w:p>
    <w:p>
      <w:pPr>
        <w:spacing w:after="0" w:line="17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50% of the outstanding shares of our common stock. Because of the      -to-1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Certain permitted transfers, as specified in our amended and restated certificate of incorporation that will be in effect immediately prior to the closing of this offering, will not result in shares of Class B common stock automatically converting to shares of Class A common stock.</w:t>
      </w:r>
    </w:p>
    <w:p>
      <w:pPr>
        <w:spacing w:after="0" w:line="176"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FTSE Russell does not allow most newly public companies utilizing dual or multi-class capital structures to be included in their indices, including the Russell 2000.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volume, and liquidity of our Class A common stock could be adversely affected.</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02"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9" w:lineRule="exact"/>
        <w:rPr>
          <w:sz w:val="20"/>
          <w:szCs w:val="20"/>
          <w:color w:val="auto"/>
        </w:rPr>
      </w:pPr>
    </w:p>
    <w:p>
      <w:pPr>
        <w:ind w:left="5520" w:right="3760" w:hanging="4864"/>
        <w:spacing w:after="0" w:line="443" w:lineRule="auto"/>
        <w:tabs>
          <w:tab w:leader="none" w:pos="8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 54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our forecasts or the expectations of securities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commission rates;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the life insurance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or acquisitions;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demand for life insurance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performance of the equity markets; and</w:t>
      </w:r>
    </w:p>
    <w:p>
      <w:pPr>
        <w:spacing w:after="0" w:line="117" w:lineRule="exact"/>
        <w:rPr>
          <w:rFonts w:ascii="Arial" w:cs="Arial" w:eastAsia="Arial" w:hAnsi="Arial"/>
          <w:sz w:val="18"/>
          <w:szCs w:val="18"/>
          <w:color w:val="auto"/>
        </w:rPr>
      </w:pPr>
    </w:p>
    <w:p>
      <w:pPr>
        <w:ind w:left="880" w:right="760" w:hanging="224"/>
        <w:spacing w:after="0" w:line="27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our foreign markets, including effects of increased interest rates, inflationary pressures, bank failures, and macroeconomic uncertainty and challenges.</w:t>
      </w:r>
    </w:p>
    <w:p>
      <w:pPr>
        <w:spacing w:after="0" w:line="154"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color w:val="auto"/>
        </w:rPr>
        <w:t>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1" w:lineRule="exact"/>
        <w:rPr>
          <w:sz w:val="20"/>
          <w:szCs w:val="20"/>
          <w:color w:val="auto"/>
        </w:rPr>
      </w:pPr>
    </w:p>
    <w:p>
      <w:pPr>
        <w:ind w:left="120" w:right="140" w:firstLine="551"/>
        <w:spacing w:after="0" w:line="278"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the closing of this offering.</w:t>
      </w:r>
    </w:p>
    <w:p>
      <w:pPr>
        <w:spacing w:after="0" w:line="13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closing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short-term, investment-grade, interest-bearing securities, such as money market funds, corporate notes and bonds, certificates of deposit, commercial paper, and guaranteed obligations of the U.S. government that may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not generate a high yield for our stockholders. If we do not use the net proceeds that we receive in this offering effectively, our business, financial condition, results of operations, and growth prospects could be harmed, and the market price of our Class A common stock could decline.</w:t>
      </w:r>
    </w:p>
    <w:p>
      <w:pPr>
        <w:spacing w:after="0" w:line="171" w:lineRule="exact"/>
        <w:rPr>
          <w:sz w:val="20"/>
          <w:szCs w:val="20"/>
          <w:color w:val="auto"/>
        </w:rPr>
      </w:pPr>
    </w:p>
    <w:p>
      <w:pPr>
        <w:ind w:left="120" w:right="460" w:firstLine="551"/>
        <w:spacing w:after="0" w:line="278"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the market price of our Class A common stock to decline.</w:t>
      </w:r>
    </w:p>
    <w:p>
      <w:pPr>
        <w:spacing w:after="0" w:line="139"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All of our directors, executive officers, and the holders of substantially all of our common stock outstanding and securities exercisable for or convertible into our common stock, will enter into lock-up agreements with the underwriters and/or agreements with market stand-off provisions that will restrict our and their ability to sell or transfer shares of our capital stock and securities convertible into or exercisable or exchangeable for shares of our capital stock, for a period of      days from the date of this prospectus, subject to certain customary exceptions and certain provisions that provide for the release of certain shares of our common stock. In addition,      will have the ability to release any of the securities subject to these lock-up agreements at any time, subject to the applicable notice requirements. See the sections titled “Shares Eligible for Future Sale” and “Underwriting” for a discussion of such exceptions and of the provisions that may allow for sales during the Lock-up Period. If not earlier released, all of the shares of Class A common stock not sold in this offering will become eligible for sale upon expiration of the Lock-up Period, except for any shares held by our affiliates as defined in Rule 144 under the Securities Act of 1933, as amended, or the Securities Act.</w:t>
      </w:r>
    </w:p>
    <w:p>
      <w:pPr>
        <w:spacing w:after="0" w:line="180"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In addition, there were      shares of Class B common stock issuable upon the exercise of options and      restricted stock units, or RSUs, to be settled in shares of our Class B common stock as of the date of this prospectus. We intend to register all of the shares of common stock issuable upon exercise of outstanding options, the vesting and settlement of outstanding RSUs, and other equity incentives we may grant in the future, for public resale under the Securities Act. The shares of common stock will become eligible for sale in the public market to the extent such options are exercised or RSUs are vested and settled, subject to the lock-up agreements described above comply with applicable securities laws.</w:t>
      </w:r>
    </w:p>
    <w:p>
      <w:pPr>
        <w:spacing w:after="0" w:line="179"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Further, based on shares outstanding as of      , 2025, holders of approximately      shares of our Class B common stock, or    % of our shares outstanding after the closing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76"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b w:val="1"/>
          <w:bCs w:val="1"/>
          <w:i w:val="1"/>
          <w:iCs w:val="1"/>
          <w:color w:val="auto"/>
        </w:rPr>
        <w:t>We anticipate incurring substantial tax obligations on the initial settlement of certain RSUs in connection with this offering. The manner in which we fund these tax liabilities may have an adverse effect on our financial condition and may further dilute our stockholders.</w:t>
      </w:r>
    </w:p>
    <w:p>
      <w:pPr>
        <w:spacing w:after="0" w:line="15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In light of the number of RSUs that will initially settle in connection with this offering, we anticipate that we will expend substantial funds to satisfy tax withholding and remittance obligations. The majority of the RSUs granted prior to the date of this prospectus vest upon the satisfaction of service-based and liquidity event-based conditions. The service-based condition is generally satisfied over a period of four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years. The liquidity event-based condition will be satisfied as of the      of which this prospectus forms a part. As a result, such RSUs that have previously satisfied the service-based condition will vest in connection with the effectiveness of the registration statement of which this prospectus forms a part. In connection with the settlement of these RSUs, we plan to withhold certain shares underlying RSUs and remit income taxes on behalf of the holders of such RSUs at applicable statutory tax withholding rates based on the initial public offering price per share in this offering. See the section titled “Use of Proceeds.” For RSUs that will vest after the effectiveness of the registration statement of which this prospectus forms a part and prior to the expiration of the lock-up and/or market stand-off period, we will have discretion to net settle or sell-to-cover shares underlying these RSUs and also to delay settlement of these RSUs following vesting until the expiration of the lock-up and/or market stand-off period.</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Based on the number of RSUs for which the service-based condition was fully or partially satisfied on or before the date of this prospectus, and assuming (i) that the value of our Class B common stock at the time of settlement was equal to the initial public offering price of $        per share and (ii) an assumed        % tax withholding rate for the RSUs, we estimate that our tax liability on the settlement date for these RSUs will be approximately $        million in the aggregate. Accordingly, we would expect to deliver an aggregate of approximately        million shares of our Class B common stock to RSU holders after withholding an aggregate of approximately        million shares of our Class B common stock. The amount of these tax liabilities and withholdings could be higher or lower, depending on, among other things, the actual price of shares of our Class A common stock sold in this offering, the actual tax withholding rates, and the actual number of RSUs for which the service-based condition has been satisfied on the settlement or vesting date (after accounting for forfeitures prior to the settlement or vesting date). As a result, depending on these factors, we may need to use existing cash, cash equivalents, and investments to fund a portion of these tax withholding and remittance obligations.</w:t>
      </w:r>
    </w:p>
    <w:p>
      <w:pPr>
        <w:spacing w:after="0" w:line="182" w:lineRule="exact"/>
        <w:rPr>
          <w:sz w:val="20"/>
          <w:szCs w:val="20"/>
          <w:color w:val="auto"/>
        </w:rPr>
      </w:pPr>
    </w:p>
    <w:p>
      <w:pPr>
        <w:ind w:left="120" w:right="660" w:firstLine="551"/>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funded our operations since inception primarily through equity and debt financings as well as cash generated from operations. We cannot be certain our operations will continue to generate sufficient cash to fully fund our ongoing operations or the growth of our business. We intend to continue to make investments to support our business, which may require us to engage in equity financings to secure additional funds. For example, in December 2024, we sold a portion of our commissions receivable to an unaffiliated third party re-insurer for upfront cash, as further described in Note 11 to our consolidated financial statements included elsewhere in this prospectus. We may consider entering into such arrangements in the future depending on our capital and business needs. The terms of any such arrangements may be less favorable to us in the future, and such arrangements may result in variability in our cash flows, which may complicate our financial planning and period-over-period comparisons. If our use of such arrangements increases, any disruption in our ability to execute such transactions, or changes in their terms, could negatively impact our liquidity and financial condition.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spacing w:after="0" w:line="188"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trading prices for technology companies have been highly volatile, especially recently due to rising interest rates, inflation, and the uncertain macroeconomic environment, which may reduce our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or engage in other financing arrangements in the future will depend on numerous considerations, including factors beyond our control, we cannot predict or estimate the amount, timing, or nature of any future issuances of debt or equity securities or other financing arrangements. As a result, our stockholders bear the risk of future issuances of debt or equity securities or other financing arrangements reducing the value of our Class A common stock and diluting their interests.</w:t>
      </w:r>
    </w:p>
    <w:p>
      <w:pPr>
        <w:spacing w:after="0" w:line="181" w:lineRule="exact"/>
        <w:rPr>
          <w:sz w:val="20"/>
          <w:szCs w:val="20"/>
          <w:color w:val="auto"/>
        </w:rPr>
      </w:pPr>
    </w:p>
    <w:p>
      <w:pPr>
        <w:ind w:left="120" w:right="120" w:firstLine="551"/>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common stock you purchase in this offering.</w:t>
      </w:r>
    </w:p>
    <w:p>
      <w:pPr>
        <w:spacing w:after="0" w:line="13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initial public offering price of our Class A common stock is substantially higher than the pro forma net tangible book value per share of our Class A common stock immediately after the closing of this offering. If you purchase shares of our Class A common stock in this offering, you will suffer immediate dilution of $        per share, representing the difference between our pro forma as adjusted net tangible book value per share after giving effect to the sale of Class A common stock in this offering, the RSU Net Settlement, after withholding         shares to satisfy estimated tax withholding and remittance obligations of $        million (based on the assumed initial offering price set forth on the cover page of this prospectus, and an assumed     % tax withholding rate), and the assumed initial public offering price of $        per share, the midpoint of the price range set forth on the cover page of this prospectus. See the section titled “Dilution.”</w:t>
      </w:r>
    </w:p>
    <w:p>
      <w:pPr>
        <w:spacing w:after="0" w:line="182" w:lineRule="exact"/>
        <w:rPr>
          <w:sz w:val="20"/>
          <w:szCs w:val="20"/>
          <w:color w:val="auto"/>
        </w:rPr>
      </w:pPr>
    </w:p>
    <w:p>
      <w:pPr>
        <w:ind w:left="120" w:right="520" w:firstLine="551"/>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39"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In addition,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spacing w:after="0" w:line="161" w:lineRule="exact"/>
        <w:rPr>
          <w:sz w:val="20"/>
          <w:szCs w:val="20"/>
          <w:color w:val="auto"/>
        </w:rPr>
      </w:pPr>
    </w:p>
    <w:p>
      <w:pPr>
        <w:ind w:left="120" w:right="240" w:firstLine="551"/>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and disclosure requirements applicable to emerging growth companies could make our Class A common stock less attractive to investors.</w:t>
      </w:r>
    </w:p>
    <w:p>
      <w:pPr>
        <w:spacing w:after="0" w:line="139"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We will remain an emerging growth company until the first to occur of: (i) the last day of the year following the fifth anniversary of the closing of this offering; (ii) the last day of the first year in which our annual gross revenue is $1.235 billion or more; (iii) the date on which we have, during the previous rolling three-year period, issued more than $1.0 billion in non-convertible debt securities; and (iv) the date we qualify as a “large accelerated filer,” with at least $700 million of equity securities held by non-affiliates.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78" w:lineRule="exact"/>
        <w:rPr>
          <w:sz w:val="20"/>
          <w:szCs w:val="20"/>
          <w:color w:val="auto"/>
        </w:rPr>
      </w:pPr>
    </w:p>
    <w:p>
      <w:pPr>
        <w:ind w:left="120" w:right="600" w:firstLine="551"/>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securities exchange on which our Class A common stock trades, and other applicable securities rules and regulations impose various requirements on public companies. Our management and other personnel will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8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immediately prior to the closing of this offering, may have the effect of preventing a change of control or changes in our management. Our amended and restated certificate of incorporation and amended and restated bylaws will include provisions that:</w:t>
      </w:r>
    </w:p>
    <w:p>
      <w:pPr>
        <w:spacing w:after="0" w:line="74" w:lineRule="exact"/>
        <w:rPr>
          <w:sz w:val="20"/>
          <w:szCs w:val="20"/>
          <w:color w:val="auto"/>
        </w:rPr>
      </w:pPr>
    </w:p>
    <w:p>
      <w:pPr>
        <w:ind w:left="880" w:right="12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59" w:lineRule="exact"/>
        <w:rPr>
          <w:rFonts w:ascii="Arial" w:cs="Arial" w:eastAsia="Arial" w:hAnsi="Arial"/>
          <w:sz w:val="18"/>
          <w:szCs w:val="18"/>
          <w:color w:val="auto"/>
        </w:rPr>
      </w:pPr>
    </w:p>
    <w:p>
      <w:pPr>
        <w:ind w:left="880" w:right="32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 (in the absence of a chief executive officer);</w:t>
      </w:r>
    </w:p>
    <w:p>
      <w:pPr>
        <w:spacing w:after="0" w:line="59"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20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2/3% of our outstanding shares of voting stock;</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even though less than a quorum, or by a sole remaining director; and</w:t>
      </w:r>
    </w:p>
    <w:p>
      <w:pPr>
        <w:spacing w:after="0" w:line="59" w:lineRule="exact"/>
        <w:rPr>
          <w:rFonts w:ascii="Arial" w:cs="Arial" w:eastAsia="Arial" w:hAnsi="Arial"/>
          <w:sz w:val="18"/>
          <w:szCs w:val="18"/>
          <w:color w:val="auto"/>
        </w:rPr>
      </w:pPr>
    </w:p>
    <w:p>
      <w:pPr>
        <w:ind w:left="880" w:right="520" w:hanging="224"/>
        <w:spacing w:after="0" w:line="27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5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42" w:lineRule="exact"/>
        <w:rPr>
          <w:sz w:val="20"/>
          <w:szCs w:val="20"/>
          <w:color w:val="auto"/>
        </w:rPr>
      </w:pPr>
    </w:p>
    <w:p>
      <w:pPr>
        <w:ind w:left="120" w:right="220" w:firstLine="551"/>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or any action asserting a claim for aiding and abetting such breach of fiduciary duty;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Securities Exchange Act of 1934, as amended, or the Exchange Act, or any other claim for which the federal courts have exclusive jurisdiction. In addition, to prevent having to litigate claims in multiple jurisdictions and the threat of inconsistent or contrary rulings by different courts, among other considerations, our amended and restated certificate of incorporation to be effective immediately prior to the closing of this offering will provide that, unless we consent in writing to the selection of an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alternative forum, to the fullest extent permitted by law,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Our amended and restated certificate of incorporation, to be effective immediately prior to the closing of this offering, will further provide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spacing w:after="0" w:line="18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ind w:left="120" w:right="760" w:firstLine="551"/>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market price and trading volume of our Class A common stock following the closing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Risks</w:t>
      </w:r>
    </w:p>
    <w:p>
      <w:pPr>
        <w:spacing w:after="0" w:line="214"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demonstrate the effectiveness of our remediation measures, or if we identify additional material weaknesses in the future, our ability to produce timely and accurate financial statements or comply with applicable laws and regulations could be adversely affected.</w:t>
      </w:r>
    </w:p>
    <w:p>
      <w:pPr>
        <w:spacing w:after="0" w:line="159"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We identified a material weakness in our internal control over financial reporting, as described below. A material weakness is a deficiency, or a combination of deficiencies, in internal control over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financial reporting such that there is a reasonable possibility that a material misstatement of our financial statements would not be prevented or detected on a timely basis. Specifically, our accounting policies did not appropriately evaluate the accounting implications of the sale of commissions receivable, which transaction was complex and non-routine from an accounting perspective. We have since modified our accounting policies and procedures to properly reflect the accounting implications of such transaction; however, if those policies and related procedures are not effective, we may be subject to similar risks in the future with respect to accounting for similar complex, non-routine transactions.</w:t>
      </w:r>
    </w:p>
    <w:p>
      <w:pPr>
        <w:spacing w:after="0" w:line="17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While we have implemented remediation measures, including by modifying certain accounting policies and procedures described above and documenting internal controls related to such transactions, we must demonstrate sustained effectiveness of these controls over time before the material weakness can be considered fully remediated.</w:t>
      </w:r>
    </w:p>
    <w:p>
      <w:pPr>
        <w:spacing w:after="0" w:line="16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There can be no assurance that our remediation efforts will be successful in all respects, or that additional material weaknesses will not be identified in the future. If we fail to maintain effective internal control over financial reporting, it could impair our ability to manage our business effectively, delay our financial reporting, and potentially result in a loss of investor confidence, which could negatively impact the trading price of our Class A common stock and our business, financial condition, and results of operations.</w:t>
      </w:r>
    </w:p>
    <w:p>
      <w:pPr>
        <w:spacing w:after="0" w:line="176" w:lineRule="exact"/>
        <w:rPr>
          <w:sz w:val="20"/>
          <w:szCs w:val="20"/>
          <w:color w:val="auto"/>
        </w:rPr>
      </w:pPr>
    </w:p>
    <w:p>
      <w:pPr>
        <w:jc w:val="both"/>
        <w:ind w:left="120" w:right="40" w:firstLine="551"/>
        <w:spacing w:after="0" w:line="256"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for the year ending December 31, 2027.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of the Sarbanes-Oxley Act, or Section 404, but we may not be able to complete our evaluation, testing, and any required remediation in a timely fashion once initiated. Our compliance with Section 404 will require that we incur substantial expenses and expend significant management efforts. Although we currently have an internal audit group, we will need to hire additional accounting and financial staff with appropriate public company experience and compile the system and process documentation necessary to perform the evaluation needed to comply with Section 404 and to remediate our material weakness described above.</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may identify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or if we are unable to remediate our material weakness described above, we could lose investor confidence in the accuracy and completeness of our financial reports, the market price of our Class A common stock could decline, and we could be subject to sanctions or investigations by the SEC or other regulatory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6" w:lineRule="exact"/>
        <w:rPr>
          <w:sz w:val="20"/>
          <w:szCs w:val="20"/>
          <w:color w:val="auto"/>
        </w:rPr>
      </w:pPr>
    </w:p>
    <w:p>
      <w:pPr>
        <w:jc w:val="both"/>
        <w:ind w:left="120" w:right="240" w:firstLine="551"/>
        <w:spacing w:after="0" w:line="256" w:lineRule="auto"/>
        <w:rPr>
          <w:sz w:val="20"/>
          <w:szCs w:val="20"/>
          <w:color w:val="auto"/>
        </w:rPr>
      </w:pPr>
      <w:r>
        <w:rPr>
          <w:rFonts w:ascii="Arial" w:cs="Arial" w:eastAsia="Arial" w:hAnsi="Arial"/>
          <w:sz w:val="18"/>
          <w:szCs w:val="18"/>
          <w:b w:val="1"/>
          <w:bCs w:val="1"/>
          <w:i w:val="1"/>
          <w:iCs w:val="1"/>
          <w:color w:val="auto"/>
        </w:rPr>
        <w:t>We and our employees have and may continue to be subject to claims alleging violations of our employees’ contractual obligations to their prior employers. These claims may be costly to defend, and if we do not successfully do so, our business could be harmed.</w:t>
      </w:r>
    </w:p>
    <w:p>
      <w:pPr>
        <w:spacing w:after="0" w:line="15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Many of our employees were previously employed at current or potential competitors. Although we have processes to ensure that our employees do not use proprietary information or disclose confidential information from their prior employer in their work for us or otherwise violate their contractual post-employment obligations such as customer and employee non-solicits, we or our employees may still in the future become subject to claims alleging such violations. Litigation may be necessary to defend against these claims. If we fail in defending such claims, in addition to paying monetary damages, we may lose valuable intellectual property rights or personnel. A loss of key personnel or their work product could negatively impact our business. Even if we are successful in defending against these claims, litigation efforts are costly, time-consuming, and a significant distraction to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 2025, we had net operating loss, or NOL, carryforwards for U.S. federal and state income tax purposes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and $            , respectively, which may be available to offset taxable income in the future, and portions of which expire in</w:t>
      </w:r>
    </w:p>
    <w:p>
      <w:pPr>
        <w:ind w:left="120"/>
        <w:spacing w:after="0" w:line="234" w:lineRule="auto"/>
        <w:rPr>
          <w:sz w:val="20"/>
          <w:szCs w:val="20"/>
          <w:color w:val="auto"/>
        </w:rPr>
      </w:pPr>
      <w:r>
        <w:rPr>
          <w:rFonts w:ascii="Arial" w:cs="Arial" w:eastAsia="Arial" w:hAnsi="Arial"/>
          <w:sz w:val="18"/>
          <w:szCs w:val="18"/>
          <w:color w:val="auto"/>
        </w:rPr>
        <w:t>various years beginning in            for U.S. federal purposes and            for state purposes if not utilized. Under current law, U.S. federal</w:t>
      </w:r>
    </w:p>
    <w:p>
      <w:pPr>
        <w:ind w:left="120"/>
        <w:spacing w:after="0" w:line="235" w:lineRule="auto"/>
        <w:rPr>
          <w:sz w:val="20"/>
          <w:szCs w:val="20"/>
          <w:color w:val="auto"/>
        </w:rPr>
      </w:pPr>
      <w:r>
        <w:rPr>
          <w:rFonts w:ascii="Arial" w:cs="Arial" w:eastAsia="Arial" w:hAnsi="Arial"/>
          <w:sz w:val="18"/>
          <w:szCs w:val="18"/>
          <w:color w:val="auto"/>
        </w:rPr>
        <w:t>NOLs incurred in taxable years beginning after December 31, 2017 may be carried forward indefinitely, but such federal NOLs are</w:t>
      </w:r>
    </w:p>
    <w:p>
      <w:pPr>
        <w:ind w:left="120"/>
        <w:spacing w:after="0" w:line="235" w:lineRule="auto"/>
        <w:rPr>
          <w:sz w:val="20"/>
          <w:szCs w:val="20"/>
          <w:color w:val="auto"/>
        </w:rPr>
      </w:pPr>
      <w:r>
        <w:rPr>
          <w:rFonts w:ascii="Arial" w:cs="Arial" w:eastAsia="Arial" w:hAnsi="Arial"/>
          <w:sz w:val="18"/>
          <w:szCs w:val="18"/>
          <w:color w:val="auto"/>
        </w:rPr>
        <w:t>permitted to be used in any taxable year to offset only up to 80% of taxable income in such year. A lack of future taxable income would</w:t>
      </w:r>
    </w:p>
    <w:p>
      <w:pPr>
        <w:ind w:left="120"/>
        <w:spacing w:after="0" w:line="235" w:lineRule="auto"/>
        <w:rPr>
          <w:sz w:val="20"/>
          <w:szCs w:val="20"/>
          <w:color w:val="auto"/>
        </w:rPr>
      </w:pPr>
      <w:r>
        <w:rPr>
          <w:rFonts w:ascii="Arial" w:cs="Arial" w:eastAsia="Arial" w:hAnsi="Arial"/>
          <w:sz w:val="18"/>
          <w:szCs w:val="18"/>
          <w:color w:val="auto"/>
        </w:rPr>
        <w:t>adversely affect our ability to utilize certain of these NOLs before they expire. In addition, under Section 382 of the Internal Revenue Code</w:t>
      </w:r>
    </w:p>
    <w:p>
      <w:pPr>
        <w:ind w:left="120"/>
        <w:spacing w:after="0" w:line="235" w:lineRule="auto"/>
        <w:rPr>
          <w:sz w:val="20"/>
          <w:szCs w:val="20"/>
          <w:color w:val="auto"/>
        </w:rPr>
      </w:pPr>
      <w:r>
        <w:rPr>
          <w:rFonts w:ascii="Arial" w:cs="Arial" w:eastAsia="Arial" w:hAnsi="Arial"/>
          <w:sz w:val="18"/>
          <w:szCs w:val="18"/>
          <w:color w:val="auto"/>
        </w:rPr>
        <w:t>of 1986, as amended, or the Code, a corporation that undergoes an “ownership change” (as defined under Section 382 of the Code and</w:t>
      </w:r>
    </w:p>
    <w:p>
      <w:pPr>
        <w:ind w:left="120"/>
        <w:spacing w:after="0" w:line="234" w:lineRule="auto"/>
        <w:rPr>
          <w:sz w:val="20"/>
          <w:szCs w:val="20"/>
          <w:color w:val="auto"/>
        </w:rPr>
      </w:pPr>
      <w:r>
        <w:rPr>
          <w:rFonts w:ascii="Arial" w:cs="Arial" w:eastAsia="Arial" w:hAnsi="Arial"/>
          <w:sz w:val="18"/>
          <w:szCs w:val="18"/>
          <w:color w:val="auto"/>
        </w:rPr>
        <w:t>applicable Treasury Regulations; generally a greater than 50 percentage point change (by value) in its equity ownership by certain</w:t>
      </w:r>
    </w:p>
    <w:p>
      <w:pPr>
        <w:ind w:left="120"/>
        <w:spacing w:after="0" w:line="235" w:lineRule="auto"/>
        <w:rPr>
          <w:sz w:val="20"/>
          <w:szCs w:val="20"/>
          <w:color w:val="auto"/>
        </w:rPr>
      </w:pPr>
      <w:r>
        <w:rPr>
          <w:rFonts w:ascii="Arial" w:cs="Arial" w:eastAsia="Arial" w:hAnsi="Arial"/>
          <w:sz w:val="18"/>
          <w:szCs w:val="18"/>
          <w:color w:val="auto"/>
        </w:rPr>
        <w:t>stockholders over a three-year period) is subject to limitations on its ability to utilize its pre-change NOLs to offset future taxable income.</w:t>
      </w:r>
    </w:p>
    <w:p>
      <w:pPr>
        <w:ind w:left="120"/>
        <w:spacing w:after="0" w:line="235" w:lineRule="auto"/>
        <w:rPr>
          <w:sz w:val="20"/>
          <w:szCs w:val="20"/>
          <w:color w:val="auto"/>
        </w:rPr>
      </w:pPr>
      <w:r>
        <w:rPr>
          <w:rFonts w:ascii="Arial" w:cs="Arial" w:eastAsia="Arial" w:hAnsi="Arial"/>
          <w:sz w:val="18"/>
          <w:szCs w:val="18"/>
          <w:color w:val="auto"/>
        </w:rPr>
        <w:t>We have experienced ownership changes under Section 382 of the Code in the past, and we may experience additional ownership</w:t>
      </w:r>
    </w:p>
    <w:p>
      <w:pPr>
        <w:ind w:left="120"/>
        <w:spacing w:after="0" w:line="235" w:lineRule="auto"/>
        <w:rPr>
          <w:sz w:val="20"/>
          <w:szCs w:val="20"/>
          <w:color w:val="auto"/>
        </w:rPr>
      </w:pPr>
      <w:r>
        <w:rPr>
          <w:rFonts w:ascii="Arial" w:cs="Arial" w:eastAsia="Arial" w:hAnsi="Arial"/>
          <w:sz w:val="18"/>
          <w:szCs w:val="18"/>
          <w:color w:val="auto"/>
        </w:rPr>
        <w:t>changes in the future (including, potentially, in connection with this initial public offering) which could affect our ability to utilize our NOLs to</w:t>
      </w:r>
    </w:p>
    <w:p>
      <w:pPr>
        <w:ind w:left="120"/>
        <w:spacing w:after="0" w:line="235" w:lineRule="auto"/>
        <w:rPr>
          <w:sz w:val="20"/>
          <w:szCs w:val="20"/>
          <w:color w:val="auto"/>
        </w:rPr>
      </w:pPr>
      <w:r>
        <w:rPr>
          <w:rFonts w:ascii="Arial" w:cs="Arial" w:eastAsia="Arial" w:hAnsi="Arial"/>
          <w:sz w:val="18"/>
          <w:szCs w:val="18"/>
          <w:color w:val="auto"/>
        </w:rPr>
        <w:t>offset our income. Similar provisions of state tax law may also apply. Furthermore, our ability to utilize NOLs of companies that we have</w:t>
      </w:r>
    </w:p>
    <w:p>
      <w:pPr>
        <w:ind w:left="120"/>
        <w:spacing w:after="0" w:line="234" w:lineRule="auto"/>
        <w:rPr>
          <w:sz w:val="20"/>
          <w:szCs w:val="20"/>
          <w:color w:val="auto"/>
        </w:rPr>
      </w:pPr>
      <w:r>
        <w:rPr>
          <w:rFonts w:ascii="Arial" w:cs="Arial" w:eastAsia="Arial" w:hAnsi="Arial"/>
          <w:sz w:val="18"/>
          <w:szCs w:val="18"/>
          <w:color w:val="auto"/>
        </w:rPr>
        <w:t>acquired or may acquire in the future also may be subject to limitations. There is also a risk that due to regulatory changes, such 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suspensions on the use of NOLs or other unforeseen reasons, our existing NOLs could expire or otherwise be unavailable to reduce future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liabilities, including for state tax purposes. For these reasons, we may not be able to utilize a material portion of the NOLs</w:t>
      </w:r>
    </w:p>
    <w:p>
      <w:pPr>
        <w:ind w:left="120"/>
        <w:spacing w:after="0" w:line="234" w:lineRule="auto"/>
        <w:rPr>
          <w:sz w:val="20"/>
          <w:szCs w:val="20"/>
          <w:color w:val="auto"/>
        </w:rPr>
      </w:pPr>
      <w:r>
        <w:rPr>
          <w:rFonts w:ascii="Arial" w:cs="Arial" w:eastAsia="Arial" w:hAnsi="Arial"/>
          <w:sz w:val="18"/>
          <w:szCs w:val="18"/>
          <w:color w:val="auto"/>
        </w:rPr>
        <w:t>reflected on our balance sheet, which could potentially result in increased future tax liability to us and could adversely affect our results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 and financial condition.</w:t>
      </w:r>
    </w:p>
    <w:p>
      <w:pPr>
        <w:spacing w:after="0" w:line="196" w:lineRule="exact"/>
        <w:rPr>
          <w:sz w:val="20"/>
          <w:szCs w:val="20"/>
          <w:color w:val="auto"/>
        </w:rPr>
      </w:pPr>
    </w:p>
    <w:p>
      <w:pPr>
        <w:ind w:left="120" w:right="400" w:firstLine="551"/>
        <w:spacing w:after="0" w:line="278" w:lineRule="auto"/>
        <w:rPr>
          <w:sz w:val="20"/>
          <w:szCs w:val="20"/>
          <w:color w:val="auto"/>
        </w:rPr>
      </w:pPr>
      <w:r>
        <w:rPr>
          <w:rFonts w:ascii="Arial" w:cs="Arial" w:eastAsia="Arial" w:hAnsi="Arial"/>
          <w:sz w:val="18"/>
          <w:szCs w:val="18"/>
          <w:b w:val="1"/>
          <w:bCs w:val="1"/>
          <w:i w:val="1"/>
          <w:iCs w:val="1"/>
          <w:color w:val="auto"/>
        </w:rPr>
        <w:t>We may be subject to additional tax liabilities, including as a result of changes in tax laws or regulations, which could adversely affect our financial condition and results of operations.</w:t>
      </w:r>
    </w:p>
    <w:p>
      <w:pPr>
        <w:spacing w:after="0" w:line="13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We are subject to taxes in U.S. federal, state, local, and non -U.S. jurisdictions. The amount of taxes we pay in different jurisdictions depends on the application of the relevant tax laws to our business activities, the relative amounts of income before taxes in the various jurisdictions in which we operate, the application of new or revised tax laws, the interpretation of existing tax laws and policies,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outcome of current and future tax audits, examinations, or administrative appeals, our ability to realize our deferred tax assets, and our ability to operate our business in a manner consistent with our corporate structure and intercompany arrangements.</w:t>
      </w:r>
    </w:p>
    <w:p>
      <w:pPr>
        <w:spacing w:after="0" w:line="15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in certain respects and may be subject to significant change. Changes in tax laws or regulations, or changes in interpretations of existing laws and regulations, could materially affect our financial condition and results of operations. For example, the Tax Cuts and Jobs Act, or the Tax Act, the Coronavirus Aid, Relief, and Economic Security Act, and the Inflation Reduction Act made many significant changes to the U.S. tax laws. Effective January 1, 2022, the Tax Act eliminated the option to deduct research and development expenses for tax purposes in the year incurred and instead requires taxpayers to capitalize and subsequently amortize such expenses over five years for research activities conducted in the United States and over 15 years for research activities conducted outside the United States.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86"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determination of our overall provision for income and other taxes is inherently uncertain because it requires significant judgment with respect to complex transactions and calculations. As a result, fluctuations in our tax liabilities may differ materially from amounts recorded in our financial statements and could adversely affect our business, financial condition, and results of operations in the periods for which such determination is made.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10"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81" w:lineRule="exact"/>
        <w:rPr>
          <w:sz w:val="20"/>
          <w:szCs w:val="20"/>
          <w:color w:val="auto"/>
        </w:rPr>
      </w:pPr>
    </w:p>
    <w:p>
      <w:pPr>
        <w:jc w:val="both"/>
        <w:ind w:left="120" w:right="240" w:firstLine="551"/>
        <w:spacing w:after="0" w:line="256" w:lineRule="auto"/>
        <w:rPr>
          <w:sz w:val="20"/>
          <w:szCs w:val="20"/>
          <w:color w:val="auto"/>
        </w:rPr>
      </w:pPr>
      <w:r>
        <w:rPr>
          <w:rFonts w:ascii="Arial" w:cs="Arial" w:eastAsia="Arial" w:hAnsi="Arial"/>
          <w:sz w:val="18"/>
          <w:szCs w:val="18"/>
          <w:b w:val="1"/>
          <w:bCs w:val="1"/>
          <w:i w:val="1"/>
          <w:iCs w:val="1"/>
          <w:color w:val="auto"/>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spacing w:after="0" w:line="159"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spacing w:after="0" w:line="179"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In addition, the U.S. Federal Reserve has in the past identified climate change as a potential risk to the stability of the financial system. It also reported that a gradual change in investor sentiment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spacing w:after="0" w:line="17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Moreover, if our carriers fail or withdraw from offering certain lines of insurance because of large payouts related to climate change, overall risk-taking capital capacity could be negatively affected, which could reduce our ability to place certain lines of insurance and, as a result, reduce our revenue and profitability.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or results of operations,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statements concerning the following:</w:t>
      </w:r>
    </w:p>
    <w:p>
      <w:pPr>
        <w:spacing w:after="0" w:line="90"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the premiums set by carriers and commission rates negotiated with carriers;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growth rate of the markets in which we compete;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our industry, and in the markets in which we operate;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grow across our current markets and expand into new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sustain or improve our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effectiveness of our brand awareness and marketing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beliefs and objectives for future operations and growth initiatives and ability to predict future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increase the number of activated policies on our platform;</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relationships with agency counterparties and to develop relationships with new agencies and increase agent engagement on our platform;</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carriers, and to diversify the carriers with whom we work;</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and expectations to continue to innovate and enhance our platform and product offerings, and to keep pace with technological developments;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any costs associated therewith;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defend disputes, legal proceedings and governmental inquiries brought against us;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operate our business during fluctuations or an overall decline in economic activity, or any adverse trends in the life insurance industry;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volatility in our stock price and a possible decline in the value of our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use of the net proceeds from this offering;</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discussed under “Risk Factors”;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You should not rely on forward -looking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0"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MARKET, INDUSTRY, AND OTHER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contains statistical data, estimates, forecasts, and information concerning our industry, including the market size and growth of the markets in which we participate,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sections titled “Risk Factors” and “Special Note Regarding Forward-Looking Statements.” These and other factors could cause results to differ materially from those expressed in the projections and estimates made by the independent third parties and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certain statistical data, estimates, and forecasts contained in this prospectus include:</w:t>
      </w:r>
    </w:p>
    <w:p>
      <w:pPr>
        <w:spacing w:after="0" w:line="117"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American Council of Life Insurers, </w:t>
      </w:r>
      <w:r>
        <w:rPr>
          <w:rFonts w:ascii="Arial" w:cs="Arial" w:eastAsia="Arial" w:hAnsi="Arial"/>
          <w:sz w:val="18"/>
          <w:szCs w:val="18"/>
          <w:i w:val="1"/>
          <w:iCs w:val="1"/>
          <w:color w:val="auto"/>
        </w:rPr>
        <w:t>Life Insurers Fact Book 2024</w:t>
      </w:r>
      <w:r>
        <w:rPr>
          <w:rFonts w:ascii="Arial" w:cs="Arial" w:eastAsia="Arial" w:hAnsi="Arial"/>
          <w:sz w:val="18"/>
          <w:szCs w:val="18"/>
          <w:color w:val="auto"/>
        </w:rPr>
        <w:t>, March 2024.</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Deloitte Consulting, </w:t>
      </w:r>
      <w:r>
        <w:rPr>
          <w:rFonts w:ascii="Arial" w:cs="Arial" w:eastAsia="Arial" w:hAnsi="Arial"/>
          <w:sz w:val="18"/>
          <w:szCs w:val="18"/>
          <w:i w:val="1"/>
          <w:iCs w:val="1"/>
          <w:color w:val="auto"/>
        </w:rPr>
        <w:t>L&amp;A Product Development Study,</w:t>
      </w:r>
      <w:r>
        <w:rPr>
          <w:rFonts w:ascii="Arial" w:cs="Arial" w:eastAsia="Arial" w:hAnsi="Arial"/>
          <w:sz w:val="18"/>
          <w:szCs w:val="18"/>
          <w:color w:val="auto"/>
        </w:rPr>
        <w:t xml:space="preserve"> 2023.</w:t>
      </w:r>
    </w:p>
    <w:p>
      <w:pPr>
        <w:spacing w:after="0" w:line="117"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LIMRA and Life Happens, 2024 </w:t>
      </w:r>
      <w:r>
        <w:rPr>
          <w:rFonts w:ascii="Arial" w:cs="Arial" w:eastAsia="Arial" w:hAnsi="Arial"/>
          <w:sz w:val="18"/>
          <w:szCs w:val="18"/>
          <w:i w:val="1"/>
          <w:iCs w:val="1"/>
          <w:color w:val="auto"/>
        </w:rPr>
        <w:t>Insurance Barometer Study, Report 1: The Generational Shift Has Arrived - The Path Forward</w:t>
      </w:r>
      <w:r>
        <w:rPr>
          <w:rFonts w:ascii="Arial" w:cs="Arial" w:eastAsia="Arial" w:hAnsi="Arial"/>
          <w:sz w:val="18"/>
          <w:szCs w:val="18"/>
          <w:color w:val="auto"/>
        </w:rPr>
        <w:t xml:space="preserve"> </w:t>
      </w:r>
      <w:r>
        <w:rPr>
          <w:rFonts w:ascii="Arial" w:cs="Arial" w:eastAsia="Arial" w:hAnsi="Arial"/>
          <w:sz w:val="18"/>
          <w:szCs w:val="18"/>
          <w:i w:val="1"/>
          <w:iCs w:val="1"/>
          <w:color w:val="auto"/>
        </w:rPr>
        <w:t>for Life Insurers</w:t>
      </w:r>
      <w:r>
        <w:rPr>
          <w:rFonts w:ascii="Arial" w:cs="Arial" w:eastAsia="Arial" w:hAnsi="Arial"/>
          <w:sz w:val="18"/>
          <w:szCs w:val="18"/>
          <w:color w:val="auto"/>
        </w:rPr>
        <w:t>, January 2024.</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LIMRA, </w:t>
      </w:r>
      <w:r>
        <w:rPr>
          <w:rFonts w:ascii="Arial" w:cs="Arial" w:eastAsia="Arial" w:hAnsi="Arial"/>
          <w:sz w:val="18"/>
          <w:szCs w:val="18"/>
          <w:i w:val="1"/>
          <w:iCs w:val="1"/>
          <w:color w:val="auto"/>
        </w:rPr>
        <w:t>U.S. Individual Life Insurance Yearbook 2023 Data</w:t>
      </w:r>
      <w:r>
        <w:rPr>
          <w:rFonts w:ascii="Arial" w:cs="Arial" w:eastAsia="Arial" w:hAnsi="Arial"/>
          <w:sz w:val="18"/>
          <w:szCs w:val="18"/>
          <w:color w:val="auto"/>
        </w:rPr>
        <w:t>, August 2024.</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LIMRA, </w:t>
      </w:r>
      <w:r>
        <w:rPr>
          <w:rFonts w:ascii="Arial" w:cs="Arial" w:eastAsia="Arial" w:hAnsi="Arial"/>
          <w:sz w:val="18"/>
          <w:szCs w:val="18"/>
          <w:i w:val="1"/>
          <w:iCs w:val="1"/>
          <w:color w:val="auto"/>
        </w:rPr>
        <w:t>U.S. Retail Individual Life Insurance Sales Survey Q4 2024,</w:t>
      </w:r>
      <w:r>
        <w:rPr>
          <w:rFonts w:ascii="Arial" w:cs="Arial" w:eastAsia="Arial" w:hAnsi="Arial"/>
          <w:sz w:val="18"/>
          <w:szCs w:val="18"/>
          <w:color w:val="auto"/>
        </w:rPr>
        <w:t xml:space="preserve"> January 2025.</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320" w:top="455" w:right="6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660"/>
        <w:spacing w:after="0"/>
        <w:tabs>
          <w:tab w:leader="none" w:pos="7980" w:val="left"/>
        </w:tabs>
        <w:rPr>
          <w:sz w:val="20"/>
          <w:szCs w:val="20"/>
          <w:color w:val="auto"/>
        </w:rPr>
      </w:pPr>
      <w:r>
        <w:rPr>
          <w:rFonts w:ascii="Arial" w:cs="Arial" w:eastAsia="Arial" w:hAnsi="Arial"/>
          <w:sz w:val="18"/>
          <w:szCs w:val="18"/>
          <w:color w:val="auto"/>
        </w:rPr>
        <w:t xml:space="preserve">We estimate that we will receive net proceeds from this offering of approximately $          </w:t>
        <w:tab/>
        <w:t xml:space="preserve">million (or approximately $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million if the underwriters’ option to purchase additional shares is exercised in full) based on an assumed initial public offering price of</w:t>
      </w:r>
    </w:p>
    <w:p>
      <w:pPr>
        <w:ind w:left="120" w:right="40"/>
        <w:spacing w:after="0" w:line="250" w:lineRule="auto"/>
        <w:rPr>
          <w:sz w:val="20"/>
          <w:szCs w:val="20"/>
          <w:color w:val="auto"/>
        </w:rPr>
      </w:pPr>
      <w:r>
        <w:rPr>
          <w:rFonts w:ascii="Arial" w:cs="Arial" w:eastAsia="Arial" w:hAnsi="Arial"/>
          <w:sz w:val="18"/>
          <w:szCs w:val="18"/>
          <w:color w:val="auto"/>
        </w:rPr>
        <w:t>$        per share, the midpoint of the price range set forth on the cover page of this prospectus, after deducting underwriting discounts and commissions and estimated offering expenses payable by us.</w:t>
      </w:r>
    </w:p>
    <w:p>
      <w:pPr>
        <w:spacing w:after="0" w:line="17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principal purposes of this offering are to increase our capitalization and financial flexibility and create a public market for our Class A common stock. We intend to use a portion of the net proceeds we received from this offering to pay $        million of our anticipated tax withholding and remittance obligations related to the RSU Net Settlement. In connection with the RSU Net Settlement, assuming (i) the fair market value of our Class B common stock at the time of settlement will be equal to the assumed initial public offering price per share of $        , the midpoint of the price range set forth on the cover page of this prospectus, and (ii) an assumed        </w:t>
      </w:r>
    </w:p>
    <w:p>
      <w:pPr>
        <w:ind w:left="320" w:hanging="20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tax withholding rate, we estimate that these tax withholding and remittance obligations on the RSU Net Settlement will be $          </w:t>
      </w:r>
    </w:p>
    <w:p>
      <w:pPr>
        <w:ind w:left="120"/>
        <w:spacing w:after="0"/>
        <w:rPr>
          <w:rFonts w:ascii="Arial" w:cs="Arial" w:eastAsia="Arial" w:hAnsi="Arial"/>
          <w:sz w:val="18"/>
          <w:szCs w:val="18"/>
          <w:color w:val="auto"/>
        </w:rPr>
      </w:pPr>
      <w:r>
        <w:rPr>
          <w:rFonts w:ascii="Arial" w:cs="Arial" w:eastAsia="Arial" w:hAnsi="Arial"/>
          <w:sz w:val="18"/>
          <w:szCs w:val="18"/>
          <w:color w:val="auto"/>
        </w:rPr>
        <w:t>million in the aggregate.</w:t>
      </w:r>
    </w:p>
    <w:p>
      <w:pPr>
        <w:spacing w:after="0" w:line="194"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net proceeds to us from this offering by approximately</w:t>
      </w:r>
    </w:p>
    <w:p>
      <w:pPr>
        <w:ind w:left="120" w:right="20"/>
        <w:spacing w:after="0" w:line="239" w:lineRule="auto"/>
        <w:rPr>
          <w:sz w:val="20"/>
          <w:szCs w:val="20"/>
          <w:color w:val="auto"/>
        </w:rPr>
      </w:pPr>
      <w:r>
        <w:rPr>
          <w:rFonts w:ascii="Arial" w:cs="Arial" w:eastAsia="Arial" w:hAnsi="Arial"/>
          <w:sz w:val="18"/>
          <w:szCs w:val="18"/>
          <w:color w:val="auto"/>
        </w:rPr>
        <w:t>$        million, assuming the number of shares offered by us, as set forth on the cover page of this prospectus, remains the same, and after deducting underwriting discounts and commissions and estimated offering expenses payable by us. Similarly, each increase (decrease) of 1.0 million shares in the number of shares of Class A common stock offered by us would increase (decrease) the net proceeds to us from this offering by approximately $        million, assuming the assumed initial public offering price per share remains the same, and after deducting underwriting discounts and commissions and estimated offering expenses payable by us.</w:t>
      </w:r>
    </w:p>
    <w:p>
      <w:pPr>
        <w:spacing w:after="0" w:line="180" w:lineRule="exact"/>
        <w:rPr>
          <w:sz w:val="20"/>
          <w:szCs w:val="20"/>
          <w:color w:val="auto"/>
        </w:rPr>
      </w:pPr>
    </w:p>
    <w:p>
      <w:pPr>
        <w:ind w:left="120" w:right="220" w:firstLine="551"/>
        <w:spacing w:after="0" w:line="242" w:lineRule="auto"/>
        <w:rPr>
          <w:sz w:val="20"/>
          <w:szCs w:val="20"/>
          <w:color w:val="auto"/>
        </w:rPr>
      </w:pPr>
      <w:r>
        <w:rPr>
          <w:rFonts w:ascii="Arial" w:cs="Arial" w:eastAsia="Arial" w:hAnsi="Arial"/>
          <w:sz w:val="18"/>
          <w:szCs w:val="18"/>
          <w:color w:val="auto"/>
        </w:rPr>
        <w:t>Each $1.00 increase (decrease) in the assumed initial public offering price per share of $        , which is the midpoint of the price range set forth on the cover page of this prospectus, assuming no change in the assumed settlement date or applicable tax withholding rate, would increase (decrease) the amount we would be required to pay to satisfy our tax withholding and remittance obligations described above by approximately $        million. In addition, each 1.0% increase (decrease) in the tax withholding rate, assuming no change in the assumed initial public offering price per share, would increase (decrease) the amount of tax withholding and remittance obligations described above by approximately $        million.</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also intend to use the remaining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remaining net proceeds for the acquisitions of, or strategic investments in, complementary businesses, products, services, or technologies. However, we do not have any agreements or commitments to enter into any material acquisitions or investments at this time. We will have broad discretion over how we use the net proceeds from this offering. Pending the use of the proceeds from this offering as described above, we intend to invest the net proceeds from the offering that are not used as described above in investment-grade, interest-bearing instruments such as money market funds, corporate notes and bonds, certificates of deposit, commercial paper, and guaranteed obligations of the U.S. government.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Additionally, our ability to pay dividends may be further restricted by agreements we may enter into in the future.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320" w:top="455" w:right="5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 2025 on:</w:t>
      </w:r>
    </w:p>
    <w:p>
      <w:pPr>
        <w:spacing w:after="0" w:line="117"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 forma basis, to reflect (i) the automatic conversion of all outstanding shares of our redeemable convertible preferred stock,</w:t>
      </w:r>
    </w:p>
    <w:p>
      <w:pPr>
        <w:spacing w:after="0" w:line="14" w:lineRule="exact"/>
        <w:rPr>
          <w:sz w:val="20"/>
          <w:szCs w:val="20"/>
          <w:color w:val="auto"/>
        </w:rPr>
      </w:pPr>
    </w:p>
    <w:p>
      <w:pPr>
        <w:ind w:left="880" w:right="20"/>
        <w:spacing w:after="0"/>
        <w:rPr>
          <w:sz w:val="20"/>
          <w:szCs w:val="20"/>
          <w:color w:val="auto"/>
        </w:rPr>
      </w:pPr>
      <w:r>
        <w:rPr>
          <w:rFonts w:ascii="Arial" w:cs="Arial" w:eastAsia="Arial" w:hAnsi="Arial"/>
          <w:sz w:val="18"/>
          <w:szCs w:val="18"/>
          <w:color w:val="auto"/>
        </w:rPr>
        <w:t>of which there were        shares outstanding as of         , 2025, into an equal number of shares of Class B common stock, as if such conversion had occurred on         , 2025; (ii) the reclassification of our outstanding common stock as Class B common stock; (iii) stock-based compensation expense of $        million related to RSUs subject to the RSU Net Settlement, reflected as an increase to additional paid-in capital and accumulated deficit, as further described in Notes 2 and 12 of our consolidated financial statements included elsewhere in this prospectus; (iv) the net issuance of        shares of Class B common stock in connection with the RSU Net Settlement, 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 (v) the $        million increase in liabilities and corresponding decrease in additional paid-in capital resulting from the share withholding for the tax withholding and remittance obligations related to the RSU Net Settlement; and (vi) the filing and effectiveness of our amended and restated certificate of incorporation, which will occur immediately prior to the closing of this offering; and</w:t>
      </w:r>
    </w:p>
    <w:p>
      <w:pPr>
        <w:spacing w:after="0" w:line="25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tab/>
        <w:t xml:space="preserve">a pro forma as adjusted basis, to reflect (i) the adjustments described in the preceding bullet above; (ii) our receipt of $          </w:t>
      </w:r>
    </w:p>
    <w:p>
      <w:pPr>
        <w:spacing w:after="0" w:line="14"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million in estimated net proceeds from the sale and issuance by us of        shares of Class A common stock in this offering, at an assumed initial public offering price of $        per share, the midpoint of the price range set forth on the cover page of this prospectus, after deducting underwriting discounts and commissions and estimated offering expenses payable by us; and (iii) the use of net proceeds from this offering, together with existing cash and cash equivalents, if necessary, to satisfy the estimated tax withholding and remittance obligations reflected in the pro forma adjustments described in the preceding bullet.</w:t>
      </w:r>
    </w:p>
    <w:p>
      <w:pPr>
        <w:spacing w:after="0" w:line="180"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among other things, the actual initial public offering price and other terms of this offering determined at pricing, the actual tax withholding rates, as well as the actual amount of RSUs settled in connection with this offering. You should read this information together with the section titled “Management’s Discussion and Analysis of Financial Condition and Results of Operations” and our consolidated financial statements and the related notes included elsewhere in this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 2025</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10"/>
              <w:spacing w:after="0" w:line="147" w:lineRule="exact"/>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2"/>
                <w:szCs w:val="12"/>
                <w:color w:val="auto"/>
              </w:rPr>
            </w:pPr>
          </w:p>
        </w:tc>
      </w:tr>
      <w:tr>
        <w:trPr>
          <w:trHeight w:val="158"/>
        </w:trPr>
        <w:tc>
          <w:tcPr>
            <w:tcW w:w="2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Pro</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25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5"/>
          </w:tcPr>
          <w:p>
            <w:pPr>
              <w:jc w:val="center"/>
              <w:ind w:right="260"/>
              <w:spacing w:after="0" w:line="175" w:lineRule="exact"/>
              <w:rPr>
                <w:sz w:val="20"/>
                <w:szCs w:val="20"/>
                <w:color w:val="auto"/>
              </w:rPr>
            </w:pPr>
            <w:r>
              <w:rPr>
                <w:rFonts w:ascii="Arial" w:cs="Arial" w:eastAsia="Arial" w:hAnsi="Arial"/>
                <w:sz w:val="14"/>
                <w:szCs w:val="14"/>
                <w:b w:val="1"/>
                <w:bCs w:val="1"/>
                <w:color w:val="auto"/>
                <w:w w:val="98"/>
              </w:rPr>
              <w:t>Forma</w:t>
            </w:r>
            <w:r>
              <w:rPr>
                <w:rFonts w:ascii="Arial" w:cs="Arial" w:eastAsia="Arial" w:hAnsi="Arial"/>
                <w:sz w:val="20"/>
                <w:szCs w:val="20"/>
                <w:b w:val="1"/>
                <w:bCs w:val="1"/>
                <w:color w:val="auto"/>
                <w:w w:val="98"/>
                <w:vertAlign w:val="superscript"/>
              </w:rPr>
              <w:t>(1)</w:t>
            </w:r>
          </w:p>
        </w:tc>
        <w:tc>
          <w:tcPr>
            <w:tcW w:w="100" w:type="dxa"/>
            <w:vAlign w:val="bottom"/>
          </w:tcPr>
          <w:p>
            <w:pPr>
              <w:spacing w:after="0"/>
              <w:rPr>
                <w:sz w:val="15"/>
                <w:szCs w:val="15"/>
                <w:color w:val="auto"/>
              </w:rPr>
            </w:pPr>
          </w:p>
        </w:tc>
        <w:tc>
          <w:tcPr>
            <w:tcW w:w="940" w:type="dxa"/>
            <w:vAlign w:val="bottom"/>
            <w:gridSpan w:val="5"/>
          </w:tcPr>
          <w:p>
            <w:pPr>
              <w:jc w:val="center"/>
              <w:ind w:right="160"/>
              <w:spacing w:after="0" w:line="175" w:lineRule="exact"/>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20"/>
                <w:szCs w:val="20"/>
                <w:b w:val="1"/>
                <w:bCs w:val="1"/>
                <w:color w:val="auto"/>
                <w:w w:val="97"/>
                <w:vertAlign w:val="superscript"/>
              </w:rPr>
              <w:t>(1)</w:t>
            </w:r>
          </w:p>
        </w:tc>
      </w:tr>
      <w:tr>
        <w:trPr>
          <w:trHeight w:val="146"/>
        </w:trPr>
        <w:tc>
          <w:tcPr>
            <w:tcW w:w="2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11"/>
          </w:tcPr>
          <w:p>
            <w:pPr>
              <w:jc w:val="center"/>
              <w:spacing w:after="0" w:line="147"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rPr>
              <w:t>share amounts)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investments</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88"/>
              </w:rPr>
              <w:t> </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w w:val="76"/>
              </w:rPr>
              <w:t> </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88"/>
              </w:rPr>
              <w:t> </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72"/>
              </w:rPr>
              <w:t> </w:t>
            </w:r>
          </w:p>
        </w:tc>
        <w:tc>
          <w:tcPr>
            <w:tcW w:w="2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w w:val="72"/>
              </w:rPr>
              <w:t> </w:t>
            </w:r>
          </w:p>
        </w:tc>
        <w:tc>
          <w:tcPr>
            <w:tcW w:w="3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r>
      <w:tr>
        <w:trPr>
          <w:trHeight w:val="191"/>
        </w:trPr>
        <w:tc>
          <w:tcPr>
            <w:tcW w:w="6120" w:type="dxa"/>
            <w:vAlign w:val="bottom"/>
            <w:gridSpan w:val="2"/>
          </w:tcPr>
          <w:p>
            <w:pPr>
              <w:spacing w:after="0" w:line="191" w:lineRule="exact"/>
              <w:rPr>
                <w:sz w:val="20"/>
                <w:szCs w:val="20"/>
                <w:color w:val="auto"/>
              </w:rPr>
            </w:pPr>
            <w:r>
              <w:rPr>
                <w:rFonts w:ascii="Arial" w:cs="Arial" w:eastAsia="Arial" w:hAnsi="Arial"/>
                <w:sz w:val="18"/>
                <w:szCs w:val="18"/>
                <w:color w:val="auto"/>
              </w:rPr>
              <w:t xml:space="preserve">Redeemable convertible preferred stock, par value $0.0001 per share;        </w:t>
            </w:r>
          </w:p>
        </w:tc>
        <w:tc>
          <w:tcPr>
            <w:tcW w:w="1460" w:type="dxa"/>
            <w:vAlign w:val="bottom"/>
          </w:tcPr>
          <w:p>
            <w:pPr>
              <w:ind w:left="60"/>
              <w:spacing w:after="0" w:line="191" w:lineRule="exact"/>
              <w:rPr>
                <w:sz w:val="20"/>
                <w:szCs w:val="20"/>
                <w:color w:val="auto"/>
              </w:rPr>
            </w:pPr>
            <w:r>
              <w:rPr>
                <w:rFonts w:ascii="Arial" w:cs="Arial" w:eastAsia="Arial" w:hAnsi="Arial"/>
                <w:sz w:val="18"/>
                <w:szCs w:val="18"/>
                <w:color w:val="auto"/>
              </w:rPr>
              <w:t>   shares</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authorized,             issued, and outstanding, actual; no shares authorized, issued, or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3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4"/>
        </w:trPr>
        <w:tc>
          <w:tcPr>
            <w:tcW w:w="7820" w:type="dxa"/>
            <w:vAlign w:val="bottom"/>
            <w:gridSpan w:val="4"/>
          </w:tcPr>
          <w:p>
            <w:pPr>
              <w:ind w:left="360"/>
              <w:spacing w:after="0" w:line="183" w:lineRule="exact"/>
              <w:rPr>
                <w:sz w:val="20"/>
                <w:szCs w:val="20"/>
                <w:color w:val="auto"/>
              </w:rPr>
            </w:pPr>
            <w:r>
              <w:rPr>
                <w:rFonts w:ascii="Arial" w:cs="Arial" w:eastAsia="Arial" w:hAnsi="Arial"/>
                <w:sz w:val="18"/>
                <w:szCs w:val="18"/>
                <w:color w:val="auto"/>
              </w:rPr>
              <w:t>Class A common stock, par value $0.0001 per share; no shares authorized, issued, or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258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outstanding, actual;        </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4"/>
              </w:rPr>
              <w:t>   shares authorized, no shares issued or  </w:t>
            </w:r>
          </w:p>
        </w:tc>
        <w:tc>
          <w:tcPr>
            <w:tcW w:w="1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580" w:type="dxa"/>
            <w:vAlign w:val="bottom"/>
          </w:tcPr>
          <w:p>
            <w:pPr>
              <w:ind w:left="540"/>
              <w:spacing w:after="0" w:line="202" w:lineRule="exact"/>
              <w:rPr>
                <w:sz w:val="20"/>
                <w:szCs w:val="20"/>
                <w:color w:val="auto"/>
              </w:rPr>
            </w:pPr>
            <w:r>
              <w:rPr>
                <w:rFonts w:ascii="Arial" w:cs="Arial" w:eastAsia="Arial" w:hAnsi="Arial"/>
                <w:sz w:val="18"/>
                <w:szCs w:val="18"/>
                <w:color w:val="auto"/>
                <w:w w:val="97"/>
              </w:rPr>
              <w:t>outstanding, pro forma;  </w:t>
            </w:r>
          </w:p>
        </w:tc>
        <w:tc>
          <w:tcPr>
            <w:tcW w:w="5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         authorized,             shares issued and outstanding,</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2580" w:type="dxa"/>
            <w:vAlign w:val="bottom"/>
          </w:tcPr>
          <w:p>
            <w:pPr>
              <w:ind w:left="540"/>
              <w:spacing w:after="0"/>
              <w:rPr>
                <w:sz w:val="20"/>
                <w:szCs w:val="20"/>
                <w:color w:val="auto"/>
              </w:rPr>
            </w:pPr>
            <w:r>
              <w:rPr>
                <w:rFonts w:ascii="Arial" w:cs="Arial" w:eastAsia="Arial" w:hAnsi="Arial"/>
                <w:sz w:val="18"/>
                <w:szCs w:val="18"/>
                <w:color w:val="auto"/>
              </w:rPr>
              <w:t>pro forma as adjusted</w:t>
            </w:r>
          </w:p>
        </w:tc>
        <w:tc>
          <w:tcPr>
            <w:tcW w:w="3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4"/>
        </w:trPr>
        <w:tc>
          <w:tcPr>
            <w:tcW w:w="7820" w:type="dxa"/>
            <w:vAlign w:val="bottom"/>
            <w:gridSpan w:val="4"/>
            <w:shd w:val="clear" w:color="auto" w:fill="CCEEFF"/>
          </w:tcPr>
          <w:p>
            <w:pPr>
              <w:ind w:left="360"/>
              <w:spacing w:after="0" w:line="183" w:lineRule="exact"/>
              <w:rPr>
                <w:sz w:val="20"/>
                <w:szCs w:val="20"/>
                <w:color w:val="auto"/>
              </w:rPr>
            </w:pPr>
            <w:r>
              <w:rPr>
                <w:rFonts w:ascii="Arial" w:cs="Arial" w:eastAsia="Arial" w:hAnsi="Arial"/>
                <w:sz w:val="18"/>
                <w:szCs w:val="18"/>
                <w:color w:val="auto"/>
              </w:rPr>
              <w:t>Class B common stock, par value $0.0001 per share; no shares authorized, issued, or</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2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 xml:space="preserve">outstanding, actual;        </w:t>
            </w:r>
          </w:p>
        </w:tc>
        <w:tc>
          <w:tcPr>
            <w:tcW w:w="52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   shares authorized,             shares issued and</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6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and pro forma as adjusted</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3"/>
        </w:trPr>
        <w:tc>
          <w:tcPr>
            <w:tcW w:w="258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3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258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61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stockholders’ (deficit) equity</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88"/>
              </w:rPr>
              <w:t> </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shd w:val="clear" w:color="auto" w:fill="CCEEFF"/>
          </w:tcPr>
          <w:p>
            <w:pPr>
              <w:ind w:left="80"/>
              <w:spacing w:after="0"/>
              <w:rPr>
                <w:sz w:val="20"/>
                <w:szCs w:val="20"/>
                <w:color w:val="auto"/>
              </w:rPr>
            </w:pPr>
            <w:r>
              <w:rPr>
                <w:rFonts w:ascii="Arial" w:cs="Arial" w:eastAsia="Arial" w:hAnsi="Arial"/>
                <w:sz w:val="13"/>
                <w:szCs w:val="13"/>
                <w:color w:val="auto"/>
                <w:w w:val="76"/>
              </w:rPr>
              <w:t> </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88"/>
              </w:rPr>
              <w:t> </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72"/>
              </w:rPr>
              <w:t> </w:t>
            </w:r>
          </w:p>
        </w:tc>
        <w:tc>
          <w:tcPr>
            <w:tcW w:w="2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w w:val="72"/>
              </w:rPr>
              <w:t> </w:t>
            </w:r>
          </w:p>
        </w:tc>
        <w:tc>
          <w:tcPr>
            <w:tcW w:w="3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r>
      <w:tr>
        <w:trPr>
          <w:trHeight w:val="210"/>
        </w:trPr>
        <w:tc>
          <w:tcPr>
            <w:tcW w:w="2580" w:type="dxa"/>
            <w:vAlign w:val="bottom"/>
          </w:tcPr>
          <w:p>
            <w:pPr>
              <w:ind w:left="1080"/>
              <w:spacing w:after="0"/>
              <w:rPr>
                <w:sz w:val="20"/>
                <w:szCs w:val="20"/>
                <w:color w:val="auto"/>
              </w:rPr>
            </w:pPr>
            <w:r>
              <w:rPr>
                <w:rFonts w:ascii="Arial" w:cs="Arial" w:eastAsia="Arial" w:hAnsi="Arial"/>
                <w:sz w:val="18"/>
                <w:szCs w:val="18"/>
                <w:color w:val="auto"/>
                <w:w w:val="99"/>
              </w:rPr>
              <w:t>Total capitalization</w:t>
            </w:r>
          </w:p>
        </w:tc>
        <w:tc>
          <w:tcPr>
            <w:tcW w:w="3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 </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 xml:space="preserve">$  </w:t>
            </w: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w w:val="76"/>
              </w:rPr>
              <w:t> </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 </w:t>
            </w: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72"/>
              </w:rPr>
              <w:t> </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7"/>
              </w:rPr>
              <w:t> </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72"/>
              </w:rPr>
              <w:t> </w:t>
            </w: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140" w:hanging="544"/>
        <w:spacing w:after="0" w:line="24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amount of pro forma as adjusted cash, cash equivalents, and investments, total stockholders’ (deficit) equity, and total capitalization by $        million, assuming the number</w:t>
      </w:r>
    </w:p>
    <w:p>
      <w:pPr>
        <w:spacing w:after="0" w:line="2" w:lineRule="exact"/>
        <w:rPr>
          <w:sz w:val="20"/>
          <w:szCs w:val="20"/>
          <w:color w:val="auto"/>
        </w:rPr>
      </w:pPr>
    </w:p>
    <w:p>
      <w:pPr>
        <w:ind w:left="660" w:right="20"/>
        <w:spacing w:after="0" w:line="236" w:lineRule="auto"/>
        <w:rPr>
          <w:sz w:val="20"/>
          <w:szCs w:val="20"/>
          <w:color w:val="auto"/>
        </w:rPr>
      </w:pPr>
      <w:r>
        <w:rPr>
          <w:rFonts w:ascii="Arial" w:cs="Arial" w:eastAsia="Arial" w:hAnsi="Arial"/>
          <w:sz w:val="18"/>
          <w:szCs w:val="18"/>
          <w:color w:val="auto"/>
        </w:rPr>
        <w:t>of shares offered by us, as set forth on the cover page of this prospectus, remains the same and after deducting underwriting discounts and commissions and estimated offering expenses payable by us. We may also increase (decrease) the number of shares we are offering. An increase (decrease) of 1.0 million in the number of shares we are offering would increase or decrease the amount of pro forma as adjusted cash, cash equivalents, and investments, total stockholders’ (deficit) equity, and total capitalization by $         million, assuming the assumed initial public offering price per share, the midpoint of the price range set forth on the cover page of this prospectus, remains the same and after deducting underwriting discounts and commissions and estimated offering expenses payable by us. In addition, each 1.0% increase (decrease) in the tax withholding rate would increase (decrease) the amount of tax withholding and remittance obligations related to the RSU Net Settlement and increase (decrease) cash, cash equivalents, and investments, additional paid-in capital, total stockholders’ (deficit) equity, and total capitalization by $        million, assuming that the assumed initial public offering price remains the same, that the number of shares of Class A common stock offered by us, as set forth on the cover page of this prospectus, remains the same, and after deducting underwriting discounts and commissions and estimated offering expenses payable by us in connection with this offering. Each $1.0 increase (decrease) in the assumed initial public offering price of $        per share, the midpoint of the price range set forth on the cover page of this prospectus, would increase (decrease) the amount of tax withholding and remittance obligations related to the RSU Net Settlement and increase (decrease) cash, cash equivalents, and investments, additional paid-in</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480"/>
        <w:spacing w:after="0" w:line="247" w:lineRule="auto"/>
        <w:rPr>
          <w:sz w:val="20"/>
          <w:szCs w:val="20"/>
          <w:color w:val="auto"/>
        </w:rPr>
      </w:pPr>
      <w:r>
        <w:rPr>
          <w:rFonts w:ascii="Arial" w:cs="Arial" w:eastAsia="Arial" w:hAnsi="Arial"/>
          <w:sz w:val="18"/>
          <w:szCs w:val="18"/>
          <w:color w:val="auto"/>
        </w:rPr>
        <w:t>capital, total stockholders’ (deficit) equity, and total capitalization by $        million, assuming that the tax withholding rate remains the same, that the number of shares of Class A common stock offered by us, as set forth on the cover page of this prospectus, remains the same, and after deducting underwriting discounts and commissions and estimated offering expenses payable by us in connection with this offering.</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the closing of this offering is based on no shares of our Class A common stock and         shares of our Class B common stock (including shares of our redeemable convertible preferred stock on an as converted basis and after giving effect to the RSU Net Settlement, after withholding</w:t>
      </w:r>
    </w:p>
    <w:p>
      <w:pPr>
        <w:spacing w:after="0" w:line="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        shares to satisfy estimated tax withholding and remittance obligations of $        million (based on the assumed initial offering price set forth on the cover page of this prospectus, and an assumed         % tax withholding rate) outstanding as of         , 2025, and excludes:</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tab/>
        <w:t xml:space="preserve">            shares of Class B common stock issuable upon the exercise of stock options outstanding as of          </w:t>
      </w:r>
    </w:p>
    <w:p>
      <w:pPr>
        <w:spacing w:after="0" w:line="14" w:lineRule="exact"/>
        <w:rPr>
          <w:sz w:val="20"/>
          <w:szCs w:val="20"/>
          <w:color w:val="auto"/>
        </w:rPr>
      </w:pPr>
    </w:p>
    <w:p>
      <w:pPr>
        <w:ind w:left="880"/>
        <w:spacing w:after="0"/>
        <w:tabs>
          <w:tab w:leader="none" w:pos="6260" w:val="left"/>
        </w:tabs>
        <w:rPr>
          <w:sz w:val="20"/>
          <w:szCs w:val="20"/>
          <w:color w:val="auto"/>
        </w:rPr>
      </w:pPr>
      <w:r>
        <w:rPr>
          <w:rFonts w:ascii="Arial" w:cs="Arial" w:eastAsia="Arial" w:hAnsi="Arial"/>
          <w:sz w:val="18"/>
          <w:szCs w:val="18"/>
          <w:color w:val="auto"/>
        </w:rPr>
        <w:t xml:space="preserve">our 2016 Plan with a weighted-average exercise price of $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 2025 under</w:t>
      </w:r>
    </w:p>
    <w:p>
      <w:pPr>
        <w:spacing w:after="0" w:line="319" w:lineRule="exact"/>
        <w:rPr>
          <w:sz w:val="20"/>
          <w:szCs w:val="20"/>
          <w:color w:val="auto"/>
        </w:rPr>
      </w:pPr>
    </w:p>
    <w:p>
      <w:pPr>
        <w:sectPr>
          <w:pgSz w:w="11900" w:h="16838" w:orient="portrait"/>
          <w:cols w:equalWidth="0" w:num="2">
            <w:col w:w="9700" w:space="180"/>
            <w:col w:w="1240"/>
          </w:cols>
          <w:pgMar w:left="320" w:top="455" w:right="459" w:bottom="1440" w:gutter="0" w:footer="0" w:header="0"/>
          <w:type w:val="continuous"/>
        </w:sectPr>
      </w:pPr>
    </w:p>
    <w:p>
      <w:pPr>
        <w:ind w:left="880" w:right="220" w:hanging="224"/>
        <w:spacing w:after="0" w:line="24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shares of Class B common stock issuable upon the vesting and settlement of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w:t>
      </w:r>
    </w:p>
    <w:p>
      <w:pPr>
        <w:spacing w:after="0" w:line="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gridSpan w:val="2"/>
          </w:tcPr>
          <w:p>
            <w:pPr>
              <w:ind w:left="80"/>
              <w:spacing w:after="0"/>
              <w:rPr>
                <w:sz w:val="20"/>
                <w:szCs w:val="20"/>
                <w:color w:val="auto"/>
              </w:rPr>
            </w:pPr>
            <w:r>
              <w:rPr>
                <w:rFonts w:ascii="Arial" w:cs="Arial" w:eastAsia="Arial" w:hAnsi="Arial"/>
                <w:sz w:val="18"/>
                <w:szCs w:val="18"/>
                <w:color w:val="auto"/>
              </w:rPr>
              <w:t>shares of Class B common stock reserved for future issuance under our 2016 Plan as of            , 2025, which shares</w:t>
            </w:r>
          </w:p>
        </w:tc>
      </w:tr>
      <w:tr>
        <w:trPr>
          <w:trHeight w:val="239"/>
        </w:trPr>
        <w:tc>
          <w:tcPr>
            <w:tcW w:w="140" w:type="dxa"/>
            <w:vAlign w:val="bottom"/>
          </w:tcPr>
          <w:p>
            <w:pPr>
              <w:spacing w:after="0"/>
              <w:rPr>
                <w:sz w:val="20"/>
                <w:szCs w:val="20"/>
                <w:color w:val="auto"/>
              </w:rPr>
            </w:pPr>
          </w:p>
        </w:tc>
        <w:tc>
          <w:tcPr>
            <w:tcW w:w="10320" w:type="dxa"/>
            <w:vAlign w:val="bottom"/>
            <w:gridSpan w:val="6"/>
          </w:tcPr>
          <w:p>
            <w:pPr>
              <w:ind w:left="80"/>
              <w:spacing w:after="0"/>
              <w:rPr>
                <w:sz w:val="20"/>
                <w:szCs w:val="20"/>
                <w:color w:val="auto"/>
              </w:rPr>
            </w:pPr>
            <w:r>
              <w:rPr>
                <w:rFonts w:ascii="Arial" w:cs="Arial" w:eastAsia="Arial" w:hAnsi="Arial"/>
                <w:sz w:val="18"/>
                <w:szCs w:val="18"/>
                <w:color w:val="auto"/>
              </w:rPr>
              <w:t>will cease to be available for issuance upon the effectiveness of the registration statement of which this prospectus forms a part;</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gridSpan w:val="2"/>
          </w:tcPr>
          <w:p>
            <w:pPr>
              <w:ind w:left="80"/>
              <w:spacing w:after="0"/>
              <w:rPr>
                <w:sz w:val="20"/>
                <w:szCs w:val="20"/>
                <w:color w:val="auto"/>
              </w:rPr>
            </w:pPr>
            <w:r>
              <w:rPr>
                <w:rFonts w:ascii="Arial" w:cs="Arial" w:eastAsia="Arial" w:hAnsi="Arial"/>
                <w:sz w:val="18"/>
                <w:szCs w:val="18"/>
                <w:color w:val="auto"/>
              </w:rPr>
              <w:t>shares of our Class B common stock issuable upon the exercise of outstanding warrants to purchase Class B common</w:t>
            </w:r>
          </w:p>
        </w:tc>
      </w:tr>
      <w:tr>
        <w:trPr>
          <w:trHeight w:val="239"/>
        </w:trPr>
        <w:tc>
          <w:tcPr>
            <w:tcW w:w="140" w:type="dxa"/>
            <w:vAlign w:val="bottom"/>
          </w:tcPr>
          <w:p>
            <w:pPr>
              <w:spacing w:after="0"/>
              <w:rPr>
                <w:sz w:val="20"/>
                <w:szCs w:val="20"/>
                <w:color w:val="auto"/>
              </w:rPr>
            </w:pPr>
          </w:p>
        </w:tc>
        <w:tc>
          <w:tcPr>
            <w:tcW w:w="6460" w:type="dxa"/>
            <w:vAlign w:val="bottom"/>
            <w:gridSpan w:val="5"/>
          </w:tcPr>
          <w:p>
            <w:pPr>
              <w:ind w:left="80"/>
              <w:spacing w:after="0"/>
              <w:rPr>
                <w:sz w:val="20"/>
                <w:szCs w:val="20"/>
                <w:color w:val="auto"/>
              </w:rPr>
            </w:pPr>
            <w:r>
              <w:rPr>
                <w:rFonts w:ascii="Arial" w:cs="Arial" w:eastAsia="Arial" w:hAnsi="Arial"/>
                <w:sz w:val="18"/>
                <w:szCs w:val="18"/>
                <w:color w:val="auto"/>
              </w:rPr>
              <w:t xml:space="preserve">stock as of            , 2025, with a weighted-average exercise price of $          </w:t>
            </w:r>
          </w:p>
        </w:tc>
        <w:tc>
          <w:tcPr>
            <w:tcW w:w="3860" w:type="dxa"/>
            <w:vAlign w:val="bottom"/>
          </w:tcPr>
          <w:p>
            <w:pPr>
              <w:ind w:left="80"/>
              <w:spacing w:after="0"/>
              <w:rPr>
                <w:sz w:val="20"/>
                <w:szCs w:val="20"/>
                <w:color w:val="auto"/>
              </w:rPr>
            </w:pPr>
            <w:r>
              <w:rPr>
                <w:rFonts w:ascii="Arial" w:cs="Arial" w:eastAsia="Arial" w:hAnsi="Arial"/>
                <w:sz w:val="18"/>
                <w:szCs w:val="18"/>
                <w:color w:val="auto"/>
              </w:rPr>
              <w:t>per share;</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740" w:type="dxa"/>
            <w:vAlign w:val="bottom"/>
          </w:tcPr>
          <w:p>
            <w:pPr>
              <w:ind w:left="80"/>
              <w:spacing w:after="0"/>
              <w:rPr>
                <w:sz w:val="20"/>
                <w:szCs w:val="20"/>
                <w:color w:val="auto"/>
              </w:rPr>
            </w:pPr>
            <w:r>
              <w:rPr>
                <w:rFonts w:ascii="Arial" w:cs="Arial" w:eastAsia="Arial" w:hAnsi="Arial"/>
                <w:sz w:val="18"/>
                <w:szCs w:val="18"/>
                <w:color w:val="auto"/>
                <w:w w:val="99"/>
              </w:rPr>
              <w:t>shares of Class A common stock reserved for issuance under our 2025</w:t>
            </w:r>
          </w:p>
        </w:tc>
        <w:tc>
          <w:tcPr>
            <w:tcW w:w="3860" w:type="dxa"/>
            <w:vAlign w:val="bottom"/>
          </w:tcPr>
          <w:p>
            <w:pPr>
              <w:ind w:left="40"/>
              <w:spacing w:after="0"/>
              <w:rPr>
                <w:sz w:val="20"/>
                <w:szCs w:val="20"/>
                <w:color w:val="auto"/>
              </w:rPr>
            </w:pPr>
            <w:r>
              <w:rPr>
                <w:rFonts w:ascii="Arial" w:cs="Arial" w:eastAsia="Arial" w:hAnsi="Arial"/>
                <w:sz w:val="18"/>
                <w:szCs w:val="18"/>
                <w:color w:val="auto"/>
              </w:rPr>
              <w:t>Plan plus any future increases in the number of</w:t>
            </w:r>
          </w:p>
        </w:tc>
      </w:tr>
      <w:tr>
        <w:trPr>
          <w:trHeight w:val="203"/>
        </w:trPr>
        <w:tc>
          <w:tcPr>
            <w:tcW w:w="140" w:type="dxa"/>
            <w:vAlign w:val="bottom"/>
          </w:tcPr>
          <w:p>
            <w:pPr>
              <w:spacing w:after="0"/>
              <w:rPr>
                <w:sz w:val="17"/>
                <w:szCs w:val="17"/>
                <w:color w:val="auto"/>
              </w:rPr>
            </w:pPr>
          </w:p>
        </w:tc>
        <w:tc>
          <w:tcPr>
            <w:tcW w:w="10320" w:type="dxa"/>
            <w:vAlign w:val="bottom"/>
            <w:gridSpan w:val="6"/>
          </w:tcPr>
          <w:p>
            <w:pPr>
              <w:ind w:left="80"/>
              <w:spacing w:after="0" w:line="202" w:lineRule="exact"/>
              <w:rPr>
                <w:sz w:val="20"/>
                <w:szCs w:val="20"/>
                <w:color w:val="auto"/>
              </w:rPr>
            </w:pPr>
            <w:r>
              <w:rPr>
                <w:rFonts w:ascii="Arial" w:cs="Arial" w:eastAsia="Arial" w:hAnsi="Arial"/>
                <w:sz w:val="18"/>
                <w:szCs w:val="18"/>
                <w:color w:val="auto"/>
              </w:rPr>
              <w:t>shares of Class A common stock reserved for issuance thereunder, as more fully described in the section titled “Executive</w:t>
            </w:r>
          </w:p>
        </w:tc>
      </w:tr>
      <w:tr>
        <w:trPr>
          <w:trHeight w:val="203"/>
        </w:trPr>
        <w:tc>
          <w:tcPr>
            <w:tcW w:w="140" w:type="dxa"/>
            <w:vAlign w:val="bottom"/>
          </w:tcPr>
          <w:p>
            <w:pPr>
              <w:spacing w:after="0"/>
              <w:rPr>
                <w:sz w:val="17"/>
                <w:szCs w:val="17"/>
                <w:color w:val="auto"/>
              </w:rPr>
            </w:pPr>
          </w:p>
        </w:tc>
        <w:tc>
          <w:tcPr>
            <w:tcW w:w="10320" w:type="dxa"/>
            <w:vAlign w:val="bottom"/>
            <w:gridSpan w:val="6"/>
          </w:tcPr>
          <w:p>
            <w:pPr>
              <w:ind w:left="80"/>
              <w:spacing w:after="0" w:line="202" w:lineRule="exact"/>
              <w:rPr>
                <w:sz w:val="20"/>
                <w:szCs w:val="20"/>
                <w:color w:val="auto"/>
              </w:rPr>
            </w:pPr>
            <w:r>
              <w:rPr>
                <w:rFonts w:ascii="Arial" w:cs="Arial" w:eastAsia="Arial" w:hAnsi="Arial"/>
                <w:sz w:val="18"/>
                <w:szCs w:val="18"/>
                <w:color w:val="auto"/>
                <w:w w:val="99"/>
              </w:rPr>
              <w:t>Compensation—Employee Benefit and Stock Plans—2025 Equity Incentive Plan,” which will become available for issuance upon</w:t>
            </w:r>
          </w:p>
        </w:tc>
      </w:tr>
      <w:tr>
        <w:trPr>
          <w:trHeight w:val="239"/>
        </w:trPr>
        <w:tc>
          <w:tcPr>
            <w:tcW w:w="140" w:type="dxa"/>
            <w:vAlign w:val="bottom"/>
          </w:tcPr>
          <w:p>
            <w:pPr>
              <w:spacing w:after="0"/>
              <w:rPr>
                <w:sz w:val="20"/>
                <w:szCs w:val="20"/>
                <w:color w:val="auto"/>
              </w:rPr>
            </w:pPr>
          </w:p>
        </w:tc>
        <w:tc>
          <w:tcPr>
            <w:tcW w:w="10320" w:type="dxa"/>
            <w:vAlign w:val="bottom"/>
            <w:gridSpan w:val="6"/>
          </w:tcPr>
          <w:p>
            <w:pPr>
              <w:ind w:left="80"/>
              <w:spacing w:after="0"/>
              <w:rPr>
                <w:sz w:val="20"/>
                <w:szCs w:val="20"/>
                <w:color w:val="auto"/>
              </w:rPr>
            </w:pPr>
            <w:r>
              <w:rPr>
                <w:rFonts w:ascii="Arial" w:cs="Arial" w:eastAsia="Arial" w:hAnsi="Arial"/>
                <w:sz w:val="18"/>
                <w:szCs w:val="18"/>
                <w:color w:val="auto"/>
              </w:rPr>
              <w:t>the effectiveness of the registration statement of which this prospectus is a part; and</w:t>
            </w:r>
          </w:p>
        </w:tc>
      </w:tr>
      <w:tr>
        <w:trPr>
          <w:trHeight w:val="30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5740" w:type="dxa"/>
            <w:vAlign w:val="bottom"/>
          </w:tcPr>
          <w:p>
            <w:pPr>
              <w:ind w:left="80"/>
              <w:spacing w:after="0"/>
              <w:rPr>
                <w:sz w:val="20"/>
                <w:szCs w:val="20"/>
                <w:color w:val="auto"/>
              </w:rPr>
            </w:pPr>
            <w:r>
              <w:rPr>
                <w:rFonts w:ascii="Arial" w:cs="Arial" w:eastAsia="Arial" w:hAnsi="Arial"/>
                <w:sz w:val="18"/>
                <w:szCs w:val="18"/>
                <w:color w:val="auto"/>
                <w:w w:val="99"/>
              </w:rPr>
              <w:t>shares of Class A common stock reserved for issuance under our 2025</w:t>
            </w:r>
          </w:p>
        </w:tc>
        <w:tc>
          <w:tcPr>
            <w:tcW w:w="3860" w:type="dxa"/>
            <w:vAlign w:val="bottom"/>
          </w:tcPr>
          <w:p>
            <w:pPr>
              <w:ind w:left="40"/>
              <w:spacing w:after="0"/>
              <w:rPr>
                <w:sz w:val="20"/>
                <w:szCs w:val="20"/>
                <w:color w:val="auto"/>
              </w:rPr>
            </w:pPr>
            <w:r>
              <w:rPr>
                <w:rFonts w:ascii="Arial" w:cs="Arial" w:eastAsia="Arial" w:hAnsi="Arial"/>
                <w:sz w:val="18"/>
                <w:szCs w:val="18"/>
                <w:color w:val="auto"/>
              </w:rPr>
              <w:t>ESPP plus any future increases in the number</w:t>
            </w:r>
          </w:p>
        </w:tc>
      </w:tr>
    </w:tbl>
    <w:p>
      <w:pPr>
        <w:jc w:val="both"/>
        <w:ind w:left="880" w:right="360"/>
        <w:spacing w:after="0" w:line="242" w:lineRule="auto"/>
        <w:rPr>
          <w:sz w:val="20"/>
          <w:szCs w:val="20"/>
          <w:color w:val="auto"/>
        </w:rPr>
      </w:pPr>
      <w:r>
        <w:rPr>
          <w:rFonts w:ascii="Arial" w:cs="Arial" w:eastAsia="Arial" w:hAnsi="Arial"/>
          <w:sz w:val="18"/>
          <w:szCs w:val="18"/>
          <w:color w:val="auto"/>
        </w:rPr>
        <w:t>of shares of Class A common stock reserved for issuance thereunder, as more fully described in the section titled “Executive Compensation—Employee Benefit and Stock Plans—2025 Employee Stock Purchase Plan,” which will become available for issuance upon the effectiveness of the registration statement of which this prospectus is a part.</w:t>
      </w:r>
    </w:p>
    <w:p>
      <w:pPr>
        <w:spacing w:after="0" w:line="179"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Our 2025 Plan and 2025 ESPP provide for annual automatic increases in the number of shares reserved thereunder. See the section titled “Executive Compensation—Employee Benefit and Stock Plans” for additional information.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jc w:val="both"/>
        <w:ind w:left="120" w:right="340" w:firstLine="551"/>
        <w:spacing w:after="0" w:line="25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Class A common stock immediately after the closing of this offering.</w:t>
      </w:r>
    </w:p>
    <w:p>
      <w:pPr>
        <w:spacing w:after="0" w:line="169"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Our historical net tangible book deficit as of         , 2025 was $        million, or $        per share of common stock. Historical net tangible book deficit represents the amount of our total tangible assets less our total liabilities and redeemable convertible preferred stock, divided by the number of shares of common stock outstanding as of         , 2025.</w:t>
      </w:r>
    </w:p>
    <w:p>
      <w:pPr>
        <w:spacing w:after="0" w:line="16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Our pro forma net tangible book deficit as of         , 2025 was $        million, or $        per share. Pro forma net tangible book value per share represents the amount of our total tangible assets less our total liabilities, divided by the number of shares of our common stock outstanding as of         , 2025, after giving effect to (i) the automatic conversion of all outstanding shares of our redeemable convertible preferred stock, of which there were        shares outstanding as of         , 2025, into an equal number of shares of Class B common stock as if such conversion had occurred on         , 2025; and (ii) the net issuance of        shares of Class B common stock in connection with the RSU Net Settlement, 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After giving further effect to (i) our receipt of $        million in estimated net proceeds from the sale and issuance by us of shares of Class A common stock in this offering at an assumed initial public offering price of $        per share, the midpoint of the price range set forth on the cover page of this prospectus, and after deducting underwriting discounts and commissions and estimated offering expenses payable by us, and (ii) the use of proceeds and existing cash and cash equivalents to satisfy the assumed tax withholding and remittance obligations described above, our pro forma as adjusted net tangible book value as of         , 2025 would have been</w:t>
      </w:r>
    </w:p>
    <w:tbl>
      <w:tblPr>
        <w:tblLayout w:type="fixed"/>
        <w:tblInd w:w="120" w:type="dxa"/>
        <w:tblCellMar>
          <w:top w:w="0" w:type="dxa"/>
          <w:left w:w="0" w:type="dxa"/>
          <w:bottom w:w="0" w:type="dxa"/>
          <w:right w:w="0" w:type="dxa"/>
        </w:tblCellMar>
      </w:tblPr>
      <w:tr>
        <w:trPr>
          <w:trHeight w:val="189"/>
        </w:trPr>
        <w:tc>
          <w:tcPr>
            <w:tcW w:w="220" w:type="dxa"/>
            <w:vAlign w:val="bottom"/>
          </w:tcPr>
          <w:p>
            <w:pPr>
              <w:spacing w:after="0" w:line="189"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100"/>
              <w:spacing w:after="0" w:line="189" w:lineRule="exact"/>
              <w:rPr>
                <w:sz w:val="20"/>
                <w:szCs w:val="20"/>
                <w:color w:val="auto"/>
              </w:rPr>
            </w:pPr>
            <w:r>
              <w:rPr>
                <w:rFonts w:ascii="Arial" w:cs="Arial" w:eastAsia="Arial" w:hAnsi="Arial"/>
                <w:sz w:val="18"/>
                <w:szCs w:val="18"/>
                <w:color w:val="auto"/>
              </w:rPr>
              <w:t>million, or $            per share. This amount represents an immediate increase in pro forma net tangible book value of</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60"/>
              <w:spacing w:after="0" w:line="202" w:lineRule="exact"/>
              <w:rPr>
                <w:sz w:val="20"/>
                <w:szCs w:val="20"/>
                <w:color w:val="auto"/>
              </w:rPr>
            </w:pPr>
            <w:r>
              <w:rPr>
                <w:rFonts w:ascii="Arial" w:cs="Arial" w:eastAsia="Arial" w:hAnsi="Arial"/>
                <w:sz w:val="18"/>
                <w:szCs w:val="18"/>
                <w:color w:val="auto"/>
                <w:w w:val="99"/>
              </w:rPr>
              <w:t>per share to our existing stockholders and immediate dilution in pro forma as adjusted net tangible book value of approximately</w:t>
            </w:r>
          </w:p>
        </w:tc>
      </w:tr>
      <w:tr>
        <w:trPr>
          <w:trHeight w:val="239"/>
        </w:trPr>
        <w:tc>
          <w:tcPr>
            <w:tcW w:w="220" w:type="dxa"/>
            <w:vAlign w:val="bottom"/>
          </w:tcPr>
          <w:p>
            <w:pPr>
              <w:spacing w:after="0"/>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60"/>
              <w:spacing w:after="0"/>
              <w:rPr>
                <w:sz w:val="20"/>
                <w:szCs w:val="20"/>
                <w:color w:val="auto"/>
              </w:rPr>
            </w:pPr>
            <w:r>
              <w:rPr>
                <w:rFonts w:ascii="Arial" w:cs="Arial" w:eastAsia="Arial" w:hAnsi="Arial"/>
                <w:sz w:val="18"/>
                <w:szCs w:val="18"/>
                <w:color w:val="auto"/>
              </w:rPr>
              <w:t>per share to new investors purchasing shares of Class A common stock in this offering.</w:t>
            </w:r>
          </w:p>
        </w:tc>
      </w:tr>
    </w:tbl>
    <w:p>
      <w:pPr>
        <w:spacing w:after="0" w:line="180"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4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 xml:space="preserve">$           </w:t>
            </w: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deficit per share as of             , 2025</w:t>
            </w:r>
          </w:p>
        </w:tc>
        <w:tc>
          <w:tcPr>
            <w:tcW w:w="242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2420" w:type="dxa"/>
            <w:vAlign w:val="bottom"/>
            <w:shd w:val="clear" w:color="auto" w:fill="CCEEFF"/>
          </w:tcPr>
          <w:p>
            <w:pPr>
              <w:spacing w:after="0"/>
              <w:rPr>
                <w:sz w:val="17"/>
                <w:szCs w:val="17"/>
                <w:color w:val="auto"/>
              </w:rPr>
            </w:pP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Pro forma net tangible book value per share as of             , 2025, before giving effect to this offering</w:t>
            </w:r>
          </w:p>
        </w:tc>
        <w:tc>
          <w:tcPr>
            <w:tcW w:w="2420" w:type="dxa"/>
            <w:vAlign w:val="bottom"/>
          </w:tcPr>
          <w:p>
            <w:pPr>
              <w:spacing w:after="0"/>
              <w:rPr>
                <w:sz w:val="17"/>
                <w:szCs w:val="17"/>
                <w:color w:val="auto"/>
              </w:rPr>
            </w:pPr>
          </w:p>
        </w:tc>
      </w:tr>
      <w:tr>
        <w:trPr>
          <w:trHeight w:val="184"/>
        </w:trPr>
        <w:tc>
          <w:tcPr>
            <w:tcW w:w="86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Increase in pro forma net tangible book value per share attributable to investors purchasing shares in</w:t>
            </w:r>
          </w:p>
        </w:tc>
        <w:tc>
          <w:tcPr>
            <w:tcW w:w="2420" w:type="dxa"/>
            <w:vAlign w:val="bottom"/>
            <w:shd w:val="clear" w:color="auto" w:fill="CCEEFF"/>
          </w:tcPr>
          <w:p>
            <w:pPr>
              <w:spacing w:after="0"/>
              <w:rPr>
                <w:sz w:val="15"/>
                <w:szCs w:val="15"/>
                <w:color w:val="auto"/>
              </w:rPr>
            </w:pPr>
          </w:p>
        </w:tc>
      </w:tr>
      <w:tr>
        <w:trPr>
          <w:trHeight w:val="221"/>
        </w:trPr>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2420" w:type="dxa"/>
            <w:vAlign w:val="bottom"/>
            <w:shd w:val="clear" w:color="auto" w:fill="CCEEFF"/>
          </w:tcPr>
          <w:p>
            <w:pPr>
              <w:spacing w:after="0"/>
              <w:rPr>
                <w:sz w:val="19"/>
                <w:szCs w:val="19"/>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the closing of this offering</w:t>
            </w:r>
          </w:p>
        </w:tc>
        <w:tc>
          <w:tcPr>
            <w:tcW w:w="2420" w:type="dxa"/>
            <w:vAlign w:val="bottom"/>
          </w:tcPr>
          <w:p>
            <w:pPr>
              <w:spacing w:after="0"/>
              <w:rPr>
                <w:sz w:val="17"/>
                <w:szCs w:val="17"/>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242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r>
      <w:tr>
        <w:trPr>
          <w:trHeight w:val="368"/>
        </w:trPr>
        <w:tc>
          <w:tcPr>
            <w:tcW w:w="8600" w:type="dxa"/>
            <w:vAlign w:val="bottom"/>
          </w:tcPr>
          <w:p>
            <w:pPr>
              <w:ind w:left="5400"/>
              <w:spacing w:after="0"/>
              <w:rPr>
                <w:sz w:val="20"/>
                <w:szCs w:val="20"/>
                <w:color w:val="auto"/>
              </w:rPr>
            </w:pPr>
            <w:r>
              <w:rPr>
                <w:rFonts w:ascii="Arial" w:cs="Arial" w:eastAsia="Arial" w:hAnsi="Arial"/>
                <w:sz w:val="18"/>
                <w:szCs w:val="18"/>
                <w:color w:val="auto"/>
              </w:rPr>
              <w:t>74</w:t>
            </w:r>
          </w:p>
        </w:tc>
        <w:tc>
          <w:tcPr>
            <w:tcW w:w="24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dilution information discussed above is illustrative only and may change based on, among other things, the actual initial public offering price and other terms of this offering, the actual tax withholding rates, as well as the actual amount of RSUs settled in connection with this offering. Each $1.00 increase (decrease) in the assumed initial public offering price of $        per share, the midpoint of the price range set forth on the cover page of this prospectus, would increase (decrease) our pro forma as adjusted net tangible book value per share after this offering by approximately $        per share, and increase (decrease) the dilution in the pro forma as adjusted net tangible book value per share to new investors by approximately $        per share, in each case, assuming that the number of shares of Class A common stock offered by us, as set forth on the cover page of this prospectus, remains the same and after deducting underwriting discounts and commissions and estimated offering expenses payable by us. Each increase (decrease) of 1.0 million shares in the number of shares of Class A common stock offered by us would increase (decrease) our pro forma as adjusted net tangible book value per share after the closing of this offering by approximately $        per share and increase (decrease) the dilution to investors participating in this offering by approximately $        per share, in each case assuming that the assumed initial public offering price remains the same, and after deducting underwriting discounts and commissions and estimated offering expenses payable by us.</w:t>
      </w:r>
    </w:p>
    <w:p>
      <w:pPr>
        <w:spacing w:after="0" w:line="183"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after the offering would be $        per share and the dilution per share to new investors would be $        per share, in each case assuming an initial public offering price of $        per share, the midpoint of the price range set forth on the cover page of this prospectus.</w:t>
      </w:r>
    </w:p>
    <w:p>
      <w:pPr>
        <w:spacing w:after="0" w:line="38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following table summarizes, on the pro forma as adjusted basis described above, as of         , 2025, the differences between the number of shares of our Class B common stock purchased from us by our existing stockholders and our Class A common stock purchased from us by new investors purchasing shares in this offering, the total consideration paid to us in cash, the average price per share paid by existing stockholders for shares of common stock issued prior to the closing of this offering, and the price to be paid by new investors for shares of Class A common stock in this offering. The calculation below is based on the assumed initial public offering estimated price of $        per share, the midpoint of the price range set forth on the cover page of the prospectus, before deducting underwriting discounts and commissions and estimated offering expenses payable by us.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36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250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92"/>
        </w:trPr>
        <w:tc>
          <w:tcPr>
            <w:tcW w:w="5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 xml:space="preserve">           </w:t>
            </w: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center"/>
              <w:ind w:right="2"/>
              <w:spacing w:after="0" w:line="196" w:lineRule="exact"/>
              <w:rPr>
                <w:sz w:val="20"/>
                <w:szCs w:val="20"/>
                <w:color w:val="auto"/>
              </w:rPr>
            </w:pPr>
            <w:r>
              <w:rPr>
                <w:rFonts w:ascii="Arial" w:cs="Arial" w:eastAsia="Arial" w:hAnsi="Arial"/>
                <w:sz w:val="18"/>
                <w:szCs w:val="18"/>
                <w:color w:val="auto"/>
              </w:rPr>
              <w:t xml:space="preserve">       </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 xml:space="preserve">           </w:t>
            </w: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gridSpan w:val="3"/>
          </w:tcPr>
          <w:p>
            <w:pPr>
              <w:spacing w:after="0" w:line="202" w:lineRule="exact"/>
              <w:rPr>
                <w:sz w:val="20"/>
                <w:szCs w:val="20"/>
                <w:color w:val="auto"/>
              </w:rPr>
            </w:pPr>
            <w:r>
              <w:rPr>
                <w:rFonts w:ascii="Arial" w:cs="Arial" w:eastAsia="Arial" w:hAnsi="Arial"/>
                <w:sz w:val="18"/>
                <w:szCs w:val="18"/>
                <w:color w:val="auto"/>
              </w:rPr>
              <w:t>New investors</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If the underwriters exercise their option to purchase additional shares in full, our existing stockholders would own        %, and the investors purchasing shares of our common stock in this offering would own        % of the total number of shares of our Class A common stock outstanding immediately after the closing of this offering.</w:t>
      </w:r>
    </w:p>
    <w:p>
      <w:pPr>
        <w:spacing w:after="0" w:line="169"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shares of our Class B common stock (including shares of our redeemable convertible preferred stock on an as-converted basis and after giving effect to the RSU Net Settlement, after withholding         shares to satisfy estimated tax withholding and remittance obligations of $        million</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5"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515"/>
        </w:trPr>
        <w:tc>
          <w:tcPr>
            <w:tcW w:w="9180" w:type="dxa"/>
            <w:vAlign w:val="bottom"/>
            <w:gridSpan w:val="2"/>
          </w:tcPr>
          <w:p>
            <w:pPr>
              <w:ind w:left="120"/>
              <w:spacing w:after="0"/>
              <w:rPr>
                <w:sz w:val="20"/>
                <w:szCs w:val="20"/>
                <w:color w:val="auto"/>
              </w:rPr>
            </w:pPr>
            <w:r>
              <w:rPr>
                <w:rFonts w:ascii="Arial" w:cs="Arial" w:eastAsia="Arial" w:hAnsi="Arial"/>
                <w:sz w:val="18"/>
                <w:szCs w:val="18"/>
                <w:color w:val="auto"/>
              </w:rPr>
              <w:t xml:space="preserve">(based on the assumed initial offering price set forth on the cover page of this prospectus, and an assumed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1540" w:type="dxa"/>
            <w:vAlign w:val="bottom"/>
          </w:tcPr>
          <w:p>
            <w:pPr>
              <w:ind w:left="40"/>
              <w:spacing w:after="0"/>
              <w:rPr>
                <w:sz w:val="20"/>
                <w:szCs w:val="20"/>
                <w:color w:val="auto"/>
              </w:rPr>
            </w:pPr>
            <w:r>
              <w:rPr>
                <w:rFonts w:ascii="Arial" w:cs="Arial" w:eastAsia="Arial" w:hAnsi="Arial"/>
                <w:sz w:val="18"/>
                <w:szCs w:val="18"/>
                <w:color w:val="auto"/>
              </w:rPr>
              <w:t>% tax withholding</w:t>
            </w:r>
          </w:p>
        </w:tc>
      </w:tr>
      <w:tr>
        <w:trPr>
          <w:trHeight w:val="239"/>
        </w:trPr>
        <w:tc>
          <w:tcPr>
            <w:tcW w:w="9180" w:type="dxa"/>
            <w:vAlign w:val="bottom"/>
            <w:gridSpan w:val="2"/>
          </w:tcPr>
          <w:p>
            <w:pPr>
              <w:ind w:left="120"/>
              <w:spacing w:after="0"/>
              <w:rPr>
                <w:sz w:val="20"/>
                <w:szCs w:val="20"/>
                <w:color w:val="auto"/>
              </w:rPr>
            </w:pPr>
            <w:r>
              <w:rPr>
                <w:rFonts w:ascii="Arial" w:cs="Arial" w:eastAsia="Arial" w:hAnsi="Arial"/>
                <w:sz w:val="18"/>
                <w:szCs w:val="18"/>
                <w:color w:val="auto"/>
              </w:rPr>
              <w:t>rate)) outstanding as of             , 2025, and excludes: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88"/>
        </w:trPr>
        <w:tc>
          <w:tcPr>
            <w:tcW w:w="9180" w:type="dxa"/>
            <w:vAlign w:val="bottom"/>
            <w:gridSpan w:val="2"/>
          </w:tcPr>
          <w:p>
            <w:pPr>
              <w:ind w:left="660"/>
              <w:spacing w:after="0"/>
              <w:rPr>
                <w:sz w:val="20"/>
                <w:szCs w:val="20"/>
                <w:color w:val="auto"/>
              </w:rPr>
            </w:pPr>
            <w:r>
              <w:rPr>
                <w:rFonts w:ascii="Arial" w:cs="Arial" w:eastAsia="Arial" w:hAnsi="Arial"/>
                <w:sz w:val="18"/>
                <w:szCs w:val="18"/>
                <w:color w:val="auto"/>
              </w:rPr>
              <w:t>•              shares of Class B common stock issuable upon the exercise of stock options outstanding as of 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540" w:type="dxa"/>
            <w:vAlign w:val="bottom"/>
          </w:tcPr>
          <w:p>
            <w:pPr>
              <w:ind w:left="120"/>
              <w:spacing w:after="0"/>
              <w:rPr>
                <w:sz w:val="20"/>
                <w:szCs w:val="20"/>
                <w:color w:val="auto"/>
              </w:rPr>
            </w:pPr>
            <w:r>
              <w:rPr>
                <w:rFonts w:ascii="Arial" w:cs="Arial" w:eastAsia="Arial" w:hAnsi="Arial"/>
                <w:sz w:val="18"/>
                <w:szCs w:val="18"/>
                <w:color w:val="auto"/>
                <w:w w:val="97"/>
              </w:rPr>
              <w:t>      , 2025 under</w:t>
            </w:r>
          </w:p>
        </w:tc>
      </w:tr>
      <w:tr>
        <w:trPr>
          <w:trHeight w:val="239"/>
        </w:trPr>
        <w:tc>
          <w:tcPr>
            <w:tcW w:w="9180" w:type="dxa"/>
            <w:vAlign w:val="bottom"/>
            <w:gridSpan w:val="2"/>
          </w:tcPr>
          <w:p>
            <w:pPr>
              <w:ind w:left="880"/>
              <w:spacing w:after="0"/>
              <w:rPr>
                <w:sz w:val="20"/>
                <w:szCs w:val="20"/>
                <w:color w:val="auto"/>
              </w:rPr>
            </w:pPr>
            <w:r>
              <w:rPr>
                <w:rFonts w:ascii="Arial" w:cs="Arial" w:eastAsia="Arial" w:hAnsi="Arial"/>
                <w:sz w:val="18"/>
                <w:szCs w:val="18"/>
                <w:color w:val="auto"/>
              </w:rPr>
              <w:t>our 2016 Plan with a weighted-average exercise price of $            per share;</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80" w:right="220" w:hanging="224"/>
        <w:spacing w:after="0" w:line="24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shares of Class B common stock issuable upon the vesting and settlement of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w:t>
      </w:r>
    </w:p>
    <w:p>
      <w:pPr>
        <w:spacing w:after="0" w:line="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tcPr>
          <w:p>
            <w:pPr>
              <w:jc w:val="center"/>
              <w:spacing w:after="0"/>
              <w:rPr>
                <w:sz w:val="20"/>
                <w:szCs w:val="20"/>
                <w:color w:val="auto"/>
              </w:rPr>
            </w:pPr>
            <w:r>
              <w:rPr>
                <w:rFonts w:ascii="Arial" w:cs="Arial" w:eastAsia="Arial" w:hAnsi="Arial"/>
                <w:sz w:val="18"/>
                <w:szCs w:val="18"/>
                <w:color w:val="auto"/>
              </w:rPr>
              <w:t>shares of Class B common stock reserved for future issuance under our 2016 Plan as of            , 2025, which shares</w:t>
            </w:r>
          </w:p>
        </w:tc>
      </w:tr>
      <w:tr>
        <w:trPr>
          <w:trHeight w:val="239"/>
        </w:trPr>
        <w:tc>
          <w:tcPr>
            <w:tcW w:w="140" w:type="dxa"/>
            <w:vAlign w:val="bottom"/>
          </w:tcPr>
          <w:p>
            <w:pPr>
              <w:spacing w:after="0"/>
              <w:rPr>
                <w:sz w:val="20"/>
                <w:szCs w:val="20"/>
                <w:color w:val="auto"/>
              </w:rPr>
            </w:pPr>
          </w:p>
        </w:tc>
        <w:tc>
          <w:tcPr>
            <w:tcW w:w="10320" w:type="dxa"/>
            <w:vAlign w:val="bottom"/>
            <w:gridSpan w:val="5"/>
          </w:tcPr>
          <w:p>
            <w:pPr>
              <w:ind w:left="80"/>
              <w:spacing w:after="0"/>
              <w:rPr>
                <w:sz w:val="20"/>
                <w:szCs w:val="20"/>
                <w:color w:val="auto"/>
              </w:rPr>
            </w:pPr>
            <w:r>
              <w:rPr>
                <w:rFonts w:ascii="Arial" w:cs="Arial" w:eastAsia="Arial" w:hAnsi="Arial"/>
                <w:sz w:val="18"/>
                <w:szCs w:val="18"/>
                <w:color w:val="auto"/>
              </w:rPr>
              <w:t>will cease to be available for issuance upon the effectiveness of the registration statement of which this prospectus forms a part;</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tcPr>
          <w:p>
            <w:pPr>
              <w:ind w:left="80"/>
              <w:spacing w:after="0"/>
              <w:rPr>
                <w:sz w:val="20"/>
                <w:szCs w:val="20"/>
                <w:color w:val="auto"/>
              </w:rPr>
            </w:pPr>
            <w:r>
              <w:rPr>
                <w:rFonts w:ascii="Arial" w:cs="Arial" w:eastAsia="Arial" w:hAnsi="Arial"/>
                <w:sz w:val="18"/>
                <w:szCs w:val="18"/>
                <w:color w:val="auto"/>
              </w:rPr>
              <w:t>shares of our Class B common stock issuable upon the exercise of outstanding warrants to purchase Class B common</w:t>
            </w:r>
          </w:p>
        </w:tc>
      </w:tr>
      <w:tr>
        <w:trPr>
          <w:trHeight w:val="239"/>
        </w:trPr>
        <w:tc>
          <w:tcPr>
            <w:tcW w:w="140" w:type="dxa"/>
            <w:vAlign w:val="bottom"/>
          </w:tcPr>
          <w:p>
            <w:pPr>
              <w:spacing w:after="0"/>
              <w:rPr>
                <w:sz w:val="20"/>
                <w:szCs w:val="20"/>
                <w:color w:val="auto"/>
              </w:rPr>
            </w:pPr>
          </w:p>
        </w:tc>
        <w:tc>
          <w:tcPr>
            <w:tcW w:w="10320" w:type="dxa"/>
            <w:vAlign w:val="bottom"/>
            <w:gridSpan w:val="5"/>
          </w:tcPr>
          <w:p>
            <w:pPr>
              <w:ind w:left="80"/>
              <w:spacing w:after="0"/>
              <w:rPr>
                <w:sz w:val="20"/>
                <w:szCs w:val="20"/>
                <w:color w:val="auto"/>
              </w:rPr>
            </w:pPr>
            <w:r>
              <w:rPr>
                <w:rFonts w:ascii="Arial" w:cs="Arial" w:eastAsia="Arial" w:hAnsi="Arial"/>
                <w:sz w:val="18"/>
                <w:szCs w:val="18"/>
                <w:color w:val="auto"/>
              </w:rPr>
              <w:t>stock as of            , 2025, with a weighted-average exercise price of $            per share;</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tcPr>
          <w:p>
            <w:pPr>
              <w:jc w:val="center"/>
              <w:spacing w:after="0"/>
              <w:rPr>
                <w:sz w:val="20"/>
                <w:szCs w:val="20"/>
                <w:color w:val="auto"/>
              </w:rPr>
            </w:pPr>
            <w:r>
              <w:rPr>
                <w:rFonts w:ascii="Arial" w:cs="Arial" w:eastAsia="Arial" w:hAnsi="Arial"/>
                <w:sz w:val="18"/>
                <w:szCs w:val="18"/>
                <w:color w:val="auto"/>
                <w:w w:val="99"/>
              </w:rPr>
              <w:t>shares of Class A common stock reserved for issuance under our 2025 Plan, plus any future increases in the number of</w:t>
            </w:r>
          </w:p>
        </w:tc>
      </w:tr>
      <w:tr>
        <w:trPr>
          <w:trHeight w:val="203"/>
        </w:trPr>
        <w:tc>
          <w:tcPr>
            <w:tcW w:w="140" w:type="dxa"/>
            <w:vAlign w:val="bottom"/>
          </w:tcPr>
          <w:p>
            <w:pPr>
              <w:spacing w:after="0"/>
              <w:rPr>
                <w:sz w:val="17"/>
                <w:szCs w:val="17"/>
                <w:color w:val="auto"/>
              </w:rPr>
            </w:pPr>
          </w:p>
        </w:tc>
        <w:tc>
          <w:tcPr>
            <w:tcW w:w="103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shares of Class A common stock reserved for issuance thereunder, as more fully described in the section titled “Executive</w:t>
            </w:r>
          </w:p>
        </w:tc>
      </w:tr>
      <w:tr>
        <w:trPr>
          <w:trHeight w:val="203"/>
        </w:trPr>
        <w:tc>
          <w:tcPr>
            <w:tcW w:w="140" w:type="dxa"/>
            <w:vAlign w:val="bottom"/>
          </w:tcPr>
          <w:p>
            <w:pPr>
              <w:spacing w:after="0"/>
              <w:rPr>
                <w:sz w:val="17"/>
                <w:szCs w:val="17"/>
                <w:color w:val="auto"/>
              </w:rPr>
            </w:pPr>
          </w:p>
        </w:tc>
        <w:tc>
          <w:tcPr>
            <w:tcW w:w="10320" w:type="dxa"/>
            <w:vAlign w:val="bottom"/>
            <w:gridSpan w:val="5"/>
          </w:tcPr>
          <w:p>
            <w:pPr>
              <w:ind w:left="80"/>
              <w:spacing w:after="0" w:line="202" w:lineRule="exact"/>
              <w:rPr>
                <w:sz w:val="20"/>
                <w:szCs w:val="20"/>
                <w:color w:val="auto"/>
              </w:rPr>
            </w:pPr>
            <w:r>
              <w:rPr>
                <w:rFonts w:ascii="Arial" w:cs="Arial" w:eastAsia="Arial" w:hAnsi="Arial"/>
                <w:sz w:val="18"/>
                <w:szCs w:val="18"/>
                <w:color w:val="auto"/>
                <w:w w:val="99"/>
              </w:rPr>
              <w:t>Compensation—Employee Benefit and Stock Plans—2025 Equity Incentive Plan,” which will become available for issuance upon</w:t>
            </w:r>
          </w:p>
        </w:tc>
      </w:tr>
      <w:tr>
        <w:trPr>
          <w:trHeight w:val="239"/>
        </w:trPr>
        <w:tc>
          <w:tcPr>
            <w:tcW w:w="140" w:type="dxa"/>
            <w:vAlign w:val="bottom"/>
          </w:tcPr>
          <w:p>
            <w:pPr>
              <w:spacing w:after="0"/>
              <w:rPr>
                <w:sz w:val="20"/>
                <w:szCs w:val="20"/>
                <w:color w:val="auto"/>
              </w:rPr>
            </w:pPr>
          </w:p>
        </w:tc>
        <w:tc>
          <w:tcPr>
            <w:tcW w:w="10320" w:type="dxa"/>
            <w:vAlign w:val="bottom"/>
            <w:gridSpan w:val="5"/>
          </w:tcPr>
          <w:p>
            <w:pPr>
              <w:ind w:left="80"/>
              <w:spacing w:after="0"/>
              <w:rPr>
                <w:sz w:val="20"/>
                <w:szCs w:val="20"/>
                <w:color w:val="auto"/>
              </w:rPr>
            </w:pPr>
            <w:r>
              <w:rPr>
                <w:rFonts w:ascii="Arial" w:cs="Arial" w:eastAsia="Arial" w:hAnsi="Arial"/>
                <w:sz w:val="18"/>
                <w:szCs w:val="18"/>
                <w:color w:val="auto"/>
              </w:rPr>
              <w:t>the effectiveness of the registration statement of which this prospectus is a part; and</w:t>
            </w:r>
          </w:p>
        </w:tc>
      </w:tr>
      <w:tr>
        <w:trPr>
          <w:trHeight w:val="30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9600" w:type="dxa"/>
            <w:vAlign w:val="bottom"/>
          </w:tcPr>
          <w:p>
            <w:pPr>
              <w:jc w:val="center"/>
              <w:spacing w:after="0"/>
              <w:rPr>
                <w:sz w:val="20"/>
                <w:szCs w:val="20"/>
                <w:color w:val="auto"/>
              </w:rPr>
            </w:pPr>
            <w:r>
              <w:rPr>
                <w:rFonts w:ascii="Arial" w:cs="Arial" w:eastAsia="Arial" w:hAnsi="Arial"/>
                <w:sz w:val="18"/>
                <w:szCs w:val="18"/>
                <w:color w:val="auto"/>
                <w:w w:val="99"/>
              </w:rPr>
              <w:t>shares of Class A common stock reserved for issuance under our 2025 ESPP, plus any future increases in the number</w:t>
            </w:r>
          </w:p>
        </w:tc>
      </w:tr>
    </w:tbl>
    <w:p>
      <w:pPr>
        <w:jc w:val="both"/>
        <w:ind w:left="880" w:right="360"/>
        <w:spacing w:after="0" w:line="242" w:lineRule="auto"/>
        <w:rPr>
          <w:sz w:val="20"/>
          <w:szCs w:val="20"/>
          <w:color w:val="auto"/>
        </w:rPr>
      </w:pPr>
      <w:r>
        <w:rPr>
          <w:rFonts w:ascii="Arial" w:cs="Arial" w:eastAsia="Arial" w:hAnsi="Arial"/>
          <w:sz w:val="18"/>
          <w:szCs w:val="18"/>
          <w:color w:val="auto"/>
        </w:rPr>
        <w:t>of shares of Class A common stock reserved for issuance thereunder, as more fully described in the section titled “Executive Compensation—Employee Benefit and Stock Plans—2025 Employee Stock Purchase Plan,” which will become available for issuance upon the effectiveness of the registration statement of which this prospectus is a part.</w:t>
      </w:r>
    </w:p>
    <w:p>
      <w:pPr>
        <w:spacing w:after="0" w:line="179"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Our 2025 Plan and 2025 ESPP provide for annual automatic increases in the number of shares reserved thereunder. See the section titled “Executive Compensation—Employee Benefit and Stock Plans” for additional information.</w:t>
      </w:r>
    </w:p>
    <w:p>
      <w:pPr>
        <w:spacing w:after="0" w:line="15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To the extent any outstanding options are exercised, or any outstanding RSUs settle, or new stock options or RSUs are issued under our equity incentive plans, or we issue additional equity or convertible debt securities in the future, there will be further dilution to investors participating in this offering. If all outstanding options and RSUs under our 2016 Plan as of the date of this prospectus were exercised or settled, then our existing stockholders, including the holders of these securities would own approximately        % and our new investors would own approximately        % of the total number of shares of our Class A common stock and Class B common stock outstanding on the closing of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46"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“Summary Consolidated Financial and Other Data” and the consolidated financial statements and related notes included elsewhere in this prospectus. Some of the information contained in this discussion and analysis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Ethos is a technology company transforming the life insurance industry. We have built a vertically integrated technology platform that makes life insurance accessible, affordable, and transparent for everyone. Since inception, we have activated approximately     policies, and as of December 31, 2024, we had over 10,000 active selling agents and six active carriers on our platform. Through our three-sided technology platform, we serve a growing ecosystem of consumers, agents, and carriers, each of which benefits from the scale, ease-of-use, and efficiency of our platform. This creates strong network effects that drive our continued growth. We serve the following constituents through our digital platform:</w:t>
      </w:r>
    </w:p>
    <w:p>
      <w:pPr>
        <w:spacing w:after="0" w:line="84" w:lineRule="exact"/>
        <w:rPr>
          <w:sz w:val="20"/>
          <w:szCs w:val="20"/>
          <w:color w:val="auto"/>
        </w:rPr>
      </w:pPr>
    </w:p>
    <w:p>
      <w:pPr>
        <w:ind w:left="880" w:right="20" w:hanging="224"/>
        <w:spacing w:after="0" w:line="25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Our platform is designed to enable agents to sell more policies and get paid quickly across a broad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We provide agents with an Agent OS that streamlines quoting, application submission, and policy management. This reduces case management work and streamlines payments infrastructure, all of which substantially increase an agent’s time available to prospect and sell.</w:t>
      </w:r>
    </w:p>
    <w:p>
      <w:pPr>
        <w:spacing w:after="0" w:line="79"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profitability, as carriers assume the insurance risk of the underlying policies. We do not assume balance sheet risk for the policies on our platform.</w:t>
      </w:r>
    </w:p>
    <w:p>
      <w:pPr>
        <w:spacing w:after="0" w:line="169"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and Whole Life Insurance products, Indexed Universal Life Insurance and Accidental Death Insurance, as well as Wills &amp; Estate Planning. As a result, we have achieved significant scale with broad demographic and geographic distribution. We have activated approximately 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180"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While we are in the early stages of capturing our market opportunity, we have made substantial progress in revolutionizing life insurance. Our key milestones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203835</wp:posOffset>
            </wp:positionV>
            <wp:extent cx="5143500" cy="2185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have balanced our portfolio with products that accommodate a broad range of applicants, spanning various ages, health classifications, and policy sizes, enabling us to serve a wide segment of the U.S. population, and others that allow us to address a variety of consumer needs. Our products also have different financial profiles, given they offer different coverage amounts and are designed to serve different user demographics across various age, health, and wealth bands. We aim to drive further growth by expanding the breadth and diversity of our product portfolio, which represents a key value proposition for both consumers and agents.</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Our products may be sold through our DTC or third-party channels, and we offer most of our products through both channels. Our DTC channel does not involve any third-party selling efforts, such as through agency partners. Consumers who purchase products through our DTC channel engage with our platform directly. We leverage our two channels to drive continued growth by capturing an increasingly broad set of consumer use cases and preferences. As a result, our product mix across our channels also fluctuates over time, and we expect it will continue to do so as we expand the breadth and diversity of our product portfolio to drive overall growth in activated policies.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02" w:lineRule="exact"/>
        <w:rPr>
          <w:sz w:val="20"/>
          <w:szCs w:val="20"/>
          <w:color w:val="auto"/>
        </w:rPr>
      </w:pPr>
    </w:p>
    <w:p>
      <w:pPr>
        <w:jc w:val="both"/>
        <w:ind w:left="120" w:right="620" w:firstLine="551"/>
        <w:spacing w:after="0" w:line="253" w:lineRule="auto"/>
        <w:rPr>
          <w:sz w:val="20"/>
          <w:szCs w:val="20"/>
          <w:color w:val="auto"/>
        </w:rPr>
      </w:pPr>
      <w:r>
        <w:rPr>
          <w:rFonts w:ascii="Arial" w:cs="Arial" w:eastAsia="Arial" w:hAnsi="Arial"/>
          <w:sz w:val="18"/>
          <w:szCs w:val="18"/>
          <w:color w:val="auto"/>
        </w:rPr>
        <w:t>We generate substantially all of our revenue from the expected lifetime commissions for activated policies. We receive such commission payments from the issuing carrier. After a policy is activated, we have no material additional or recurring performance obligations to the carrier.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firstLine="551"/>
        <w:spacing w:after="0" w:line="266" w:lineRule="auto"/>
        <w:rPr>
          <w:sz w:val="20"/>
          <w:szCs w:val="20"/>
          <w:color w:val="auto"/>
        </w:rPr>
      </w:pPr>
      <w:r>
        <w:rPr>
          <w:rFonts w:ascii="Arial" w:cs="Arial" w:eastAsia="Arial" w:hAnsi="Arial"/>
          <w:sz w:val="17"/>
          <w:szCs w:val="17"/>
          <w:color w:val="auto"/>
        </w:rPr>
        <w:t>Our commissions for an activated policy are based on the commission rate, which is a percentage of the policy’s annual premium. Commission rates primarily vary by insurance product, policy duration, and product risk class. They are defined in our carrier contracts and reviewed by carriers on an annual basis. Commission rates have generally been stable or have increased as we have scaled, driven in part by the value we provide carriers by helping them efficiently acquire consumers, manage risk, and administer activated policies.</w:t>
      </w:r>
    </w:p>
    <w:p>
      <w:pPr>
        <w:spacing w:after="0" w:line="15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generally receive commissions over the life of an activated policy. Carriers pay us the majority of a policy’s lifetime commissions in the first year following activation, after which we generally receive commission payments monthly for the life of the policy. However, we recognize as revenue the expected lifetime value of commissions upfront at the time the policy is activated.</w:t>
      </w:r>
    </w:p>
    <w:p>
      <w:pPr>
        <w:spacing w:after="0" w:line="16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adjust the amount of lifetime expected commission revenue recognized at the time of a policy’s activation using a persistency estimate, which refers to a percentage estimating the likelihood that the policy will remain active throughout its term. We derive the persistency estimate for the policy using our observed persistency data applicable to that policy as well as relevant industry persistency data. Because persistency estimates are based on observed persistency data, such estimates differ by product type and based on whether a policy is sold directly to the consumer or through our third-party channel. Persistency estimates are reviewed by our actuarial, finance, and accounting teams, as well as externally by third-party experts, including our financial auditors, and are adjusted as needed on a quarterly basis based on changes to observed persistency data and, where applicable, industry persistency data.</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adjust our persistency estimates for an activated policy during the policy term, we recognize an adjustment to revenue previously recorded for that difference. Observed persistency for policies of a particular product type changes over time as activated policies are terminated prior to the end of their terms. Policy terminations are primarily driven by either the consumer’s failure to pay or voluntary customer cancellations. From time to time, terminations may also result from findings in post-issue audits that we perform to validate digital underwriting information. Persistency has generally been stable or has improved on an individual product basis as we have enhanced our product experience and policy recommendation. However, we expect our persistency estimates to fluctuate in the future, including as we expand our product offerings, grow our carrier and agency relationships, and increase our activated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146050</wp:posOffset>
            </wp:positionV>
            <wp:extent cx="5212080" cy="27432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40" w:firstLine="551"/>
        <w:spacing w:after="0" w:line="301" w:lineRule="auto"/>
        <w:rPr>
          <w:sz w:val="20"/>
          <w:szCs w:val="20"/>
          <w:color w:val="auto"/>
        </w:rPr>
      </w:pPr>
      <w:r>
        <w:rPr>
          <w:rFonts w:ascii="Arial" w:cs="Arial" w:eastAsia="Arial" w:hAnsi="Arial"/>
          <w:sz w:val="17"/>
          <w:szCs w:val="17"/>
          <w:color w:val="auto"/>
        </w:rPr>
        <w:t>For policies that are sold on our platform directly to consumers, we incur marketing as well as underwriting costs, and for policies that are sold through a third-party channel on our platform, we incur the costs of agent payments, as well as underwriting-related costs.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GAAP Revenue vs. Cash Commissions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Carriers pay us the majority of a policy’s lifetime commissions in the first year following activation, after which we generally receive commission payments monthly for the life of the policy. If a policy is terminated within the first year, all or a portion of the commission received is repaid to the carrier. This results in a difference between the timing of revenue recognition and operating cash inflows from commission payments, as illustrated in the diagram below, which is subject to change based on factors such as product mix. On average, roughly 73% of expected lifetime commissions associated with an activated policy are collected as cash during the first year following policy activation, while 87% are collected as cash by the fifth year following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180455" cy="18859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80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expect the percentage of lifetime commissions collected as cash in the first year following policy activation to fluctuate over time as we grow our activated policies and scale our business. See the section titled “Risk Factors—Risks Related to Our Business—We have a limited history operating our business at its current scale, scope, and complexity, which makes it difficult to plan for future operations and growth initiatives and predict future results” for a discussion of certain factors that may impact the timing of our cash flows from commissions.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Agent Payments</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For a policy sold through an agent, the total agent payment is a percentage of the policy’s first year premium. We generally pay such amount the day after the policy is activated, and agents are not entitled to payments after the first year. If the policy terminates within the first year following activation, we are entitled to recover all or a portion of the total agent payment. If a policy terminates after the first year, we are generally not entitled to recover any portion of the agent payment.</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Despite the actual timing of such agent payments, we recognize total agent payments in sales and marketing expense in the period of policy activation, net of the estimated amount that we expect to recover from agents in the first year after activation due to termination. We apply the same persistency used to recognize revenue for the policy in estimating this recovery amount. This may result in a difference between the timing of expense recognition for agent payments and the payment to or recoupment of cash associated with such agent payments. In a particular quarter during which a policy is activated, cash outflows for agent payments exceed expense recognized for those payments, since we receive any recouped cash amount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agent payments on a delayed basis. In addition, as with commission revenue, we similarly recognize adjustments to our operating expenses from time to time upon adjustments to estimated persistency for policies sold through agents.</w:t>
      </w:r>
    </w:p>
    <w:p>
      <w:pPr>
        <w:spacing w:after="0" w:line="154" w:lineRule="exact"/>
        <w:rPr>
          <w:sz w:val="20"/>
          <w:szCs w:val="20"/>
          <w:color w:val="auto"/>
        </w:rPr>
      </w:pPr>
    </w:p>
    <w:p>
      <w:pPr>
        <w:jc w:val="both"/>
        <w:ind w:left="120" w:right="40" w:firstLine="551"/>
        <w:spacing w:after="0" w:line="275" w:lineRule="auto"/>
        <w:rPr>
          <w:sz w:val="20"/>
          <w:szCs w:val="20"/>
          <w:color w:val="auto"/>
        </w:rPr>
      </w:pPr>
      <w:r>
        <w:rPr>
          <w:rFonts w:ascii="Arial" w:cs="Arial" w:eastAsia="Arial" w:hAnsi="Arial"/>
          <w:sz w:val="17"/>
          <w:szCs w:val="17"/>
          <w:color w:val="auto"/>
        </w:rPr>
        <w:t>We also offer agents production-based incentives and rewards that we may elect to use from time to time, which we also recognize in sales and marketing expense. These expenses primarily relate to loyalty programs that reward agents for high volumes of business with strong persistency characteristics, agency incentive programs, and limited promotional campaigns recognizing top-performing agents.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04" w:lineRule="exact"/>
        <w:rPr>
          <w:sz w:val="20"/>
          <w:szCs w:val="20"/>
          <w:color w:val="auto"/>
        </w:rPr>
      </w:pPr>
    </w:p>
    <w:p>
      <w:pPr>
        <w:jc w:val="both"/>
        <w:ind w:left="120" w:right="460" w:firstLine="551"/>
        <w:spacing w:after="0" w:line="25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and non-GAAP financial measures to help us evaluate our business, identify trends affecting our business, formulate business plans, and make strategic decisions.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7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6"/>
              </w:rPr>
              <w:t>2024</w:t>
            </w:r>
          </w:p>
        </w:tc>
        <w:tc>
          <w:tcPr>
            <w:tcW w:w="220" w:type="dxa"/>
            <w:vAlign w:val="bottom"/>
          </w:tcPr>
          <w:p>
            <w:pPr>
              <w:spacing w:after="0"/>
              <w:rPr>
                <w:sz w:val="13"/>
                <w:szCs w:val="13"/>
                <w:color w:val="auto"/>
              </w:rPr>
            </w:pPr>
          </w:p>
        </w:tc>
      </w:tr>
      <w:tr>
        <w:trPr>
          <w:trHeight w:val="156"/>
        </w:trPr>
        <w:tc>
          <w:tcPr>
            <w:tcW w:w="7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jc w:val="center"/>
              <w:ind w:right="253"/>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Activated Policies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72</w:t>
            </w:r>
          </w:p>
        </w:tc>
        <w:tc>
          <w:tcPr>
            <w:tcW w:w="14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128</w:t>
            </w:r>
          </w:p>
        </w:tc>
      </w:tr>
      <w:tr>
        <w:trPr>
          <w:trHeight w:val="239"/>
        </w:trPr>
        <w:tc>
          <w:tcPr>
            <w:tcW w:w="7980" w:type="dxa"/>
            <w:vAlign w:val="bottom"/>
          </w:tcPr>
          <w:p>
            <w:pPr>
              <w:spacing w:after="0"/>
              <w:rPr>
                <w:sz w:val="20"/>
                <w:szCs w:val="20"/>
                <w:color w:val="auto"/>
              </w:rPr>
            </w:pPr>
            <w:r>
              <w:rPr>
                <w:rFonts w:ascii="Arial" w:cs="Arial" w:eastAsia="Arial" w:hAnsi="Arial"/>
                <w:sz w:val="18"/>
                <w:szCs w:val="18"/>
                <w:color w:val="auto"/>
              </w:rPr>
              <w:t>Average Revenue Per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2.2</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r>
      <w:tr>
        <w:trPr>
          <w:trHeight w:val="504"/>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7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6"/>
              </w:rPr>
              <w:t>2024</w:t>
            </w:r>
          </w:p>
        </w:tc>
        <w:tc>
          <w:tcPr>
            <w:tcW w:w="220" w:type="dxa"/>
            <w:vAlign w:val="bottom"/>
          </w:tcPr>
          <w:p>
            <w:pPr>
              <w:spacing w:after="0"/>
              <w:rPr>
                <w:sz w:val="13"/>
                <w:szCs w:val="13"/>
                <w:color w:val="auto"/>
              </w:rPr>
            </w:pPr>
          </w:p>
        </w:tc>
      </w:tr>
      <w:tr>
        <w:trPr>
          <w:trHeight w:val="156"/>
        </w:trPr>
        <w:tc>
          <w:tcPr>
            <w:tcW w:w="7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3"/>
          </w:tcPr>
          <w:p>
            <w:pPr>
              <w:jc w:val="center"/>
              <w:ind w:right="53"/>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3"/>
                <w:szCs w:val="13"/>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154</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248</w:t>
            </w:r>
          </w:p>
        </w:tc>
      </w:tr>
      <w:tr>
        <w:trPr>
          <w:trHeight w:val="203"/>
        </w:trPr>
        <w:tc>
          <w:tcPr>
            <w:tcW w:w="798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Gross Margin</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4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Contribution Profit</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51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798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4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w:t>
            </w:r>
          </w:p>
        </w:tc>
      </w:tr>
      <w:tr>
        <w:trPr>
          <w:trHeight w:val="203"/>
        </w:trPr>
        <w:tc>
          <w:tcPr>
            <w:tcW w:w="798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Net Income Margin</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58</w:t>
            </w:r>
          </w:p>
        </w:tc>
      </w:tr>
      <w:tr>
        <w:trPr>
          <w:trHeight w:val="239"/>
        </w:trPr>
        <w:tc>
          <w:tcPr>
            <w:tcW w:w="7980" w:type="dxa"/>
            <w:vAlign w:val="bottom"/>
          </w:tcPr>
          <w:p>
            <w:pPr>
              <w:ind w:left="180"/>
              <w:spacing w:after="0"/>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18"/>
                <w:szCs w:val="18"/>
                <w:color w:val="auto"/>
                <w:vertAlign w:val="superscript"/>
              </w:rPr>
              <w:t>(1)</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660" w:right="200" w:hanging="544"/>
        <w:spacing w:after="0" w:line="24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Contribution Profit, Contribution Margin, Adjusted EBITDA and Adjusted EBITDA Margin are not calculated in accordance with GAAP. See below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w:t>
      </w:r>
    </w:p>
    <w:p>
      <w:pPr>
        <w:spacing w:after="0" w:line="176"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Activated Policies. </w:t>
      </w:r>
      <w:r>
        <w:rPr>
          <w:rFonts w:ascii="Arial" w:cs="Arial" w:eastAsia="Arial" w:hAnsi="Arial"/>
          <w:sz w:val="18"/>
          <w:szCs w:val="18"/>
          <w:color w:val="auto"/>
        </w:rPr>
        <w:t>We define activated policies as the number of policies issued on our platform over a given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Activated policies have increased over time as we have expanded our DTC and third-party channels and added product offerings with existing and new carriers.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total number of activated policies in the year ended December 31, 2024 was 127,623, a 77% increase compared to the same period in 2023. The total number of activated policies in the year ended December 31, 2023 was 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186045" cy="2082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604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Average Revenue Per Unit. </w:t>
      </w:r>
      <w:r>
        <w:rPr>
          <w:rFonts w:ascii="Arial" w:cs="Arial" w:eastAsia="Arial" w:hAnsi="Arial"/>
          <w:sz w:val="18"/>
          <w:szCs w:val="18"/>
          <w:color w:val="auto"/>
        </w:rPr>
        <w:t>We define average revenue per unit, or ARPU, as our total GAAP revenue for a given period, divided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total number of activated policies during the period.</w:t>
      </w:r>
    </w:p>
    <w:p>
      <w:pPr>
        <w:spacing w:after="0" w:line="15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ARPU varies by channel, and relatedly by product, due to differences in premium amounts, negotiated commission rates, and persistency estimates. Premiums are influenced by factors such as coverage amount, policy duration, and risk level, all of which differ by product. Our third-party channel historically has a higher mix of our Whole Life insurance products, which typically have lower ARPU due to lower coverage amounts and commission rates. While ARPU fluctuates by channel and by product, we use total ARPU to evaluate our performance across channels and our overall growth.</w:t>
      </w:r>
    </w:p>
    <w:p>
      <w:pPr>
        <w:spacing w:after="0" w:line="176"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The DTC channel generated revenue of $119 million and $174 million, accounting for 75% and 68% of our total revenue for the years ended December 31, 2023 and 2024, respectively. The third-party channel generated revenue of $41 million and $81 million, accounting for 25% and 32% of our total revenue for the years ended December 31, 2023 and 2024, respectively. For additional information on revenue, see Note 3 to our audited consolidated financial statements included elsewhere in this prospectus.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5"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ARPU in the year ended December 31, 2024 was $1,997, compared to $2,218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5186045" cy="2083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6045"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Contribution Profit. </w:t>
      </w:r>
      <w:r>
        <w:rPr>
          <w:rFonts w:ascii="Arial" w:cs="Arial" w:eastAsia="Arial" w:hAnsi="Arial"/>
          <w:sz w:val="18"/>
          <w:szCs w:val="18"/>
          <w:color w:val="auto"/>
        </w:rPr>
        <w:t>We define Contribution Profit as our gross profit less sales and marketing expense, which includes agent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and underwriting costs for non-activated policies, plus stock-based compensation related to our employees and overhead costs allocated to sales and marketing expense. Gross profit is defined as revenue less cost of revenue. Cost of revenue primarily consists of underwriting costs associated with activated policies. Overhead costs allocated to sales and marketing expense include professional fees, technology expenses, and other related costs. Contribution Margin is calculated by dividing Contribution Profit for a period by revenue for the same period.</w:t>
      </w:r>
    </w:p>
    <w:p>
      <w:pPr>
        <w:spacing w:after="0" w:line="17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Contribution Profit is primarily impacted by revenue as well as marketing costs, which consists of advertising spend on our website and agent payments for policies sold through our third-party channel. Both ARPU and marketing costs are impacted by changes in product and distribution channel mix. As a result, we expect Contribution Profit and Contribution Margin to fluctuate over time as we expand our product offerings and experience changes in distribution channel mix across periods.</w:t>
      </w:r>
    </w:p>
    <w:p>
      <w:pPr>
        <w:spacing w:after="0" w:line="17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Contribution Profit increased from $51 million to $105 million from 2023 to 2024, representing a Contribution Margin improvement from 32% to 41%. The increase in Contribution Profit and Contribution Margin from 2023 to 2024 was primarily due to higher gross profit and lower sales and marketing expense as a percentage of revenue. We expect Contribution Profit and Contribution Margin to fluctuate in the near term as we continue to invest in the growth of our business, and improve over the long term as we achieve greater scale and drive efficiency through operational improvements.</w:t>
      </w:r>
    </w:p>
    <w:p>
      <w:pPr>
        <w:spacing w:after="0" w:line="176"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We use Contribution Profit and Contribution Margin to evaluate our operating performance. We believe that Contribution Profit and Contribution Margin provide useful information to investors about our business and financial performance because they offer insight into how efficiently we activate new policies and ultimately revenue by accounting for the direct expenses associated with those activated policies.</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Contribution Profit and Contribution Margin should not be considered as alternatives to gross profit and gross margin, or any other measure of financial performance calculated and presented in accordance with GAAP. There are a number of limitations related to the use of Contribution Profit and Contribution Margin rather than gross profit and gross margin, which are the most directly comparable GAAP measures. They do not reflect our financial results in accordance with GAAP as they do not include the impact of certain expenses that are reflected in our consolidated statements of operations. In addition, other companies, including companies in our industry, may calculate Contribution Profit differently, which reduces its usefulness as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color w:val="auto"/>
        </w:rPr>
        <w:t>comparative measure. For these reasons, our Contribution Profit and Contribution Margin should be considered alongside, not as substitutes for or in isolation from, GAAP-based financial measures.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Contribution Profit: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56"/>
        </w:trPr>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w:t>
            </w:r>
          </w:p>
        </w:tc>
      </w:tr>
      <w:tr>
        <w:trPr>
          <w:trHeight w:val="203"/>
        </w:trPr>
        <w:tc>
          <w:tcPr>
            <w:tcW w:w="69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Less: Sales and Marketing</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9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6"/>
                <w:szCs w:val="16"/>
                <w:color w:val="auto"/>
              </w:rPr>
              <w:t>Add: Stock-based Compensation Allocated to Sales and Marketing</w:t>
            </w:r>
            <w:r>
              <w:rPr>
                <w:rFonts w:ascii="Arial" w:cs="Arial" w:eastAsia="Arial" w:hAnsi="Arial"/>
                <w:sz w:val="23"/>
                <w:szCs w:val="23"/>
                <w:color w:val="auto"/>
                <w:vertAlign w:val="superscript"/>
              </w:rPr>
              <w:t>(1)</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03"/>
        </w:trPr>
        <w:tc>
          <w:tcPr>
            <w:tcW w:w="69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Add: Professional Fees Allocated to Sales and Marketing</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03"/>
        </w:trPr>
        <w:tc>
          <w:tcPr>
            <w:tcW w:w="69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Add: Technology Expenses Allocated to Sales and Marketing</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69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Add: Other Expenses Allocated to Sales and Marketing</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7"/>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Contribution Profit</w:t>
            </w: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w:t>
            </w:r>
          </w:p>
        </w:tc>
      </w:tr>
      <w:tr>
        <w:trPr>
          <w:trHeight w:val="135"/>
        </w:trPr>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4"/>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Such expenses relate to our employees.</w:t>
            </w: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186045" cy="4903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490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our net income excluding interest expense, interest income net,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depreciation and amortization, and stock-based compensation expense as set forth in the table below. Adjusted EBITDA Margin is calculated by dividing Adjusted EBITDA for a period by revenue for the same period. We use Adjusted EBITDA and Adjusted EBITDA Margin to assess performance, to inform the preparation of our annual operating budget and quarterly forecasts, to evaluate the effectiveness of our business strategies, and to assist our board of directors in monitoring our business and financial performance. We believe that Adjusted EBITDA and Adjusted EBITDA Margin provide useful information to investors about our business and financial performance, enhance their overall understanding of our past performance and future prospects, including by providing consistency and comparability with our past financial performance, and allow for greater transparency with respect to measures used by our management in their financial and operational decision making. In addition, we believe Adjusted EBITDA is widely used by investors, securities analysts, and other parties in evaluating companies in our industry as a measure of operational performance.</w:t>
      </w:r>
    </w:p>
    <w:p>
      <w:pPr>
        <w:spacing w:after="0" w:line="180"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Adjusted EBITDA increased from $7 million to $58 million from 2023 to 2024, representing an Adjusted EBITDA Margin improvement from 4% to 23%. The increase in Adjusted EBITDA and Adjusted EBITDA Margin from 2023 to 2024 was primarily due to the growth in net income. We expect Adjusted EBITDA and Adjusted EBITDA Margin to fluctuate in the near term as we continue to invest in our business and improve over the long term as we achieve greater scale in our business and efficiencies in our operating expenses.</w:t>
      </w:r>
    </w:p>
    <w:p>
      <w:pPr>
        <w:spacing w:after="0" w:line="17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Adjusted EBITDA and Adjusted EBITDA Margin should not be considered as alternatives to net income and net income as a percentage of revenue, or any other measure of financial performance calculated and presented in accordance with GAAP. There are a number of limitations related to the use of Adjusted EBITDA and Adjusted EBITDA Margin rather than net income and net income as a percentage of revenue, which are the most directly comparable GAAP measures.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Adjusted EBITDA to net income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2023</w:t>
            </w:r>
          </w:p>
        </w:tc>
        <w:tc>
          <w:tcPr>
            <w:tcW w:w="10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gridSpan w:val="2"/>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140" w:type="dxa"/>
            <w:vAlign w:val="bottom"/>
            <w:gridSpan w:val="3"/>
            <w:shd w:val="clear" w:color="auto" w:fill="CCEEFF"/>
          </w:tcPr>
          <w:p>
            <w:pPr>
              <w:jc w:val="right"/>
              <w:ind w:right="908"/>
              <w:spacing w:after="0" w:line="202" w:lineRule="exact"/>
              <w:rPr>
                <w:sz w:val="20"/>
                <w:szCs w:val="20"/>
                <w:color w:val="auto"/>
              </w:rPr>
            </w:pPr>
            <w:r>
              <w:rPr>
                <w:rFonts w:ascii="Arial" w:cs="Arial" w:eastAsia="Arial" w:hAnsi="Arial"/>
                <w:sz w:val="18"/>
                <w:szCs w:val="18"/>
                <w:color w:val="auto"/>
              </w:rPr>
              <w:t>$ 1,689</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$48,832</w:t>
            </w: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140" w:type="dxa"/>
            <w:vAlign w:val="bottom"/>
            <w:gridSpan w:val="3"/>
          </w:tcPr>
          <w:p>
            <w:pPr>
              <w:jc w:val="right"/>
              <w:ind w:right="908"/>
              <w:spacing w:after="0" w:line="202" w:lineRule="exact"/>
              <w:rPr>
                <w:sz w:val="20"/>
                <w:szCs w:val="20"/>
                <w:color w:val="auto"/>
              </w:rPr>
            </w:pPr>
            <w:r>
              <w:rPr>
                <w:rFonts w:ascii="Arial" w:cs="Arial" w:eastAsia="Arial" w:hAnsi="Arial"/>
                <w:sz w:val="18"/>
                <w:szCs w:val="18"/>
                <w:color w:val="auto"/>
              </w:rPr>
              <w:t>723</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6140" w:type="dxa"/>
            <w:vAlign w:val="bottom"/>
            <w:gridSpan w:val="3"/>
            <w:shd w:val="clear" w:color="auto" w:fill="CCEEFF"/>
          </w:tcPr>
          <w:p>
            <w:pPr>
              <w:jc w:val="right"/>
              <w:ind w:right="848"/>
              <w:spacing w:after="0" w:line="202" w:lineRule="exact"/>
              <w:rPr>
                <w:sz w:val="20"/>
                <w:szCs w:val="20"/>
                <w:color w:val="auto"/>
              </w:rPr>
            </w:pPr>
            <w:r>
              <w:rPr>
                <w:rFonts w:ascii="Arial" w:cs="Arial" w:eastAsia="Arial" w:hAnsi="Arial"/>
                <w:sz w:val="18"/>
                <w:szCs w:val="18"/>
                <w:color w:val="auto"/>
              </w:rPr>
              <w:t>(5,792)</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Arial" w:cs="Arial" w:eastAsia="Arial" w:hAnsi="Arial"/>
                <w:sz w:val="18"/>
                <w:szCs w:val="18"/>
                <w:color w:val="auto"/>
              </w:rPr>
              <w:t>Income tax expense</w:t>
            </w:r>
          </w:p>
        </w:tc>
        <w:tc>
          <w:tcPr>
            <w:tcW w:w="6140" w:type="dxa"/>
            <w:vAlign w:val="bottom"/>
            <w:gridSpan w:val="3"/>
          </w:tcPr>
          <w:p>
            <w:pPr>
              <w:jc w:val="right"/>
              <w:ind w:right="908"/>
              <w:spacing w:after="0" w:line="202" w:lineRule="exact"/>
              <w:rPr>
                <w:sz w:val="20"/>
                <w:szCs w:val="20"/>
                <w:color w:val="auto"/>
              </w:rPr>
            </w:pPr>
            <w:r>
              <w:rPr>
                <w:rFonts w:ascii="Arial" w:cs="Arial" w:eastAsia="Arial" w:hAnsi="Arial"/>
                <w:sz w:val="18"/>
                <w:szCs w:val="18"/>
                <w:color w:val="auto"/>
              </w:rPr>
              <w:t>586</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6140" w:type="dxa"/>
            <w:vAlign w:val="bottom"/>
            <w:gridSpan w:val="3"/>
            <w:shd w:val="clear" w:color="auto" w:fill="CCEEFF"/>
          </w:tcPr>
          <w:p>
            <w:pPr>
              <w:jc w:val="right"/>
              <w:ind w:right="908"/>
              <w:spacing w:after="0" w:line="202" w:lineRule="exact"/>
              <w:rPr>
                <w:sz w:val="20"/>
                <w:szCs w:val="20"/>
                <w:color w:val="auto"/>
              </w:rPr>
            </w:pPr>
            <w:r>
              <w:rPr>
                <w:rFonts w:ascii="Arial" w:cs="Arial" w:eastAsia="Arial" w:hAnsi="Arial"/>
                <w:sz w:val="18"/>
                <w:szCs w:val="18"/>
                <w:color w:val="auto"/>
              </w:rPr>
              <w:t>5,713</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EBITDA</w:t>
            </w:r>
          </w:p>
        </w:tc>
        <w:tc>
          <w:tcPr>
            <w:tcW w:w="45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6140" w:type="dxa"/>
            <w:vAlign w:val="bottom"/>
            <w:gridSpan w:val="3"/>
            <w:shd w:val="clear" w:color="auto" w:fill="CCEEFF"/>
          </w:tcPr>
          <w:p>
            <w:pPr>
              <w:jc w:val="right"/>
              <w:ind w:right="908"/>
              <w:spacing w:after="0" w:line="202" w:lineRule="exact"/>
              <w:rPr>
                <w:sz w:val="20"/>
                <w:szCs w:val="20"/>
                <w:color w:val="auto"/>
              </w:rPr>
            </w:pPr>
            <w:r>
              <w:rPr>
                <w:rFonts w:ascii="Arial" w:cs="Arial" w:eastAsia="Arial" w:hAnsi="Arial"/>
                <w:sz w:val="18"/>
                <w:szCs w:val="18"/>
                <w:color w:val="auto"/>
              </w:rPr>
              <w:t>3,607</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Adjusted EBITDA</w:t>
            </w:r>
          </w:p>
        </w:tc>
        <w:tc>
          <w:tcPr>
            <w:tcW w:w="45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$ 6,526</w:t>
            </w:r>
          </w:p>
        </w:tc>
        <w:tc>
          <w:tcPr>
            <w:tcW w:w="10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520" w:type="dxa"/>
            <w:vAlign w:val="bottom"/>
            <w:vMerge w:val="restart"/>
          </w:tcPr>
          <w:p>
            <w:pPr>
              <w:jc w:val="right"/>
              <w:ind w:right="2910"/>
              <w:spacing w:after="0"/>
              <w:rPr>
                <w:sz w:val="20"/>
                <w:szCs w:val="20"/>
                <w:color w:val="auto"/>
              </w:rPr>
            </w:pPr>
            <w:r>
              <w:rPr>
                <w:rFonts w:ascii="Arial" w:cs="Arial" w:eastAsia="Arial" w:hAnsi="Arial"/>
                <w:sz w:val="18"/>
                <w:szCs w:val="18"/>
                <w:color w:val="auto"/>
              </w:rPr>
              <w:t>85</w:t>
            </w: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color w:val="auto"/>
        </w:rPr>
        <w:t>In addition, other companies, including companies in our industry, may calculate Adjusted EBITDA differently, which reduces its usefulness as a comparative measure. Because of these limitations, our Adjusted EBITDA and Adjusted EBITDA Margin should be considered in addition to, not as substitutes for, or in isolation from, measures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5212080" cy="53232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532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Cost-Effectively Activating New Policies. </w:t>
      </w:r>
      <w:r>
        <w:rPr>
          <w:rFonts w:ascii="Arial" w:cs="Arial" w:eastAsia="Arial" w:hAnsi="Arial"/>
          <w:sz w:val="18"/>
          <w:szCs w:val="18"/>
          <w:color w:val="auto"/>
        </w:rPr>
        <w:t>Our continued growth is dependent on cost-effectively activating new policies.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consumers by investing in direct marketing and agent payments. Our direct marketing is diversified and includes affiliate marketing, search engine marketing, social media advertising, TV advertising, and others. We dynamically adjust our direct marketing on a daily basis to optimize our acquisition strategy. Spending to activate a new policy is governed by our payback period, which we define as the number of months it takes for the cash commissions received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to offset advertising spend and agent payments, as well as underwriting, sales team and payment processing costs. As of December 31, 2024, our average payback period was within two months.</w:t>
      </w:r>
    </w:p>
    <w:p>
      <w:pPr>
        <w:spacing w:after="0" w:line="154"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7"/>
          <w:szCs w:val="17"/>
          <w:color w:val="auto"/>
        </w:rPr>
        <w:t>We assess the effectiveness of agents by monitoring their sales productivity over time. The chart below reflects the cumulative policies sold per agent by cohort, with each cohort consisting of all agents who sold their first policy on our platform in a given fiscal quarter. In turn, cohorts include agents who have ceased selling policies on our platform. Overall, agents within each cohort consistently become more productive, as demonstrated by the increase in cumulative activated policies sold per agent by cohort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5220335" cy="30003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203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320" w:top="455"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217170</wp:posOffset>
            </wp:positionV>
            <wp:extent cx="5212080" cy="2991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Agent Recruitment and Retention. </w:t>
      </w:r>
      <w:r>
        <w:rPr>
          <w:rFonts w:ascii="Arial" w:cs="Arial" w:eastAsia="Arial" w:hAnsi="Arial"/>
          <w:sz w:val="18"/>
          <w:szCs w:val="18"/>
          <w:color w:val="auto"/>
        </w:rPr>
        <w:t>We onboard new agents to our platform primarily through our network of agencies. As such,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that we maintain strong relationships with existing agencies, establish new relationships, and enhance the productivity of agents to support agent retention. We intend to continue investing in our platform to make it increasingly attractive to agencies and their agents, primarily by adding features and functionalities that help agencies recruit more agents, enhance agent efficiency, boost overall productivity, and improve the consumer experience.</w:t>
      </w:r>
    </w:p>
    <w:p>
      <w:pPr>
        <w:spacing w:after="0" w:line="176" w:lineRule="exact"/>
        <w:rPr>
          <w:sz w:val="20"/>
          <w:szCs w:val="20"/>
          <w:color w:val="auto"/>
        </w:rPr>
      </w:pPr>
    </w:p>
    <w:p>
      <w:pPr>
        <w:ind w:left="120" w:right="240" w:firstLine="551"/>
        <w:spacing w:after="0" w:line="266" w:lineRule="auto"/>
        <w:rPr>
          <w:sz w:val="20"/>
          <w:szCs w:val="20"/>
          <w:color w:val="auto"/>
        </w:rPr>
      </w:pPr>
      <w:r>
        <w:rPr>
          <w:rFonts w:ascii="Arial" w:cs="Arial" w:eastAsia="Arial" w:hAnsi="Arial"/>
          <w:sz w:val="17"/>
          <w:szCs w:val="17"/>
          <w:b w:val="1"/>
          <w:bCs w:val="1"/>
          <w:i w:val="1"/>
          <w:iCs w:val="1"/>
          <w:color w:val="auto"/>
        </w:rPr>
        <w:t xml:space="preserve">Life Insurance Pricing. </w:t>
      </w:r>
      <w:r>
        <w:rPr>
          <w:rFonts w:ascii="Arial" w:cs="Arial" w:eastAsia="Arial" w:hAnsi="Arial"/>
          <w:sz w:val="17"/>
          <w:szCs w:val="17"/>
          <w:color w:val="auto"/>
        </w:rPr>
        <w:t>Life insurance pricing impacts purchasing and agent selling behavior. Pricing is primarily influenced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such as health, lifestyle, coverage amount, and policy type. Carriers may adjust pricing in response to shifts in mortality assumptions, interest rates, capital markets, reinsurance costs, inflation, and regulatory changes. We mitigate pricing risk through a diversified product portfolio and a broad mix of carriers, enabling us to offer competitive rates across a wide range of consumer profiles.</w:t>
      </w:r>
    </w:p>
    <w:p>
      <w:pPr>
        <w:spacing w:after="0" w:line="15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i w:val="1"/>
          <w:iCs w:val="1"/>
          <w:color w:val="auto"/>
        </w:rPr>
        <w:t>Evolving Channel and Product Mix</w:t>
      </w:r>
      <w:r>
        <w:rPr>
          <w:rFonts w:ascii="Arial" w:cs="Arial" w:eastAsia="Arial" w:hAnsi="Arial"/>
          <w:sz w:val="18"/>
          <w:szCs w:val="18"/>
          <w:color w:val="auto"/>
        </w:rPr>
        <w:t>. We leverage our two distribution channels to optimize for increased demand on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demand through each channel is impacted by multiple factors, including product mix, which we evaluate holistically when implementing this channel strategy. In addition, though we prioritize overall expansion of our product portfolio, our product mix impacts our growth and results of operations. Because we offer most of our products through both channels, our strategy also drives fluctuations in product mix by channel. As a result, we expect revenue, activated policies, and profitability to continue to be impacted by our evolving channel and product mix.</w:t>
      </w:r>
    </w:p>
    <w:p>
      <w:pPr>
        <w:spacing w:after="0" w:line="179"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Strategic Carrier Relationships. </w:t>
      </w:r>
      <w:r>
        <w:rPr>
          <w:rFonts w:ascii="Arial" w:cs="Arial" w:eastAsia="Arial" w:hAnsi="Arial"/>
          <w:sz w:val="18"/>
          <w:szCs w:val="18"/>
          <w:color w:val="auto"/>
        </w:rPr>
        <w:t>Maintaining our six active carrier relationships and establishing new carrier relationships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critical for our continued growth. For our top three carriers by distribution, who are also our longest tenured carriers, we were their largest source of life distribution in 2024. However, we still have significant opportunities to increase our share, as we accounted for a minority of these top three carriers’ life insurance premiums in 2024. Our existing carriers have a significant growth opportunity, as the life insurance market remains highly fragmented, with numerous carriers competing for market share.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Beyond our current relationships, we intend to selectively work with new carriers, primarily to facilitate new product introductions and further diversify our positions within our existing carrier base.</w:t>
      </w:r>
    </w:p>
    <w:p>
      <w:pPr>
        <w:spacing w:after="0" w:line="154"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Increasing Products on Our Platform.</w:t>
      </w:r>
      <w:r>
        <w:rPr>
          <w:rFonts w:ascii="Arial" w:cs="Arial" w:eastAsia="Arial" w:hAnsi="Arial"/>
          <w:sz w:val="18"/>
          <w:szCs w:val="18"/>
          <w:color w:val="auto"/>
        </w:rPr>
        <w:t xml:space="preserve">  The breadth and diversity of our existing products are a key value proposition for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agents. Moreover, our platform is extensible, as demonstrated by our successful track record in launching and scaling new insurance and estate planning products. Our growing expertise in product launches, informed by our growing experience through numerous past product launches and continuous improvements in our third-party channel, has enhanced our efficiency. For instance, while it initially took 24 months to reach $20 million in run-rate annual premium with our Term Life Insurance product launched in 2019, a more recent product achieved the same milestone in just 15 months. We intend to continue investing in new product development, leveraging our increasing efficiency to drive further growth.</w:t>
      </w:r>
    </w:p>
    <w:p>
      <w:pPr>
        <w:spacing w:after="0" w:line="185"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b w:val="1"/>
          <w:bCs w:val="1"/>
          <w:i w:val="1"/>
          <w:iCs w:val="1"/>
          <w:color w:val="auto"/>
        </w:rPr>
        <w:t>Persistency.</w:t>
      </w:r>
      <w:r>
        <w:rPr>
          <w:rFonts w:ascii="Arial" w:cs="Arial" w:eastAsia="Arial" w:hAnsi="Arial"/>
          <w:sz w:val="18"/>
          <w:szCs w:val="18"/>
          <w:color w:val="auto"/>
        </w:rPr>
        <w:t xml:space="preserve">   Our results of operations, including our revenue growth trends, are impacted by changes in our persistency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Several factors have resulted in, and may in the future result in, fluctuations in our persistency estimates, including growth in activated policies, new carrier relationships, introductions of new products on our platform, changes in our product mix, and changes in observed persistency in the life insurance industry.</w:t>
      </w:r>
    </w:p>
    <w:p>
      <w:pPr>
        <w:spacing w:after="0" w:line="17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b w:val="1"/>
          <w:bCs w:val="1"/>
          <w:i w:val="1"/>
          <w:iCs w:val="1"/>
          <w:color w:val="auto"/>
        </w:rPr>
        <w:t xml:space="preserve">Operating Leverage.  </w:t>
      </w:r>
      <w:r>
        <w:rPr>
          <w:rFonts w:ascii="Arial" w:cs="Arial" w:eastAsia="Arial" w:hAnsi="Arial"/>
          <w:sz w:val="18"/>
          <w:szCs w:val="18"/>
          <w:color w:val="auto"/>
        </w:rPr>
        <w:t>Our platform benefits from operating leverage, allowing our business to scale efficiently as we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activations and launch new products. Several of our costs, including our general and administrative costs, are not directly tied to the number of activated policies in a given period. As a result, we generate more revenue relative to our cost base as we grow. Each incremental product launch also becomes more cost-effective, leveraging our robust underwriting capabilities, digital platform, and established distribution channels with minimal additional overhead.</w:t>
      </w:r>
    </w:p>
    <w:p>
      <w:pPr>
        <w:spacing w:after="0" w:line="176"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b w:val="1"/>
          <w:bCs w:val="1"/>
          <w:i w:val="1"/>
          <w:iCs w:val="1"/>
          <w:color w:val="auto"/>
        </w:rPr>
        <w:t>Investment in Technology Platform.</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prioritized investments in automation, our data moat, and data analytics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 policy approvals and pricing while enriching the customer journey. Our commitment to digitizing the life insurance process is evident in our continued development of digital infrastructure, such as enhancing features on our website and in our agent portal. Our significant investment in proprietary technology is key to advancing our underwriting capabilities and may cause our operating results to fluctuate.</w:t>
      </w:r>
    </w:p>
    <w:p>
      <w:pPr>
        <w:spacing w:after="0" w:line="176"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b w:val="1"/>
          <w:bCs w:val="1"/>
          <w:i w:val="1"/>
          <w:iCs w:val="1"/>
          <w:color w:val="auto"/>
        </w:rPr>
        <w:t>Seasonality.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Seasonality can impact our activated policies patterns, influencing acquisition volume, costs, and conversion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have historically been our strongest quarter of activated policies, as consumer demand for life insurance is elevated by factors such as annual financial planning cycles that typically occur post-New Year. During this period, digital marketing costs tend to be lower relative to other periods, allowing us to efficiently invest more in direct marketing.</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Macroeconomic and Regulatory Trends.  </w:t>
      </w:r>
      <w:r>
        <w:rPr>
          <w:rFonts w:ascii="Arial" w:cs="Arial" w:eastAsia="Arial" w:hAnsi="Arial"/>
          <w:sz w:val="18"/>
          <w:szCs w:val="18"/>
          <w:color w:val="auto"/>
        </w:rPr>
        <w:t>Macroeconomic factors, including a high interest rate environment, equity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and a tight labor market impact the financial services and life insurance industries. Moreover, changes in the tax code (demand for insurance for tax planning purposes) or on capital reserving requirements (such as the approval of the principles-based reserving regime in 2017) impact the demand for the life insurance products we offer and the profitability of the carriers with whom we work. These macroeconomic and regulatory factors have the potential to affect demand for our underwriting and distribution services.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primarily generate revenue through commissions paid by carriers from policies activated and sold through our platform as well as from our provision of third-party administrator, or TPA, services for such policies. Our commission revenue is recognized upfront upon delivering new policyholders to carriers, and we have no material additional obligations post-sale. Our revenue for an activated policy includes both the first-year commission and renewal commissions, both of which require significant judgment in applying a persistency estimate. In future periods following policy activation, we recognize in-period adjustments in revenue as the applicable persistency estimates are updated.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02"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Our costs and expenses consist of sales and marketing, general and administrative expenses, technology costs, cost of revenue, and depreciation and amortization.</w:t>
      </w:r>
    </w:p>
    <w:p>
      <w:pPr>
        <w:spacing w:after="0" w:line="154" w:lineRule="exact"/>
        <w:rPr>
          <w:sz w:val="20"/>
          <w:szCs w:val="20"/>
          <w:color w:val="auto"/>
        </w:rPr>
      </w:pPr>
    </w:p>
    <w:p>
      <w:pPr>
        <w:ind w:left="120" w:right="160" w:firstLine="551"/>
        <w:spacing w:after="0" w:line="266" w:lineRule="auto"/>
        <w:rPr>
          <w:sz w:val="20"/>
          <w:szCs w:val="20"/>
          <w:color w:val="auto"/>
        </w:rPr>
      </w:pPr>
      <w:r>
        <w:rPr>
          <w:rFonts w:ascii="Arial" w:cs="Arial" w:eastAsia="Arial" w:hAnsi="Arial"/>
          <w:sz w:val="17"/>
          <w:szCs w:val="17"/>
          <w:color w:val="auto"/>
        </w:rPr>
        <w:t>In the quarter in which this offering is completed, we expect to recognize approximately $        of stock-based compensation expense associated with the satisfaction of the liquidity event-based vesting condition for outstanding RSUs, for which the service-based vesting conditions have been fully or partially satisfied on or before the pricing of this offering. As such, we expect to incur a net loss for the quarter and year in which this offering is completed, primarily as a result of recognition of this stock-based compensation amount.</w:t>
      </w:r>
    </w:p>
    <w:p>
      <w:pPr>
        <w:spacing w:after="0" w:line="159"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We also expect to incur additional stock-based compensation expense in future periods across certain of the costs and expenses categories below as additional RSUs meet their service-based vesting conditions,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Sales and marketing expenses primarily consists of our advertising expenses, agent payments, underwriting costs for non-activated policies, and overhead costs allocated on a headcount basis. Sales and marketing expenses also consist of salaries, stock-based compensation expense, employee benefits, bonuses, and commissions for sales and marketing employees and contractors.</w:t>
      </w:r>
    </w:p>
    <w:p>
      <w:pPr>
        <w:spacing w:after="0" w:line="16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We expect sales and marketing expenses to increase on an absolute dollar basis and vary from period to period as a percentage of revenue as we increase our sales and marketing personnel and continue to expand our customer engagement.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General and administrative expenses consist of salaries, stock-based compensation expense, employee benefits, and bonuses for executive, finance, accounting, legal, human resources, actuarial, and administrative support. General and administrative expenses also include legal, accounting, other third-party professional services, other miscellaneous expenses, and overhead costs allocated on a headcount basis.</w:t>
      </w:r>
    </w:p>
    <w:p>
      <w:pPr>
        <w:spacing w:after="0" w:line="174" w:lineRule="exact"/>
        <w:rPr>
          <w:sz w:val="20"/>
          <w:szCs w:val="20"/>
          <w:color w:val="auto"/>
        </w:rPr>
      </w:pPr>
    </w:p>
    <w:p>
      <w:pPr>
        <w:ind w:left="120" w:right="660" w:firstLine="551"/>
        <w:spacing w:after="0" w:line="301" w:lineRule="auto"/>
        <w:rPr>
          <w:sz w:val="20"/>
          <w:szCs w:val="20"/>
          <w:color w:val="auto"/>
        </w:rPr>
      </w:pPr>
      <w:r>
        <w:rPr>
          <w:rFonts w:ascii="Arial" w:cs="Arial" w:eastAsia="Arial" w:hAnsi="Arial"/>
          <w:sz w:val="17"/>
          <w:szCs w:val="17"/>
          <w:color w:val="auto"/>
        </w:rPr>
        <w:t>We expect general and administrative expenses to increase on an absolute dollar basis and vary from period to period as a percentage of revenue as we grow our operations and incur additional expenses associated with operating as a public company.</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(Exclusive of Amortization)</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Technology (exclusive of amortization) expenses primarily consist of salaries, stock-based compensation expense, employee benefits, and bonuses for salaried employees and contractors engaged in the design, development, maintenance, and testing of our platform including our websites, mobile applications and other products. Technology expenses also include overhead costs allocated on a headcount basis but do not include amortization of capitalized website and software development costs.</w:t>
      </w:r>
    </w:p>
    <w:p>
      <w:pPr>
        <w:spacing w:after="0" w:line="17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We expect technology expenses to continue to increase on an absolute dollar basis and vary from period to period as a percent of revenue as we continue investing in our technology platform to support future growth.</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w:t>
      </w:r>
    </w:p>
    <w:p>
      <w:pPr>
        <w:spacing w:after="0" w:line="10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Cost of revenue represents the direct costs associated with fulfilling our obligations to our carriers for the activation of insurance policies and primarily consists of underwriting costs incurred by activated policies in the application process.</w:t>
      </w:r>
    </w:p>
    <w:p>
      <w:pPr>
        <w:spacing w:after="0" w:line="154"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We expect that cost of revenue will increase on an absolute dollar basis for the foreseeable future as we continue to grow and be relatively consistent period to period as a percentage of revenue.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w:t>
      </w:r>
    </w:p>
    <w:p>
      <w:pPr>
        <w:spacing w:after="0" w:line="10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Depreciation and amortization expenses relate to property and equipment, website and software development costs, as well as acquisition-related and other acquired intangible assets. We record depreciation and amortization using the straight-line method over the estimated useful life of the assets.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Interest expense consists of interest costs associated with the sale of commissions receivable. For a portion of our policies, we have at times entered into arrangements in which we sell the rights to a portion of future commissions in exchange for upfront cash payments to unaffiliated entities. The cost of these arrangements, or the difference between the purchase price and the foregone future commissions for years sold, is recorded as a Loss on Sale in the period in which the policies are sold. During the year ended December 31, 2024, we only used this arrangement for one of our Term Life Insurance products as described further in “—Critical Accounting Policies and Estimates—Liabilities Related to Sale of Commissions Receivable” and in Note 11 to our consolidated financial statements. We impute interest on the unamortized portion of the liability for the sale of commissions receivable using the effective interest method, which is based on forecasted payments expected to be made over the term of the agreements.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Interest income consists of income earned on our short-term investments included in cash and cash equivalents and marketable securities.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consists of income from subleasing office space along with income from credit card rewards.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left="120" w:right="380" w:firstLine="551"/>
        <w:spacing w:after="0" w:line="247" w:lineRule="auto"/>
        <w:rPr>
          <w:sz w:val="20"/>
          <w:szCs w:val="20"/>
          <w:color w:val="auto"/>
        </w:rPr>
      </w:pPr>
      <w:r>
        <w:rPr>
          <w:rFonts w:ascii="Arial" w:cs="Arial" w:eastAsia="Arial" w:hAnsi="Arial"/>
          <w:sz w:val="18"/>
          <w:szCs w:val="18"/>
          <w:color w:val="auto"/>
        </w:rPr>
        <w:t>Provision for income taxes consists of federal and state income taxes in the United States and income taxes in certain foreign jurisdictions, deferred income taxes reflecting the net tax effects of temporary differences between the carrying amounts of assets and liabilities for financial reporting purposes and the amounts used for income tax purposes, and the realization of net operating loss carryforwards.</w:t>
      </w:r>
    </w:p>
    <w:p>
      <w:pPr>
        <w:spacing w:after="0" w:line="17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 xml:space="preserve">We account for uncertain tax positions in accordance with Accounting Standards Codification, or ASC, 740-10,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in Income Taxes</w:t>
      </w:r>
      <w:r>
        <w:rPr>
          <w:rFonts w:ascii="Arial" w:cs="Arial" w:eastAsia="Arial" w:hAnsi="Arial"/>
          <w:sz w:val="18"/>
          <w:szCs w:val="18"/>
          <w:color w:val="auto"/>
        </w:rPr>
        <w:t>. We recognize the tax effects of an uncertain tax position only if it is more likely than not to be sustained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solely on its technical merits as of the reporting date and only in an amount more likely than not to be sustained upon review by the tax authorities. Interest and penalties related to uncertain tax positions are classified in the consolidated financial statements as income tax expense.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results of operations for the periods presented in dollars and as a percentage of our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5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452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155"/>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Commission</w:t>
            </w:r>
          </w:p>
        </w:tc>
        <w:tc>
          <w:tcPr>
            <w:tcW w:w="5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$ 159,754</w:t>
            </w: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$ 254,926</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revenue</w:t>
            </w:r>
          </w:p>
        </w:tc>
        <w:tc>
          <w:tcPr>
            <w:tcW w:w="452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159,754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254,926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expenses:</w:t>
            </w:r>
          </w:p>
        </w:tc>
        <w:tc>
          <w:tcPr>
            <w:tcW w:w="4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5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107,531</w:t>
            </w:r>
          </w:p>
        </w:tc>
        <w:tc>
          <w:tcPr>
            <w:tcW w:w="100" w:type="dxa"/>
            <w:vAlign w:val="bottom"/>
          </w:tcPr>
          <w:p>
            <w:pPr>
              <w:spacing w:after="0"/>
              <w:rPr>
                <w:sz w:val="17"/>
                <w:szCs w:val="17"/>
                <w:color w:val="auto"/>
              </w:rPr>
            </w:pPr>
          </w:p>
        </w:tc>
        <w:tc>
          <w:tcPr>
            <w:tcW w:w="9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148,664</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5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21,231</w:t>
            </w: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22,417</w:t>
            </w:r>
          </w:p>
        </w:tc>
        <w:tc>
          <w:tcPr>
            <w:tcW w:w="0" w:type="dxa"/>
            <w:vAlign w:val="bottom"/>
          </w:tcPr>
          <w:p>
            <w:pPr>
              <w:spacing w:after="0"/>
              <w:rPr>
                <w:sz w:val="1"/>
                <w:szCs w:val="1"/>
                <w:color w:val="auto"/>
              </w:rPr>
            </w:pPr>
          </w:p>
        </w:tc>
      </w:tr>
      <w:tr>
        <w:trPr>
          <w:trHeight w:val="203"/>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5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22,288</w:t>
            </w:r>
          </w:p>
        </w:tc>
        <w:tc>
          <w:tcPr>
            <w:tcW w:w="100" w:type="dxa"/>
            <w:vAlign w:val="bottom"/>
          </w:tcPr>
          <w:p>
            <w:pPr>
              <w:spacing w:after="0"/>
              <w:rPr>
                <w:sz w:val="17"/>
                <w:szCs w:val="17"/>
                <w:color w:val="auto"/>
              </w:rPr>
            </w:pPr>
          </w:p>
        </w:tc>
        <w:tc>
          <w:tcPr>
            <w:tcW w:w="9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5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02"/>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45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costs and expenses</w:t>
            </w:r>
          </w:p>
        </w:tc>
        <w:tc>
          <w:tcPr>
            <w:tcW w:w="4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162,665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206,179</w:t>
            </w: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520" w:type="dxa"/>
            <w:vAlign w:val="bottom"/>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48,747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4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560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(723)</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56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5,792</w:t>
            </w:r>
          </w:p>
        </w:tc>
        <w:tc>
          <w:tcPr>
            <w:tcW w:w="8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5,599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4960" w:type="dxa"/>
            <w:vAlign w:val="bottom"/>
            <w:gridSpan w:val="2"/>
          </w:tcPr>
          <w:p>
            <w:pPr>
              <w:spacing w:after="0"/>
              <w:rPr>
                <w:sz w:val="18"/>
                <w:szCs w:val="18"/>
                <w:color w:val="auto"/>
              </w:rPr>
            </w:pPr>
          </w:p>
        </w:tc>
        <w:tc>
          <w:tcPr>
            <w:tcW w:w="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56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5,186</w:t>
            </w:r>
          </w:p>
        </w:tc>
        <w:tc>
          <w:tcPr>
            <w:tcW w:w="8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Net income before provision for income taxes</w:t>
            </w:r>
          </w:p>
        </w:tc>
        <w:tc>
          <w:tcPr>
            <w:tcW w:w="4960" w:type="dxa"/>
            <w:vAlign w:val="bottom"/>
            <w:gridSpan w:val="2"/>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560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(586)</w:t>
            </w:r>
          </w:p>
        </w:tc>
        <w:tc>
          <w:tcPr>
            <w:tcW w:w="84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4960" w:type="dxa"/>
            <w:vAlign w:val="bottom"/>
            <w:gridSpan w:val="2"/>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520" w:type="dxa"/>
            <w:vAlign w:val="bottom"/>
            <w:vMerge w:val="restart"/>
          </w:tcPr>
          <w:p>
            <w:pPr>
              <w:jc w:val="right"/>
              <w:ind w:right="3330"/>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60"/>
              <w:spacing w:after="0" w:line="202" w:lineRule="exact"/>
              <w:rPr>
                <w:sz w:val="20"/>
                <w:szCs w:val="20"/>
                <w:color w:val="auto"/>
              </w:rPr>
            </w:pPr>
            <w:r>
              <w:rPr>
                <w:rFonts w:ascii="Arial" w:cs="Arial" w:eastAsia="Arial" w:hAnsi="Arial"/>
                <w:sz w:val="18"/>
                <w:szCs w:val="18"/>
                <w:color w:val="auto"/>
              </w:rPr>
              <w:t>Commission</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67</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63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380" w:type="dxa"/>
            <w:vAlign w:val="bottom"/>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3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638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9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63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*Certain figures may not sum due to rounding</w:t>
            </w: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52"/>
        </w:trPr>
        <w:tc>
          <w:tcPr>
            <w:tcW w:w="6380" w:type="dxa"/>
            <w:vAlign w:val="bottom"/>
          </w:tcPr>
          <w:p>
            <w:pPr>
              <w:spacing w:after="0"/>
              <w:rPr>
                <w:sz w:val="20"/>
                <w:szCs w:val="20"/>
                <w:color w:val="auto"/>
              </w:rPr>
            </w:pPr>
            <w:r>
              <w:rPr>
                <w:rFonts w:ascii="Arial" w:cs="Arial" w:eastAsia="Arial" w:hAnsi="Arial"/>
                <w:sz w:val="18"/>
                <w:szCs w:val="18"/>
                <w:b w:val="1"/>
                <w:bCs w:val="1"/>
                <w:color w:val="auto"/>
              </w:rPr>
              <w:t>Comparison of the Years Ended December 31, 2023 and 2024</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Borders>
              <w:top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2023</w:t>
            </w:r>
          </w:p>
        </w:tc>
        <w:tc>
          <w:tcPr>
            <w:tcW w:w="94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gridSpan w:val="2"/>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$ 159,754</w:t>
            </w:r>
          </w:p>
        </w:tc>
        <w:tc>
          <w:tcPr>
            <w:tcW w:w="130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$ 254,926</w:t>
            </w: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Revenue increased by $95.2 million, or 60%, for the year ended December 31, 2024 compared to the year ended December 31, 2023. The increase was primarily driven by a 77% increase in activated policies as well as a larger commission revenue adjustment from improved persistency estimates compared to the prior year period. DTC channel revenue grew by $54.6 million, or 46%, whereas third-party channel revenue grew by $40.6 million, or 100%. Third-party channel revenue grew at a faster rate primarily due to the accelerated growth of our Whole Life Insurance and Indexed Universal Life Insurance products, which were mainly sold through the third-party channel. These products had relatively lower coverage amounts and commission rates, driving a 10% decrease in ARPU over the same period. See the section titled “—Key Business Metrics and Non-GAAP Financial Measures—Average Revenue Per Unit.”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29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9"/>
        </w:trPr>
        <w:tc>
          <w:tcPr>
            <w:tcW w:w="7180" w:type="dxa"/>
            <w:vAlign w:val="bottom"/>
          </w:tcPr>
          <w:p>
            <w:pPr>
              <w:spacing w:after="0"/>
              <w:rPr>
                <w:sz w:val="12"/>
                <w:szCs w:val="12"/>
                <w:color w:val="auto"/>
              </w:rPr>
            </w:pPr>
          </w:p>
        </w:tc>
        <w:tc>
          <w:tcPr>
            <w:tcW w:w="1200" w:type="dxa"/>
            <w:vAlign w:val="bottom"/>
            <w:tcBorders>
              <w:top w:val="single" w:sz="8" w:color="auto"/>
            </w:tcBorders>
          </w:tcPr>
          <w:p>
            <w:pPr>
              <w:jc w:val="right"/>
              <w:ind w:right="582"/>
              <w:spacing w:after="0" w:line="149" w:lineRule="exact"/>
              <w:rPr>
                <w:sz w:val="20"/>
                <w:szCs w:val="20"/>
                <w:color w:val="auto"/>
              </w:rPr>
            </w:pPr>
            <w:r>
              <w:rPr>
                <w:rFonts w:ascii="Arial" w:cs="Arial" w:eastAsia="Arial" w:hAnsi="Arial"/>
                <w:sz w:val="14"/>
                <w:szCs w:val="14"/>
                <w:b w:val="1"/>
                <w:bCs w:val="1"/>
                <w:color w:val="auto"/>
              </w:rPr>
              <w:t>2023</w:t>
            </w:r>
          </w:p>
        </w:tc>
        <w:tc>
          <w:tcPr>
            <w:tcW w:w="1020" w:type="dxa"/>
            <w:vAlign w:val="bottom"/>
            <w:tcBorders>
              <w:top w:val="single" w:sz="8" w:color="auto"/>
            </w:tcBorders>
          </w:tcPr>
          <w:p>
            <w:pPr>
              <w:jc w:val="right"/>
              <w:ind w:right="136"/>
              <w:spacing w:after="0" w:line="149" w:lineRule="exact"/>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 Change</w:t>
            </w:r>
          </w:p>
        </w:tc>
      </w:tr>
      <w:tr>
        <w:trPr>
          <w:trHeight w:val="146"/>
        </w:trPr>
        <w:tc>
          <w:tcPr>
            <w:tcW w:w="718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7180" w:type="dxa"/>
            <w:vAlign w:val="bottom"/>
          </w:tcPr>
          <w:p>
            <w:pPr>
              <w:spacing w:after="0"/>
              <w:rPr>
                <w:sz w:val="14"/>
                <w:szCs w:val="14"/>
                <w:color w:val="auto"/>
              </w:rPr>
            </w:pPr>
          </w:p>
        </w:tc>
        <w:tc>
          <w:tcPr>
            <w:tcW w:w="2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percentages)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jc w:val="right"/>
              <w:ind w:right="362"/>
              <w:spacing w:after="0" w:line="202" w:lineRule="exact"/>
              <w:rPr>
                <w:sz w:val="20"/>
                <w:szCs w:val="20"/>
                <w:color w:val="auto"/>
              </w:rPr>
            </w:pPr>
            <w:r>
              <w:rPr>
                <w:rFonts w:ascii="Arial" w:cs="Arial" w:eastAsia="Arial" w:hAnsi="Arial"/>
                <w:sz w:val="18"/>
                <w:szCs w:val="18"/>
                <w:color w:val="auto"/>
                <w:w w:val="98"/>
              </w:rPr>
              <w:t>$107,531</w:t>
            </w:r>
          </w:p>
        </w:tc>
        <w:tc>
          <w:tcPr>
            <w:tcW w:w="17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$148,664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39"/>
        </w:trPr>
        <w:tc>
          <w:tcPr>
            <w:tcW w:w="71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tcPr>
          <w:p>
            <w:pPr>
              <w:jc w:val="right"/>
              <w:ind w:right="202"/>
              <w:spacing w:after="0"/>
              <w:rPr>
                <w:sz w:val="20"/>
                <w:szCs w:val="20"/>
                <w:color w:val="auto"/>
              </w:rPr>
            </w:pPr>
            <w:r>
              <w:rPr>
                <w:rFonts w:ascii="Arial" w:cs="Arial" w:eastAsia="Arial" w:hAnsi="Arial"/>
                <w:sz w:val="18"/>
                <w:szCs w:val="18"/>
                <w:color w:val="auto"/>
              </w:rPr>
              <w:t>67%</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61"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Sales and marketing expenses increased by $41.1 million, or 38%, for the year ended December 31, 2024 compared to the year ended December 31, 2023. This increase was primarily driven by a $37.4 million increase in agent payments and advertising spend, as we continued to scale both our direct to consumer and third-party channels by driving lead growth through direct marketing and brand awareness campaigns and compensating agents for volume growth. Agent payments and advertising spend increased 120% and 13%, respectively, in 2024 compared to the year ended December 31, 2023. The increase in agent payments was primarily attributable to continued scaling of our third-party distribution channel, rather than an increase in per-policy agent payments. The second key driver was a $1.7 million increase in personnel-related expenses as we increased headcount to support growth. As a percentage of revenue, sales and marketing expenses were 58% in the year ended December 31, 2024, decreasing from 67% in the year ended December 31, 2023. The decrease in sales and marketing expenses as a percentage of revenue was primarily driven by improved efficiency in lead generation and policy conversion.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6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8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70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$ 21,231</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22,417</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3700" w:type="dxa"/>
            <w:vAlign w:val="bottom"/>
            <w:gridSpan w:val="2"/>
          </w:tcPr>
          <w:p>
            <w:pPr>
              <w:jc w:val="right"/>
              <w:ind w:right="208"/>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General and administrative expenses increased by $1.2 million, or 6%, for the year ended December 31, 2024 compared to the year ended December 31, 2023. This increase was primarily attributable to an increase of $1.7 million in professional and outside services costs, $0.6 million in personnel-related compensation expenses due to increased headcount, and $0.6 million in payment processing and other general and administrative costs. These increases were in part offset by the reversal of a prior accrual of a $2.0 million loss contingency associated with a cyber incident.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(Exclusive of Amortization)</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6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60" w:type="dxa"/>
            <w:vAlign w:val="bottom"/>
            <w:tcBorders>
              <w:top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420" w:type="dxa"/>
            <w:vAlign w:val="bottom"/>
          </w:tcPr>
          <w:p>
            <w:pPr>
              <w:spacing w:after="0"/>
              <w:rPr>
                <w:sz w:val="12"/>
                <w:szCs w:val="12"/>
                <w:color w:val="auto"/>
              </w:rPr>
            </w:pPr>
          </w:p>
        </w:tc>
        <w:tc>
          <w:tcPr>
            <w:tcW w:w="214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54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(exclusive of amortization)</w:t>
            </w:r>
          </w:p>
        </w:tc>
        <w:tc>
          <w:tcPr>
            <w:tcW w:w="1060" w:type="dxa"/>
            <w:vAlign w:val="bottom"/>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  22,288</w:t>
            </w:r>
          </w:p>
        </w:tc>
        <w:tc>
          <w:tcPr>
            <w:tcW w:w="4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23,133</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9"/>
        </w:trPr>
        <w:tc>
          <w:tcPr>
            <w:tcW w:w="74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60" w:type="dxa"/>
            <w:vAlign w:val="bottom"/>
          </w:tcPr>
          <w:p>
            <w:pPr>
              <w:jc w:val="right"/>
              <w:ind w:right="202"/>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Technology expenses increased by $0.8 million, or 4%, for the year ended December 31, 2024 compared to the year ended December 31, 2023. The increase was primarily attributable to a $0.8 million increase in software and web services costs, driven in part by investments in cybersecurity, and a $0.6 million increase in professional and outside services costs to support both the maintenance and expansion of our product suite and technology infrastructure. These increases were in part offset by a $1.0 million reduction in personnel-related expenses.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80" w:type="dxa"/>
            <w:vAlign w:val="bottom"/>
            <w:tcBorders>
              <w:top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38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  5,902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6,527</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Percentage of revenue</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Cost of revenue expenses increased by $ 0.6 million, or 11%, for the year ended December 31, 2024 compared to the year ended December 31, 2023. The increase was primarily attributable to a $0.6 million increase in underwriting costs driven by growth in application and activated policy volume.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8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42"/>
              <w:spacing w:after="0" w:line="202" w:lineRule="exact"/>
              <w:rPr>
                <w:sz w:val="20"/>
                <w:szCs w:val="20"/>
                <w:color w:val="auto"/>
              </w:rPr>
            </w:pPr>
            <w:r>
              <w:rPr>
                <w:rFonts w:ascii="Arial" w:cs="Arial" w:eastAsia="Arial" w:hAnsi="Arial"/>
                <w:sz w:val="18"/>
                <w:szCs w:val="18"/>
                <w:color w:val="auto"/>
              </w:rPr>
              <w:t>5,713</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5,438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Depreciation and amortization expenses decreased by $0.3 million, or 5%, for the year ended December 31, 2024 compared to the year ended December 31, 2023. The decrease was primarily driven by acquired intangible assets that were fully amortized during the year ended December 31, 2023.</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7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w w:val="74"/>
              </w:rPr>
              <w:t> </w:t>
            </w:r>
          </w:p>
        </w:tc>
        <w:tc>
          <w:tcPr>
            <w:tcW w:w="1140" w:type="dxa"/>
            <w:vAlign w:val="bottom"/>
            <w:tcBorders>
              <w:top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2024 </w:t>
            </w: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62"/>
              <w:spacing w:after="0" w:line="202" w:lineRule="exact"/>
              <w:rPr>
                <w:sz w:val="20"/>
                <w:szCs w:val="20"/>
                <w:color w:val="auto"/>
              </w:rPr>
            </w:pPr>
            <w:r>
              <w:rPr>
                <w:rFonts w:ascii="Arial" w:cs="Arial" w:eastAsia="Arial" w:hAnsi="Arial"/>
                <w:sz w:val="18"/>
                <w:szCs w:val="18"/>
                <w:color w:val="auto"/>
              </w:rPr>
              <w:t>(723)</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(595)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9"/>
        </w:trPr>
        <w:tc>
          <w:tcPr>
            <w:tcW w:w="67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40" w:type="dxa"/>
            <w:vAlign w:val="bottom"/>
          </w:tcPr>
          <w:p>
            <w:pPr>
              <w:spacing w:after="0"/>
              <w:rPr>
                <w:sz w:val="20"/>
                <w:szCs w:val="20"/>
                <w:color w:val="auto"/>
              </w:rPr>
            </w:pPr>
          </w:p>
        </w:tc>
        <w:tc>
          <w:tcPr>
            <w:tcW w:w="1140" w:type="dxa"/>
            <w:vAlign w:val="bottom"/>
          </w:tcPr>
          <w:p>
            <w:pPr>
              <w:jc w:val="right"/>
              <w:ind w:right="30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Interest expense decreased by $ 0.1 million, or 18%, for the year ended December 31, 2024 compared to the year ended December 31, 2023. The decrease was driven by a reduction in previous liabilities related to the sale of commissions receivable, partially offset by an increase in liabilities related to the sale of commissions receivable in December 2024.</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8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8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42"/>
              <w:spacing w:after="0" w:line="202" w:lineRule="exact"/>
              <w:rPr>
                <w:sz w:val="20"/>
                <w:szCs w:val="20"/>
                <w:color w:val="auto"/>
              </w:rPr>
            </w:pPr>
            <w:r>
              <w:rPr>
                <w:rFonts w:ascii="Arial" w:cs="Arial" w:eastAsia="Arial" w:hAnsi="Arial"/>
                <w:sz w:val="18"/>
                <w:szCs w:val="18"/>
                <w:color w:val="auto"/>
              </w:rPr>
              <w:t>5,792</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5,599</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20" w:firstLine="551"/>
        <w:spacing w:after="0" w:line="301" w:lineRule="auto"/>
        <w:rPr>
          <w:sz w:val="20"/>
          <w:szCs w:val="20"/>
          <w:color w:val="auto"/>
        </w:rPr>
      </w:pPr>
      <w:r>
        <w:rPr>
          <w:rFonts w:ascii="Arial" w:cs="Arial" w:eastAsia="Arial" w:hAnsi="Arial"/>
          <w:sz w:val="17"/>
          <w:szCs w:val="17"/>
          <w:color w:val="auto"/>
        </w:rPr>
        <w:t>Interest income decreased by $0.2 million, or 3%, for the year ended December 31, 2024 compared to the year ended December 31, 2023. The decrease was primarily attributable to a lower average short-term investment and cash equivalents balance.</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9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68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2"/>
              <w:spacing w:after="0" w:line="202" w:lineRule="exact"/>
              <w:rPr>
                <w:sz w:val="20"/>
                <w:szCs w:val="20"/>
                <w:color w:val="auto"/>
              </w:rPr>
            </w:pPr>
            <w:r>
              <w:rPr>
                <w:rFonts w:ascii="Arial" w:cs="Arial" w:eastAsia="Arial" w:hAnsi="Arial"/>
                <w:sz w:val="18"/>
                <w:szCs w:val="18"/>
                <w:color w:val="auto"/>
              </w:rPr>
              <w:t>(586)</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(5,104)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60" w:firstLine="551"/>
        <w:spacing w:after="0" w:line="253" w:lineRule="auto"/>
        <w:rPr>
          <w:sz w:val="20"/>
          <w:szCs w:val="20"/>
          <w:color w:val="auto"/>
        </w:rPr>
      </w:pPr>
      <w:r>
        <w:rPr>
          <w:rFonts w:ascii="Arial" w:cs="Arial" w:eastAsia="Arial" w:hAnsi="Arial"/>
          <w:sz w:val="18"/>
          <w:szCs w:val="18"/>
          <w:color w:val="auto"/>
        </w:rPr>
        <w:t>Income tax expense increased by $4.5 million, or 771%, for the year ended December 31, 2024 compared to the year ended December 31, 2023. The increase was primarily driven by changes to the valuation allowance as a result of increases to deferred tax liabilities associated with revenue recognition.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Since our inception, we have financed our operations primarily through net proceeds from the issuance of our redeemable convertible preferred stock and commissions received from the sale of our products. As of December 31, 2024, our principal sources of liquidity were cash, cash equivalents, and investments of $138.4 million and working capital of $107.2 million. Cash and cash equivalents are comprised of cash held in demand deposit accounts and short-term, highly liquid investments with original maturities of three months or less. Marketable securities are comprised primarily of commercial paper and investment grade U.S. and non-U.S.-issued corporate debt securities. Our principal use of cash has been to fund our operations and invest in technology to support our growth.</w:t>
      </w:r>
    </w:p>
    <w:p>
      <w:pPr>
        <w:spacing w:after="0" w:line="179"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We have generated significant losses from operations and negative cash flows from operating activities in the past as reflected in our accumulated deficit of $173.7 million as of December 31, 2024. Our future cash flows from operating activities may fluctuate as a result of investments we continue to make across our organization. As a result, we may require additional capital resources to execute strategic initiatives to grow our business.</w:t>
      </w:r>
    </w:p>
    <w:p>
      <w:pPr>
        <w:spacing w:after="0" w:line="17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We believe that our existing cash and cash equivalents will be sufficient to meet our working capital requirements for at least the next twelve months. However, our liquidity assumptions may prove to be incorrect, and we could utilize our available financial resources sooner than we currently expect. Our future capital requirements and the adequacy of available funds will depend on many factors, including our growth rate, accuracy of persistency estimates, expansion of sales and marketing activities, expansion of carrier and agency relationships, investments in technology enhancements, continued market adoption of our platform and services, and timing and amount of sales of commissions receivable. In addition, we may enter into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However, we may not be able to secure additional financing to meet our operating requirements or growth strategies on acceptable terms, or at all.</w:t>
      </w:r>
    </w:p>
    <w:p>
      <w:pPr>
        <w:spacing w:after="0" w:line="183" w:lineRule="exact"/>
        <w:rPr>
          <w:sz w:val="20"/>
          <w:szCs w:val="20"/>
          <w:color w:val="auto"/>
        </w:rPr>
      </w:pPr>
    </w:p>
    <w:p>
      <w:pPr>
        <w:ind w:left="120" w:right="220" w:firstLine="551"/>
        <w:spacing w:after="0" w:line="259" w:lineRule="auto"/>
        <w:rPr>
          <w:sz w:val="20"/>
          <w:szCs w:val="20"/>
          <w:color w:val="auto"/>
        </w:rPr>
      </w:pPr>
      <w:r>
        <w:rPr>
          <w:rFonts w:ascii="Arial" w:cs="Arial" w:eastAsia="Arial" w:hAnsi="Arial"/>
          <w:sz w:val="17"/>
          <w:szCs w:val="17"/>
          <w:color w:val="auto"/>
        </w:rPr>
        <w:t>In particular, recent volatility in the global financial markets, including due to heightened inflation, rising interest rates, tariffs, and other macroeconomic conditions, geopolitical events, such as the ongoing conflicts between Russia and Ukraine and in the Middle East, and disruptions in access to bank deposits or lending commitments due to bank failures could reduce our ability to access capital and negatively affect our liquidity in the future.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debt, and other operating restrictions that could adversely impact our ability to conduct our business. If we are unable to obtain needed additional funds, we will have to reduce our operating costs, which would impair our growth prospects and could otherwise negatively impact our business.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cash flow information for the periods presented:</w:t>
      </w:r>
    </w:p>
    <w:p>
      <w:pPr>
        <w:spacing w:after="0" w:line="248"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6350</wp:posOffset>
            </wp:positionV>
            <wp:extent cx="1209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9" w:lineRule="exact"/>
        <w:rPr>
          <w:sz w:val="20"/>
          <w:szCs w:val="20"/>
          <w:color w:val="auto"/>
        </w:rPr>
      </w:pPr>
    </w:p>
    <w:p>
      <w:pPr>
        <w:ind w:left="9320"/>
        <w:spacing w:after="0"/>
        <w:tabs>
          <w:tab w:leader="none" w:pos="104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209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6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34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$(37,124)</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$(10,908)</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(9,159)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 (used in) financing activities</w:t>
            </w:r>
          </w:p>
        </w:tc>
        <w:tc>
          <w:tcPr>
            <w:tcW w:w="34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(1,642)</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21,857</w:t>
            </w: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10"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For the year ended December 31, 2024, net cash used in operating activities was $10.9 million. This was driven primarily by net income of $48.8 million, non-cash expenses of $5.4 million related to depreciation and amortization, $3.9 million related to deferred taxes, and $3.2 million related to stock-based compensation, in addition to non-cash income of $ 3.1 million related to the amortization of discounts and premiums of investments. In addition, during the year ended December 31, 2024, significant changes in our operating assets and liabilities resulted from the following:</w:t>
      </w:r>
    </w:p>
    <w:p>
      <w:pPr>
        <w:spacing w:after="0" w:line="82" w:lineRule="exact"/>
        <w:rPr>
          <w:sz w:val="20"/>
          <w:szCs w:val="20"/>
          <w:color w:val="auto"/>
        </w:rPr>
      </w:pPr>
    </w:p>
    <w:p>
      <w:pPr>
        <w:ind w:left="880" w:right="780" w:hanging="224"/>
        <w:spacing w:after="0" w:line="27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long-term commissions receivable of $53.9 million due to an increase in the commissions owed to us by the insurance carriers.</w:t>
      </w:r>
    </w:p>
    <w:p>
      <w:pPr>
        <w:spacing w:after="0" w:line="59"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prepaid and other assets of $23.9 million due primarily to growth in expected clawbacks from payments made to agents for policies sold.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accounts receivable of $13.6 million due primarily to 77% growth in activated policies.</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accounts payable of $12.7 million due primarily to increase in expected commissions to be paid to carriers as a result of clawbacks.</w:t>
      </w:r>
    </w:p>
    <w:p>
      <w:pPr>
        <w:spacing w:after="0" w:line="59" w:lineRule="exact"/>
        <w:rPr>
          <w:rFonts w:ascii="Arial" w:cs="Arial" w:eastAsia="Arial" w:hAnsi="Arial"/>
          <w:sz w:val="18"/>
          <w:szCs w:val="18"/>
          <w:color w:val="auto"/>
        </w:rPr>
      </w:pPr>
    </w:p>
    <w:p>
      <w:pPr>
        <w:ind w:left="880" w:right="640" w:hanging="224"/>
        <w:spacing w:after="0" w:line="27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other current liabilities of $12.4 million due primarily to a reclassification of contract asset balances to contract liabilities.</w:t>
      </w:r>
    </w:p>
    <w:p>
      <w:pPr>
        <w:spacing w:after="0" w:line="154" w:lineRule="exact"/>
        <w:rPr>
          <w:sz w:val="20"/>
          <w:szCs w:val="20"/>
          <w:color w:val="auto"/>
        </w:rPr>
      </w:pPr>
    </w:p>
    <w:p>
      <w:pPr>
        <w:ind w:left="120" w:right="80" w:firstLine="551"/>
        <w:spacing w:after="0" w:line="266" w:lineRule="auto"/>
        <w:rPr>
          <w:sz w:val="20"/>
          <w:szCs w:val="20"/>
          <w:color w:val="auto"/>
        </w:rPr>
      </w:pPr>
      <w:r>
        <w:rPr>
          <w:rFonts w:ascii="Arial" w:cs="Arial" w:eastAsia="Arial" w:hAnsi="Arial"/>
          <w:sz w:val="17"/>
          <w:szCs w:val="17"/>
          <w:color w:val="auto"/>
        </w:rPr>
        <w:t>For the year ended December 31, 2023, cash used in operating activities was $37.1 million. This was driven primarily by net income of $1.7 million, non-cash expenses of $5.7 million related to depreciation and amortization, an increase in commissions receivable of $29.1 million relating to an increase in volume of activated policies sold in the year ended December 31, 2023, $3.6 million related to stock-based compensation, and non-cash income of $3.6 million related to the amortization of discounts and premiums of investments.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10"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Our primary investing activities during the periods presented included purchases, sales and maturities of short-term and long-term investments.</w:t>
      </w:r>
    </w:p>
    <w:p>
      <w:pPr>
        <w:spacing w:after="0" w:line="15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For the year ended December 31, 2024, net cash used in investing activities was $0.9 million. This was primarily due to purchases of investments of $154.7 million offset by proceeds from maturity and sale of investments of $158.4 million.</w:t>
      </w:r>
    </w:p>
    <w:p>
      <w:pPr>
        <w:spacing w:after="0" w:line="15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For the year ended December 31, 2023, net cash used in investing activities was $9.2 million. This was primarily due to purchases of investments of $154.2 million offset by proceeds from maturity and sale of investments of $149.9 million.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 (Used In) Financing Activities</w:t>
      </w:r>
    </w:p>
    <w:p>
      <w:pPr>
        <w:spacing w:after="0" w:line="210"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Our financing activities during the periods presented consisted primarily of proceeds or repayments related to liabilities related to sale of commissions receivable.</w:t>
      </w:r>
    </w:p>
    <w:p>
      <w:pPr>
        <w:spacing w:after="0" w:line="15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For the year ended December 31, 2024, cash provided by financing activities was $21.9 million, which primarily consisted of proceeds from the sale of commissions receivable of $23.6 million, offset by repayments of the liabilities related to the sale of commissions receivable of $1.9 million. In December 2024, we sold a portion of our commissions receivable to an unaffiliated third party re-insurer for upfront cash, as further described in Note 11 to our consolidated financial statements included elsewhere in this prospectus. We may consider entering into such arrangements in the future depending on our capital and business needs.</w:t>
      </w:r>
    </w:p>
    <w:p>
      <w:pPr>
        <w:spacing w:after="0" w:line="176" w:lineRule="exact"/>
        <w:rPr>
          <w:sz w:val="20"/>
          <w:szCs w:val="20"/>
          <w:color w:val="auto"/>
        </w:rPr>
      </w:pPr>
    </w:p>
    <w:p>
      <w:pPr>
        <w:ind w:left="120" w:right="940" w:firstLine="551"/>
        <w:spacing w:after="0" w:line="271" w:lineRule="auto"/>
        <w:rPr>
          <w:sz w:val="20"/>
          <w:szCs w:val="20"/>
          <w:color w:val="auto"/>
        </w:rPr>
      </w:pPr>
      <w:r>
        <w:rPr>
          <w:rFonts w:ascii="Arial" w:cs="Arial" w:eastAsia="Arial" w:hAnsi="Arial"/>
          <w:sz w:val="18"/>
          <w:szCs w:val="18"/>
          <w:color w:val="auto"/>
        </w:rPr>
        <w:t>For the year ended December 31, 2023, cash used in financing activities was $(1.6) million, which primarily consisted of repayments of the liabilities related to the sale of commissions receivable.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4"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Our operating lease commitments primarily include corporate offices. As of December 31, 2024, we had fixed lease payment obligations of $2.9 million, with $0.9 million to be paid within 12 months and the remainder thereafter. For additional discussion on our operating leases, see Note 10 to our audited consolidated financial statements included elsewhere in this prospectus.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long-term borrowings as of December 31, 2024.</w:t>
      </w:r>
    </w:p>
    <w:p>
      <w:pPr>
        <w:spacing w:after="0" w:line="21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We invest our excess cash primarily in commercial paper and money market accounts. Our current investment strategy seeks first to preserve principal, second to provide liquidity for our operating and capital needs and third to maximize yield without putting our principal at risk.</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investments are exposed to market risk due to the fluctuation of prevailing interest rates that may reduce the yield on our investments or their fair value. We do not believe an immediate 10% increase in interest rates would have a material effect on the fair market value of our portfolio, and therefore we do not expect our results of operations or cash flows to be materially affected to any degree by a sudden change in market interest rates.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functional currencies of our foreign subsidiaries are the respective local currencies. Substantially all of our sales are denominated in U.S. dollars, and therefore our revenue is not currently subject to any significant foreign currency risk. Our operating expenses are denominated in the currencies of the countries in which our operations are located, which are primarily in the United States, Singapore and India. Our consolidated results of operations and cash flows are, therefore, subject to fluctuations due to changes in foreign currency exchange rates and may be adversely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affected in the future due to changes in foreign currency exchange rates. To date, we have not entered into any hedging arrangements with respect to foreign currency risk or other derivative financial instruments. We do not believe a hypothetical 10% increase or decrease in the relative value of the U.S. dollar to other currencies would have a material effect on our operating results.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to our consolidated financial statements included elsewhere in this prospectus,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Revenue is recognized when control of the promised goods or services is transferred to the customer, in the amount that reflects the consideration we expect to receive in exchange for those goods or services.</w:t>
      </w:r>
    </w:p>
    <w:p>
      <w:pPr>
        <w:spacing w:after="0" w:line="15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revenue comes in the form of commissions paid to us by insurance carriers for the provision of placement and TPA services. We recognize revenue when a customer obtains control of promised goods or services and recognizes an amount that reflects the consideration that an entity expects to receive in exchange for those goods or services. We apply the following five step model in order to determine this amount: (i) identification of the contract with a customer; (ii) identification of the performance obligations in the contract,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primary customers are the insurance carriers that it contracts with to provide placement and/or TPA services through direct and indirect sales channels, related to consumers and partnerships with insurance agencies, respectively. We earn commissions for first year and renewal policies from the insurance carriers for both placement and TPA services. The contracts with the insurance carriers are non-exclusive and can typically be terminated unilaterally by either party. We review individual contracts to determine our legal and enforceable rights to renewal commissions upon contract termination when determining variable consideration.</w:t>
      </w:r>
    </w:p>
    <w:p>
      <w:pPr>
        <w:spacing w:after="0" w:line="176"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review each contract with customers to determine what promises we must deliver and which of these promises are capable of being distinct and are distinct in the context of the contract. The delivery of new policyholders to the insurance carriers is the only material promise specified within the contracts. After a policy is sold, we have no material additional or recurring obligations to the policyholder or the insurance carrier.</w:t>
      </w:r>
    </w:p>
    <w:p>
      <w:pPr>
        <w:spacing w:after="0" w:line="17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Our contracts do not include downstream policyholder activities such as claims support or payment collection services. While the primary promise is the sale of policies, some contracts include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the promise to provide TPA services to policyholders on behalf of the insurance carrier such as responding to policyholder inquiries regarding coverage or providing proof of insurance. We have reviewed and do not have any material ongoing costs for the provision of insurance placement or TPA services. As a result, for a given policy, our performance obligation to insurance carriers is met upon the issuance and activation of an insurance policy.</w:t>
      </w:r>
    </w:p>
    <w:p>
      <w:pPr>
        <w:spacing w:after="0" w:line="174" w:lineRule="exact"/>
        <w:rPr>
          <w:sz w:val="20"/>
          <w:szCs w:val="20"/>
          <w:color w:val="auto"/>
        </w:rPr>
      </w:pPr>
    </w:p>
    <w:p>
      <w:pPr>
        <w:jc w:val="both"/>
        <w:ind w:left="120" w:right="300" w:firstLine="551"/>
        <w:spacing w:after="0" w:line="244" w:lineRule="auto"/>
        <w:rPr>
          <w:sz w:val="20"/>
          <w:szCs w:val="20"/>
          <w:color w:val="auto"/>
        </w:rPr>
      </w:pPr>
      <w:r>
        <w:rPr>
          <w:rFonts w:ascii="Arial" w:cs="Arial" w:eastAsia="Arial" w:hAnsi="Arial"/>
          <w:sz w:val="18"/>
          <w:szCs w:val="18"/>
          <w:color w:val="auto"/>
        </w:rPr>
        <w:t>The transaction price is the amount of consideration we expect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w:t>
      </w:r>
    </w:p>
    <w:p>
      <w:pPr>
        <w:spacing w:after="0" w:line="17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For renewal commissions, we utilize the expected value approach. This approach is based on persistency to estimate renewal commissions at the time of policy activations considering historical data and performance, and we recognize adjustments in revenue for differences in actual commissions received versus persistency estimates. Our persistency estimates incorporate a combination of historical lapse and performance of the placed policy, available insurance carrier experience data, historical payment data by distribution channel, and insurance carrier to estimate forecasted renewal consideration and constrain revenue recognized to the extent that it is probable that a significant reversal in the amount of cumulative revenue recognized will not occur. The uncertainty associated with the variable consideration related to each periodic policy renewal is subsequently resolved when the policy renews, and adjustments in variable consideration are recognized in the period incurred.</w:t>
      </w:r>
    </w:p>
    <w:p>
      <w:pPr>
        <w:spacing w:after="0" w:line="180"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We recognize all commissions expected to be received over the expected life of the insurance policy at the policy effective date which is when it has completed its performance obligation for both placement and TPA services. At the policy effective date, we apply its management estimate of policyholder persistency; the attrition rate of policy holders who cease to maintain their insurance policy, due to cancellation or mortality, and accrues a churn reserve based on industry data and our experience in the industry and with different carriers.</w:t>
      </w:r>
    </w:p>
    <w:p>
      <w:pPr>
        <w:spacing w:after="0" w:line="15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continuously evaluate the assumptions and inputs into its calculation of renewal commissions. As a result of these continuous evaluations, we recognize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Commissions Receivable</w:t>
      </w:r>
    </w:p>
    <w:p>
      <w:pPr>
        <w:spacing w:after="0" w:line="10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The estimated variable consideration related to performance obligations that have been satisfied but for which payment is not yet due is classified as commissions receivable. Commissions receivable are contract assets and are reclassified as accounts receivable when the rights to payment become unconditional (upon renewal of the underlying policy). Commissions receivable represent the variable consideration for policies that have not renewed yet and therefore are subject to the same assumptions, judgments, and estimates used when recognizing revenue as noted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Liabilities Related to Sale of Commissions Receivable</w:t>
      </w:r>
    </w:p>
    <w:p>
      <w:pPr>
        <w:spacing w:after="0" w:line="10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From time to time, we enter into agreements to sell a portion of our commissions receivable. We account for the sale of future rights to commissions from insurance carriers as debt, amortized under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effective interest method. We have elected to use the prospective method in the calculation of the effective interest rate and will update this calculation quarterly when there are changes in the projected cash flows. The amortization of the liabilities is based on our current estimates of future commission payments, which represents the variable consideration for policies that have not renewed yet and therefore are subject to the same assumptions, judgments and estimates used when recognizing revenue as noted above.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left="120" w:right="60" w:firstLine="551"/>
        <w:spacing w:after="0" w:line="257" w:lineRule="auto"/>
        <w:rPr>
          <w:sz w:val="20"/>
          <w:szCs w:val="20"/>
          <w:color w:val="auto"/>
        </w:rPr>
      </w:pPr>
      <w:r>
        <w:rPr>
          <w:rFonts w:ascii="Arial" w:cs="Arial" w:eastAsia="Arial" w:hAnsi="Arial"/>
          <w:sz w:val="17"/>
          <w:szCs w:val="17"/>
          <w:color w:val="auto"/>
        </w:rPr>
        <w:t>We measure and recognize our stock-based compensation expense for stock options based on the estimated fair value of the award. We use the Black-Scholes-Merton pricing model to determine the grant date fair value of stock options. For awards with service conditions only, stock-based compensation expense is recognized on a straight-line basis over the requisite service period of the awards, which is generally the vesting period. For awards with both a time and liquidity event condition, stock-based compensation expense is recognized using the accelerated-attribution method over the estimated vesting period of the awards if and when we conclude that it is probable that the liquidity event condition will be achieved. We reassess the probability of vesting at each reporting period for awards with liquidity event conditions and adjust compensation expense based on its probability assessment. We account for forfeitures as they occur.</w:t>
      </w:r>
    </w:p>
    <w:p>
      <w:pPr>
        <w:spacing w:after="0" w:line="168"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We measure and recognize our stock-based compensation expense for RSUs based on the estimated fair value of the underlying common stock on the date of grant. Our RSUs vest upon the satisfaction of both a time and liquidity event condition. We recognize compensation expense for awards with both a time and liquidity event condition on a straight-line basis over the requisite service period for each separately vesting portion of the award and, for awards with liquidity event conditions, when we conclude it is probable that the liquidity event condition will be achieved. We reassess the probability of vesting at each balance sheet date and adjust compensation expense based on the probability assessment.</w:t>
      </w:r>
    </w:p>
    <w:p>
      <w:pPr>
        <w:spacing w:after="0" w:line="17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We continue to use judgment in evaluating the expected volatility and expected term utilized in our stock-based compensation expense calculation on a prospective basis. As we continue to accumulate additional data related to our common stock, we may refine our estimates of expected volatility and expected term, which could materially impact our future stock-based compensation expense.</w:t>
      </w:r>
    </w:p>
    <w:p>
      <w:pPr>
        <w:spacing w:after="0" w:line="16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As of         , 2025, total unrecognized stock-based compensation cost related to unvested RSUs was $        million, which is expected to be recognized over a weighted-average period of         years. Following the completion of this offering, stock-based compensation expense related to our RSUs will result in increases in our expenses in future periods, in particular the quarter in which this offering is completed for RSUs for which the service-based vesting condition will be fully or partially satisfied and for which the liquidity event condition will be satisfied upon the effectiveness of the registration statement of which this prospectus forms a part.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After the closing of this offering, based on RSUs outstanding as of             , 2025, we expect that approximately             ,</w:t>
      </w:r>
    </w:p>
    <w:p>
      <w:pPr>
        <w:spacing w:after="0" w:line="14" w:lineRule="exact"/>
        <w:rPr>
          <w:sz w:val="20"/>
          <w:szCs w:val="20"/>
          <w:color w:val="auto"/>
        </w:rPr>
      </w:pPr>
    </w:p>
    <w:p>
      <w:pPr>
        <w:ind w:left="120" w:right="340" w:hanging="4"/>
        <w:spacing w:after="0" w:line="242"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 and         RSUs will satisfy their service-based vesting conditions by each of         ,         , and         , respectively, assuming no forfeitures. We may delay the settlement of certain of these vested RSUs until after the expiration of lock-up agreements and market stand-off provisions described elsewhere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Valuations</w:t>
      </w:r>
    </w:p>
    <w:p>
      <w:pPr>
        <w:spacing w:after="0" w:line="10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Since June 2018, we have obtained periodic valuation analyses prepared by independent third-party valuation firms to assist us with the determination of the fair value of our common stock.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valuation firms utilized approaches and methodologies consistent with the American Institute of Certified Public Accountants Practice Aid, Valuation of Privately-Held-Company Equity Securities Issued as Compensation and information provided by our management, including historical and projected financial statements, prospects and risks, our performance, various corporate documents, capitalization, and economic and financial market conditions. The third-party valuation firms also utilized other economic, industry, and market information obtained from other resources considered reliable. The valuation analyses were reviewed by management and the board of directors in conjunction with stock-based compensation grants. Management and our board of directors have considered these valuation analyses and other qualitative and quantitative factors to determine the best estimate of the fair value of our common stock at each stock option, RSU, or warrant grant date. These factors included:</w:t>
      </w:r>
    </w:p>
    <w:p>
      <w:pPr>
        <w:spacing w:after="0" w:line="86" w:lineRule="exact"/>
        <w:rPr>
          <w:sz w:val="20"/>
          <w:szCs w:val="20"/>
          <w:color w:val="auto"/>
        </w:rPr>
      </w:pPr>
    </w:p>
    <w:p>
      <w:pPr>
        <w:ind w:left="880" w:right="48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at periodic intervals, performed by independent third-party specialists;</w:t>
      </w:r>
    </w:p>
    <w:p>
      <w:pPr>
        <w:spacing w:after="0" w:line="59" w:lineRule="exact"/>
        <w:rPr>
          <w:rFonts w:ascii="Arial" w:cs="Arial" w:eastAsia="Arial" w:hAnsi="Arial"/>
          <w:sz w:val="18"/>
          <w:szCs w:val="18"/>
          <w:color w:val="auto"/>
        </w:rPr>
      </w:pPr>
    </w:p>
    <w:p>
      <w:pPr>
        <w:ind w:left="880" w:right="50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prices, right, preferences, and privileges of our redeemable convertible preferred stock relative to those of our common stock;</w:t>
      </w:r>
    </w:p>
    <w:p>
      <w:pPr>
        <w:spacing w:after="0" w:line="59"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prices paid for redeemable convertible preferred stock sold to third-party investors by our Company and prices paid in secondary transactions for shares repurchased by us in arm’s-length transactions, including any tender offers;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actual operating and financial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operational, financial, and market performance of companies considered comparable to our Company;</w:t>
      </w:r>
    </w:p>
    <w:p>
      <w:pPr>
        <w:spacing w:after="0" w:line="117"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likelihood of achieving certain liquidity events, such as a sale or merger or initial public offering, or IPO, given prevailing market conditions;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The valuation analyses employed market and income approaches to estimate our enterprise value and allocated our enterprise value among our various equity classes utilizing option pricing, or OPM, and probability-weighted expected return, or PWERM, methods. The valuation analyses were based on contemporaneous information as of each respective valuation date.</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Under the income approach, specifically the discounted cash flow, or DCF method, forecast cash flows are discounted to the present value at a risk-adjusted discount rate. The valuation analyses determine discrete free cash flows over several years based on forecast financial information provided by our management and a terminal value for the residual period beyond the discrete forecast, which are discounted at our estimated weighted average cost of capital to estimate our enterprise value.</w:t>
      </w:r>
    </w:p>
    <w:p>
      <w:pPr>
        <w:spacing w:after="0" w:line="174" w:lineRule="exact"/>
        <w:rPr>
          <w:sz w:val="20"/>
          <w:szCs w:val="20"/>
          <w:color w:val="auto"/>
        </w:rPr>
      </w:pPr>
    </w:p>
    <w:p>
      <w:pPr>
        <w:ind w:left="120" w:right="40" w:firstLine="551"/>
        <w:spacing w:after="0" w:line="259" w:lineRule="auto"/>
        <w:rPr>
          <w:sz w:val="20"/>
          <w:szCs w:val="20"/>
          <w:color w:val="auto"/>
        </w:rPr>
      </w:pPr>
      <w:r>
        <w:rPr>
          <w:rFonts w:ascii="Arial" w:cs="Arial" w:eastAsia="Arial" w:hAnsi="Arial"/>
          <w:sz w:val="17"/>
          <w:szCs w:val="17"/>
          <w:color w:val="auto"/>
        </w:rPr>
        <w:t>Under the market approach, the guideline public company method and subject company transaction method were considered. The guideline public company method involves selecting publicly traded companies with similar financial and operating characteristics as us and calculating valuation multiples based on the guideline public company’s financial information and market data. Based on the observed valuation multiples, an appropriate multiple was selected to apply to our financial statistics. The same set of guideline public companies was utilized for both the common stock valuation and the expected volatility estimate for the valuation of the stock-based compensation awards. The subject company transaction method involves the utilization of a company’s own relevant stock transactions, such as 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issuance, to calculate the enterprise value based on the transaction price of the stock.</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After determining an estimate of the fair value of the enterprise, the valuation analyses allocated the enterprise value among the equity classes outstanding at each valuation date utilizing the OPM, specifically the Black-Scholes-Merton option pricing model. The OPM requires inputs for the exercise price, term, expected volatility, and risk-free rate. The exercise prices were calculated based on the enterprise values at which the equity classes either begin or stop participating in the next incremental enterprise value, which were determined based on the liquidation preferences and conversion rights of each equity class. The term was the estimated time to a liquidity event, such as a sale or merger or IPO, which was determined based on information provided by our management and outside research. The expected volatility for the enterprise was estimated based on a historical analysis of publicly traded companies with similar financial and operating characteristics as us and consideration of the relative differences between us and the selected comparable companies, such as stage of development, earning margins, leverage, and other risk factors. The risk-free rates were based on U.S. treasury securities with terms to maturity consistent with the estimated time to a liquidity event.</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PWERM was utilized starting on May 31, 2024, which was determined to be appropriate given the expectation of a liquidity event in the near-term (approximately zero to two years) and a more discrete distribution of likely liquidity events. Under the PWERM, the fair value of common stock is estimated based on likely liquidity event scenarios. For each identified liquidity scenario, it is necessary to estimate the timing to a liquidity event, future enterprise value, probability of occurrence, and risk-adjusted discount rate. The valuation analyses estimated the future enterprise values utilizing the guideline public company method and information provided by our management. The timing to each liquidity event and the probability of occurrence were estimated based on information provided by our management and outside research. The risk-adjusted discount rates were estimated based on market data and outside research of required rates of return for companies at a similar stage of development and risk factors. The future enterprise values under each scenario were allocated to the various equity classes based on the liquidation preferences and conversion rights of each equity class. The future values for each equity class under each scenario were discounted to a present value at the selected risk-adjusted discount rate. The present values under each scenario were probability-weighted to determine the value of common stock before applicable discounts.</w:t>
      </w:r>
    </w:p>
    <w:p>
      <w:pPr>
        <w:spacing w:after="0" w:line="186"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After obtaining the value allocated to the common stock under either the OPM or PWERM, a discount was considered to adjust for the fact that a share of common stock is a minority, non-marketable interest. The discounts are determined based on qualitative and quantitative analyses.</w:t>
      </w:r>
    </w:p>
    <w:p>
      <w:pPr>
        <w:spacing w:after="0" w:line="169"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We derived the estimated fair value per share as of each grant date by applying a linear proration of fair values between the valuation performed immediately prior to each set of grants and the valuation performed after each set of grants.</w:t>
      </w:r>
    </w:p>
    <w:p>
      <w:pPr>
        <w:spacing w:after="0" w:line="154"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As of         , total unrecognized compensation expense, adjusted for estimated forfeitures, related to non-vested awards was $        million, which is expected to be recognized over the next         years.</w:t>
      </w:r>
    </w:p>
    <w:p>
      <w:pPr>
        <w:spacing w:after="0" w:line="154"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Based upon an estimated offering price of $        per share, which is the midpoint of the offering price range set forth on the cover page of this prospectus, the options and warrants would have an intrinsic value of approximately $        million.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prospectus for a description of recently adopted accounting pronouncements and recently issued accounting pronouncements not yet adopted.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Mission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mission is to protect families by democratizing access to life insurance and empowering agents at scale.</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To achieve this mission, we built Ethos, a three-sided technology platform that transforms the buying, selling, and risk management experience of life insurance for consumers, agents, and carriers alike.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Problem with the Legacy Life Insurance Process</w:t>
      </w:r>
    </w:p>
    <w:p>
      <w:pPr>
        <w:spacing w:after="0" w:line="102"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Life insurance is a pillar of financial security. It provides individuals and their families peace of mind and financial protection against unforeseen events.</w:t>
      </w:r>
    </w:p>
    <w:p>
      <w:pPr>
        <w:spacing w:after="0" w:line="154"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color w:val="auto"/>
        </w:rPr>
        <w:t>While technology has transformed almost every important personal and financial experience, from education to buying a home, banking, or investing, the experience of purchasing, selling, and administering life insurance has not meaningfully improved in several decades:</w:t>
      </w:r>
    </w:p>
    <w:p>
      <w:pPr>
        <w:spacing w:after="0" w:line="74" w:lineRule="exact"/>
        <w:rPr>
          <w:sz w:val="20"/>
          <w:szCs w:val="20"/>
          <w:color w:val="auto"/>
        </w:rPr>
      </w:pPr>
    </w:p>
    <w:p>
      <w:pPr>
        <w:ind w:left="880" w:right="76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Consumers today face slow, complex, and opaque application processes that often discourage them from</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the coverage they need.</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Agents are required to navigate complex underwriting guidelines and rely on legacy, disparate technology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distract from insurance sales, create long sales cycles, and make case management labor-intensive.</w:t>
      </w:r>
    </w:p>
    <w:p>
      <w:pPr>
        <w:spacing w:after="0" w:line="59"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Carriers rely on analog underwriting processes and siloed data, which limits the speed and scale at which they can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policies.</w:t>
      </w:r>
    </w:p>
    <w:p>
      <w:pPr>
        <w:spacing w:after="0" w:line="154" w:lineRule="exact"/>
        <w:rPr>
          <w:sz w:val="20"/>
          <w:szCs w:val="20"/>
          <w:color w:val="auto"/>
        </w:rPr>
      </w:pPr>
    </w:p>
    <w:p>
      <w:pPr>
        <w:jc w:val="both"/>
        <w:ind w:left="120" w:right="240" w:firstLine="551"/>
        <w:spacing w:after="0" w:line="247" w:lineRule="auto"/>
        <w:rPr>
          <w:sz w:val="20"/>
          <w:szCs w:val="20"/>
          <w:color w:val="auto"/>
        </w:rPr>
      </w:pPr>
      <w:r>
        <w:rPr>
          <w:rFonts w:ascii="Arial" w:cs="Arial" w:eastAsia="Arial" w:hAnsi="Arial"/>
          <w:sz w:val="18"/>
          <w:szCs w:val="18"/>
          <w:color w:val="auto"/>
        </w:rPr>
        <w:t>As a result, there is a significant need for a new approach to life insurance in the United States. In 2024, 42% of American adults recognized they needed life insurance coverage but did not purchase it due to multiple reasons, notably the complexity of the products, perceived cost, and other financial priorities, according to the Life Insurance Marketing and Research Association, or LIMRA, a leading research organization for insurance and financial services companies.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Proposition to Consumers, Agents, and Carriers</w:t>
      </w:r>
    </w:p>
    <w:p>
      <w:pPr>
        <w:spacing w:after="0" w:line="102" w:lineRule="exact"/>
        <w:rPr>
          <w:sz w:val="20"/>
          <w:szCs w:val="20"/>
          <w:color w:val="auto"/>
        </w:rPr>
      </w:pPr>
    </w:p>
    <w:p>
      <w:pPr>
        <w:jc w:val="both"/>
        <w:ind w:left="120" w:right="280" w:firstLine="551"/>
        <w:spacing w:after="0" w:line="301" w:lineRule="auto"/>
        <w:rPr>
          <w:sz w:val="20"/>
          <w:szCs w:val="20"/>
          <w:color w:val="auto"/>
        </w:rPr>
      </w:pPr>
      <w:r>
        <w:rPr>
          <w:rFonts w:ascii="Arial" w:cs="Arial" w:eastAsia="Arial" w:hAnsi="Arial"/>
          <w:sz w:val="17"/>
          <w:szCs w:val="17"/>
          <w:color w:val="auto"/>
        </w:rPr>
        <w:t>Through our three-sided technology platform, we serve a growing ecosystem of consumers, agents, and carriers, each of which benefits from the scale, ease-of-use, and efficiency of our platform. This creates strong network effects that drive our continued growth.</w:t>
      </w:r>
    </w:p>
    <w:p>
      <w:pPr>
        <w:spacing w:after="0" w:line="131"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Since inception, we have activated approximately     policies, and as of December 31, 2024, we had over 10,000 active selling agents and six active carriers on our platform.</w:t>
      </w:r>
    </w:p>
    <w:p>
      <w:pPr>
        <w:spacing w:after="0" w:line="59" w:lineRule="exact"/>
        <w:rPr>
          <w:sz w:val="20"/>
          <w:szCs w:val="20"/>
          <w:color w:val="auto"/>
        </w:rPr>
      </w:pPr>
    </w:p>
    <w:p>
      <w:pPr>
        <w:ind w:left="880" w:right="20" w:hanging="224"/>
        <w:spacing w:after="0" w:line="25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Our platform is designed to enable agents to sell more policies and get paid quickly across a broad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We provide agents with an all-in-one agent operating system, or Agent OS, that streamlines quoting, application submission, and policy management. This reduces case management work and streamlines payments infrastructure, all of which substantially increase an agent’s time available to prospect and sell.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line="25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profitability, as carriers assume the insurance risk of the underlying policies. We do not assume balance sheet risk for the policies on our platform.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Platform</w:t>
      </w:r>
    </w:p>
    <w:p>
      <w:pPr>
        <w:spacing w:after="0" w:line="10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8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and Whole Life Insurance products, Indexed Universal Life Insurance and Accidental Death Insurance, as well as Wills &amp; Estate Planning. As a result, we have achieved significant scale with broad demographic and geographic distribution. We have activated approximately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02" w:lineRule="exact"/>
        <w:rPr>
          <w:sz w:val="20"/>
          <w:szCs w:val="20"/>
          <w:color w:val="auto"/>
        </w:rPr>
      </w:pPr>
    </w:p>
    <w:p>
      <w:pPr>
        <w:ind w:left="120" w:right="540" w:firstLine="551"/>
        <w:spacing w:after="0" w:line="253" w:lineRule="auto"/>
        <w:rPr>
          <w:sz w:val="20"/>
          <w:szCs w:val="20"/>
          <w:color w:val="auto"/>
        </w:rPr>
      </w:pPr>
      <w:r>
        <w:rPr>
          <w:rFonts w:ascii="Arial" w:cs="Arial" w:eastAsia="Arial" w:hAnsi="Arial"/>
          <w:sz w:val="18"/>
          <w:szCs w:val="18"/>
          <w:color w:val="auto"/>
        </w:rPr>
        <w:t>Our business model is capital and asset light and highly scalable. In contrast to a traditional carrier model, we do not assume balance sheet risk for the policies sold on our platform. We power the technology, distribution, digital underwriting, and consumer experience while our insurance carriers assume the underlying insurance risk of the policies.</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achieved significant scale and rapid growth, and have expanded our margins since inception. The number of activated policies on our platform increased by 77% from 72,018 in the year ended December 31, 2023 to 127,018 in the year ended December 31, 2024. Our revenue for the years ended December 31, 2023 and 2024 was $160 million and $255 million, respectively, representing an increase of 60%. Over the same period, we also increased our gross profit margin from 96% to 97%, respectively, and Contribution Margin from 32% to 41%, respectively. In the years ended December 31, 2023 and 2024, our net income margin was 1% and 19%, and our Adjusted EBITDA Margin increased from 4% to 23%. For more information about Contribution Margin and Adjusted EBITDA Margin, including the limitations of such measures and a reconciliation of each metric to its most directly comparable financial measure under GAAP, see the section titled “Management’s Discussion and Analysis of Financial Condition and Results of Operations–Key Business Metrics and Non-GAAP Financial Measures.”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Ethos Platform</w:t>
      </w:r>
    </w:p>
    <w:p>
      <w:pPr>
        <w:spacing w:after="0" w:line="104" w:lineRule="exact"/>
        <w:rPr>
          <w:sz w:val="20"/>
          <w:szCs w:val="20"/>
          <w:color w:val="auto"/>
        </w:rPr>
      </w:pPr>
    </w:p>
    <w:p>
      <w:pPr>
        <w:ind w:left="120" w:right="440" w:firstLine="551"/>
        <w:spacing w:after="0" w:line="253" w:lineRule="auto"/>
        <w:rPr>
          <w:sz w:val="20"/>
          <w:szCs w:val="20"/>
          <w:color w:val="auto"/>
        </w:rPr>
      </w:pPr>
      <w:r>
        <w:rPr>
          <w:rFonts w:ascii="Arial" w:cs="Arial" w:eastAsia="Arial" w:hAnsi="Arial"/>
          <w:sz w:val="18"/>
          <w:szCs w:val="18"/>
          <w:color w:val="auto"/>
        </w:rPr>
        <w:t>We operate a vertically integrated platform transforming how life insurance is bought and sold through end-to-end distribution, underwriting, and policy administration. Our platform is natively built on a unified data infrastructure and our technology allows for continuous platform improvement, creating network effects as we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5186045" cy="2065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Vertically Integrated</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vertical integration yields comprehensive data and insights across the value chain, enabling us to deliver superior value to consumers, agents, and carriers, while continuously improving our platform. By integrating multiple carriers on our unified platform, we are also able to offer a wider array of products tailored to various consumer profiles, creating a significant competitive advantage that compounds over time and helps us achieve our mission of democratizing access to life insurance.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We believe we have transformed distribution for constituents in the life insurance value chain, simplifying and improving the policy experience for consumers, agents, and carriers alike.</w:t>
      </w:r>
    </w:p>
    <w:p>
      <w:pPr>
        <w:spacing w:after="0" w:line="15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We serve consumers by unifying the direct-to-consumer, or DTC, and third-party distribution channels on a single digital platform. This integrated model creates powerful flywheel effects: consumer marketing drives brand visibility and inbound interest from agents leading to higher sales and data captured from both channels that collectively improve our platform.</w:t>
      </w:r>
    </w:p>
    <w:p>
      <w:pPr>
        <w:spacing w:after="0" w:line="169" w:lineRule="exact"/>
        <w:rPr>
          <w:sz w:val="20"/>
          <w:szCs w:val="20"/>
          <w:color w:val="auto"/>
        </w:rPr>
      </w:pPr>
    </w:p>
    <w:p>
      <w:pPr>
        <w:ind w:left="120" w:right="520" w:firstLine="551"/>
        <w:spacing w:after="0" w:line="253" w:lineRule="auto"/>
        <w:rPr>
          <w:sz w:val="20"/>
          <w:szCs w:val="20"/>
          <w:color w:val="auto"/>
        </w:rPr>
      </w:pPr>
      <w:r>
        <w:rPr>
          <w:rFonts w:ascii="Arial" w:cs="Arial" w:eastAsia="Arial" w:hAnsi="Arial"/>
          <w:sz w:val="18"/>
          <w:szCs w:val="18"/>
          <w:color w:val="auto"/>
        </w:rPr>
        <w:t>Our data engine and machine learning models identify patterns from historical consumer cohorts and use that data to predict purchase behavior, consumer lifetime values, and underwriting outcomes early in the funnel, improving our targeting while offering consumers an experience that is personalized to their needs.</w:t>
      </w:r>
    </w:p>
    <w:p>
      <w:pPr>
        <w:spacing w:after="0" w:line="16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Our platform also integrates with third-party channels such as fintech companies via application programming interfaces, or APIs, allowing these companies to quote, process, and activate policies within their own platform. This further expands our reach and reinforces our distribution.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w:t>
      </w:r>
    </w:p>
    <w:p>
      <w:pPr>
        <w:spacing w:after="0" w:line="10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Our proprietary underwriting engine leverages real-time, sophisticated data analytics designed to deliver faster decision-making and higher approval rates at competitive prices compared to traditional models.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Traditional underwriting often requires in-person blood tests, urine analysis, and medical exams, as well as time-intensive, static, fillable forms. Such processes can take several weeks and subsequently can result in denial of coverage. With our digital technology platform, the majority of applicants receive a decision within ten minutes of starting their application. We leverage the services of reputable third-party vendors to efficiently obtain necessary medical information for our underwriting system to provide carriers with the information they need to approve policy issuances. These vendors source data including credit-based insurance scores, driving records, prescription data, medical records, and other consumer information. Further, as we grow in scale and collect more data, we continue to refine and improve our underwriting system’s decision-making accuracy, allowing us to maintain our approval speeds while staying within our carriers’ acceptable ranges of mortality predictiveness. For example, our large and growing volume of policy applications gives us differentiated insights into decision-making accuracy across multiple risk dimensions, providing pricing adjustment insights and refinements to product-market fit, in addition to fueling the speed of approvals. We also work with our carriers to mitigate accuracy issues further through customer post-issue audits.</w:t>
      </w:r>
    </w:p>
    <w:p>
      <w:pPr>
        <w:spacing w:after="0" w:line="186"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Our underwriting engine ingests up to 250,000 data points per application, including prescription history, credit-based insurance scores, historical underwriting outcomes and motor vehicle records. Importantly, it is designed to intelligently determine which data is most relevant for each individual consumer, which minimizes both cost and friction in the process. Our underwriting engine then combines such relevant third-party data with consumer-submitted application data to create a proprietary information graph that allows us to identify and assess risk instantly in an individualized manner. This scale of data integration and evaluation is difficult to achieve and is powered by our proprietary technology. When paired with our comprehensive product suite spanning a broad array of risk profiles, 95% of applicants receive decisions instantly based on internal data compared to four to eight weeks on average for traditional underwriting processes.</w:t>
      </w:r>
    </w:p>
    <w:p>
      <w:pPr>
        <w:spacing w:after="0" w:line="168"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As a testament to our capabilities, many of our carriers entrust us with underwriting administration and execution. Our underwriting engine continuously improves with each application processed, refining logic-based rules for risk selection, optimizing pricing, and enhancing approval rates, which drives better unit economics for us and our carriers.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Policy Administration</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Our cloud-native policy administration system is able to automate significant portions of the full policy lifecycle, from issuance to servicing and policyholder payments. These services include dynamic contract generation, payment processing and reinstatements, endorsements (policy changes such as coverage amount or beneficiary updates), full servicing workflows (including consumer self-service), and structured data pipelines for auditing and compliance reporting. Owning our own policy administration stack allows us to deploy new product features, pricing updates, and carrier configurations in days, not quarters. This reduces unnecessary integration with, and reliance on, legacy carrier systems, which tend to be less flexible and therefore slower to iterate or improve.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Extensibility</w:t>
      </w:r>
    </w:p>
    <w:p>
      <w:pPr>
        <w:spacing w:after="0" w:line="102"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Our integrated distribution, underwriting, and policy administration capabilities enable us to efficiently develop and scale new products. We leverage ongoing feedback from agents, which is grounded in their understanding of consumer demand, to help guide product development. We also collaborate with carriers to introduce additional offerings that expand their distribution reach and broaden our product suite on our platform.</w:t>
      </w:r>
    </w:p>
    <w:p>
      <w:pPr>
        <w:spacing w:after="0" w:line="17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continue to remain active in product development, including launching Indexed Universal Life Insurance in September 2023 and enhancing the consumer experience for certain of our existing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products in 2024. We believe that our ability to rapidly develop and launch new products sets us apart. For example, we launched one of our most recent Term Life Insurance products in less than half of the industry average product development time based on average timelines cited in a 2023 Deloitte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213360</wp:posOffset>
            </wp:positionV>
            <wp:extent cx="5194935" cy="2074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9493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Network Effects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technology platform benefits from three key network effects:</w:t>
      </w:r>
    </w:p>
    <w:p>
      <w:pPr>
        <w:spacing w:after="0" w:line="117" w:lineRule="exact"/>
        <w:rPr>
          <w:sz w:val="20"/>
          <w:szCs w:val="20"/>
          <w:color w:val="auto"/>
        </w:rPr>
      </w:pPr>
    </w:p>
    <w:p>
      <w:pPr>
        <w:ind w:left="880" w:right="80" w:hanging="224"/>
        <w:spacing w:after="0" w:line="242"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Data Advantage: </w:t>
      </w:r>
      <w:r>
        <w:rPr>
          <w:rFonts w:ascii="Arial" w:cs="Arial" w:eastAsia="Arial" w:hAnsi="Arial"/>
          <w:sz w:val="18"/>
          <w:szCs w:val="18"/>
          <w:color w:val="auto"/>
        </w:rPr>
        <w:t>Because we vertically integrate the distribution, underwriting and administration of policies, we are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gather and utilize data across the entire consumer journey. As more consumers apply for policies through our platform, our machine-learning driven consumer intelligence engine strengthens and adapts, resulting in optimized targeting in marketing, better consumer experiences, and improved conversion, allowing us to scale efficiently. As we underwrite more policies, our underwriting engine leverages these insights to optimize our risk assessment, which improves the unit economics for us and our carriers.</w:t>
      </w:r>
    </w:p>
    <w:p>
      <w:pPr>
        <w:spacing w:after="0" w:line="84" w:lineRule="exact"/>
        <w:rPr>
          <w:rFonts w:ascii="Arial" w:cs="Arial" w:eastAsia="Arial" w:hAnsi="Arial"/>
          <w:sz w:val="18"/>
          <w:szCs w:val="18"/>
          <w:color w:val="auto"/>
        </w:rPr>
      </w:pPr>
    </w:p>
    <w:p>
      <w:pPr>
        <w:ind w:left="880" w:right="100" w:hanging="224"/>
        <w:spacing w:after="0" w:line="24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Platform Engagement: </w:t>
      </w:r>
      <w:r>
        <w:rPr>
          <w:rFonts w:ascii="Arial" w:cs="Arial" w:eastAsia="Arial" w:hAnsi="Arial"/>
          <w:sz w:val="18"/>
          <w:szCs w:val="18"/>
          <w:color w:val="auto"/>
        </w:rPr>
        <w:t>Our data advantage, increasing scale, and risk-management expertise lead to more carriers joining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incremental growth. As we add new carriers, our existing agents have a broader and more competitive suite of products to sell. This broader offering enables us to attract more agents and agencies onto our platform and strengthens our consumer value proposition and marketing efficiency.</w:t>
      </w:r>
    </w:p>
    <w:p>
      <w:pPr>
        <w:spacing w:after="0" w:line="79"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As more agents engage with our platform, we can more efficiently leverage the fixed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our platform across a larger agent base. This more efficient cost structure allows us to invest more heavily in improving our agent experience and agent incentives. These improvements help attract new agencies and grow our agent base, which further compounds our scale.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86045" cy="26060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Ecosystem — Who We Serve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connects thousands of consumers and agents, and multiple agencies and carriers daily.</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Consumers Choose Ethos: Life Insurance Reimagined for the Digital Age</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We aim to make buying life insurance as seamless and intuitive as any modern e-commerce experience—fast, transparent, and entirely online. We believe we have revolutionized the application process, enabling consumers to apply and receive decisions in minutes, not weeks. The consumer experience on the Ethos platform eliminates the cumbersome medical exams and extensive paperwork of traditional processes. Our NPS score is 71, compared to the carrier industry average of 14.</w:t>
      </w:r>
    </w:p>
    <w:p>
      <w:pPr>
        <w:spacing w:after="0" w:line="174"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We also believe in transparency and value. Consumers have traditionally faced an opaque and confusing array of policy options. Our consumers benefit from competitive pricing from the start, ensuring confidence in their coverage. We streamline life insurance selection with precision, recommending the optimal policy available on our platform for each consumer at a risk-adjusted price and ensuring clarity, confidence and the right coverage without unnecessary complexity or hidden surprises.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Agents Choose Ethos: Empowering Growth and Efficiency</w:t>
      </w:r>
    </w:p>
    <w:p>
      <w:pPr>
        <w:spacing w:after="0" w:line="21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Without Ethos, agents rely on antiquated technology with multiple logins, consumer relationship management, or CRM, platforms, contracting and compensation systems, and quoting tools that lead to fragmented and tedious consumer outreach and case management. Our operating system empowers agents to improve the efficiency of their outreach and increase conversion while making it easier to manage their business. Our end-to-end digital platform streamlines carrier contracting, quoting, applications, and policy management, freeing agents to focus on what they do best: selling policies, rather than administrative work. Additionally, we have added features and functionalities to our platform that help agencies recruit more agents, enhance agent efficiency, and boost overall productivity—delivering better outcomes for agencies, agents, carriers, and us.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With our agent platform, agents can enroll in minutes, acquire high-intent leads, sell a policy the same day, and get paid as early as the next day. Our CRM capabilities enable continuous and efficient engagement with current and prospective consumers. We believe our proprietary underwriting engine leads to faster approvals, helping agents close more policies in less time. Real-time tracking of consumer application status and automated payouts help agents optimize their cash flow, all while avoiding administrative burdens. Additionally, we enhance the agent experience through incentives and a structured loyalty program that rewards performance, encourages engagement, and fosters long-term retention. By making the sales process more rewarding and interactive, we help agents boost their productivity and stay motivated to grow their business with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Carriers Succeed with Us: Expanding Reach and Optimizing Risk</w:t>
      </w:r>
    </w:p>
    <w:p>
      <w:pPr>
        <w:spacing w:after="0" w:line="210" w:lineRule="exact"/>
        <w:rPr>
          <w:sz w:val="20"/>
          <w:szCs w:val="20"/>
          <w:color w:val="auto"/>
        </w:rPr>
      </w:pPr>
    </w:p>
    <w:p>
      <w:pPr>
        <w:jc w:val="both"/>
        <w:ind w:left="120" w:right="540" w:firstLine="551"/>
        <w:spacing w:after="0" w:line="247" w:lineRule="auto"/>
        <w:rPr>
          <w:sz w:val="20"/>
          <w:szCs w:val="20"/>
          <w:color w:val="auto"/>
        </w:rPr>
      </w:pPr>
      <w:r>
        <w:rPr>
          <w:rFonts w:ascii="Arial" w:cs="Arial" w:eastAsia="Arial" w:hAnsi="Arial"/>
          <w:sz w:val="18"/>
          <w:szCs w:val="18"/>
          <w:color w:val="auto"/>
        </w:rPr>
        <w:t>Our carriers are integral to our success. We are dedicated to helping carriers expand their consumer base through additional distribution, underwriting, and policy administration, as well as to bring new products to market quickly. For our top three carriers by distribution, who are also our longest tenured carriers and include Ameritas, Legal &amp; General America, and TruStage, we were their largest source of life insurance premiums in 2024.</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Carriers often still rely heavily on decades-old technology infrastructure. As a result, sales and underwriting cycles remain long and inefficient. Our platform provides carriers new growth opportunities by reaching digital-first consumers and a growing network of tech-enabled agents, with higher underwriting efficiencies. Our proprietary underwriting model uses real-time data to optimize risk assessment while maintaining strong risk controls. Our commitment to carriers is a top priority, and we take extensive steps to assess and improve the efficacy of our digital underwriting process. For example, we have performed over 100,000 post-issue audits on activated policies (approximately 25% of activated policies to date) to validate digital underwriting information. We also provide carriers with full-service policy administration, which minimizes their internal resource requirements and simplifies the path to distribution at scale. Our carriers enjoy seamless integration with our data infrastructure, which connects with existing systems for rapid deployment and value creation.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a Significant Coverage Gap for Life Insurance Today</w:t>
      </w:r>
    </w:p>
    <w:p>
      <w:pPr>
        <w:spacing w:after="0" w:line="10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Life insurance represents a vast market opportunity in the United States, driven by millions of life events each year that heighten the demand for comprehensive coverage. Welcoming a new child, purchasing a home, saving for higher education, reaching retirement age, or experiencing the loss of a loved one are examples of key life milestones that drive this demand. In 2024, 3.6 million children were born in America according to the Centers for Disease Control and Prevention, 5.0 million Americans purchased homes according to the U.S. Census Bureau and the National Association of Realtors, 19.3 million enrolled for college in the United States according to College Enrollment &amp; Student Demographic Statistics, 4.1 million Americans reached the age of 65 according to Alliance for Lifetime Income, and 12.5 million Americans mourned the loss of a loved one according to the Recovery Village Grief Statistics.</w:t>
      </w:r>
    </w:p>
    <w:p>
      <w:pPr>
        <w:spacing w:after="0" w:line="185" w:lineRule="exact"/>
        <w:rPr>
          <w:sz w:val="20"/>
          <w:szCs w:val="20"/>
          <w:color w:val="auto"/>
        </w:rPr>
      </w:pPr>
    </w:p>
    <w:p>
      <w:pPr>
        <w:ind w:left="120" w:right="20" w:firstLine="551"/>
        <w:spacing w:after="0" w:line="266" w:lineRule="auto"/>
        <w:rPr>
          <w:sz w:val="20"/>
          <w:szCs w:val="20"/>
          <w:color w:val="auto"/>
        </w:rPr>
      </w:pPr>
      <w:r>
        <w:rPr>
          <w:rFonts w:ascii="Arial" w:cs="Arial" w:eastAsia="Arial" w:hAnsi="Arial"/>
          <w:sz w:val="17"/>
          <w:szCs w:val="17"/>
          <w:color w:val="auto"/>
        </w:rPr>
        <w:t>These recurring life events result in a persistent annual influx of new consumers seeking life insurance. Despite this demand, a significant need gap persists. According to LIMRA, 42% of American adults in 2024 recognized a need for life insurance but were deterred by the perceived cost and complexity of the products. The industry’s lack of innovation and reliance on traditional methods create an opportunity for technology-driven solutions. Our platform leverages technology and network effects to increase our market share.</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cumbersome nature of legacy life insurance processes has led insurers and agents to increasingly focus on the high net worth segment, where the complexity and cost of servicing are offset by larger premiums and higher lifetime commission value. We believe this focus has left a significant untapped opportunity in the mass affluent and middle market segments, where there is a growing demand for simplified and accessible life insurance solutions. We are well positioned to address this gap by offering streamlined, technology-driven solutions that cater to a broader market segment, thereby expanding our reach and impact.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Ethos Addresses a Large and Growing Market Opportunity</w:t>
      </w:r>
    </w:p>
    <w:p>
      <w:pPr>
        <w:spacing w:after="0" w:line="21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Ethos effectively bridges the life insurance need gap by offering accessible coverage and underwriting 95% of applicants instantly based on internal data. Our core insurance products, Term Life Insurance, Whole Life Insurance, and Indexed Universal Life Insurance, represented an aggregate of $12.6 billion of annual new policy premiums in the industry for the year ended December 31, 2024. The markets for these products have demonstrated consistent demand through economic cycles, with an average of approximately 10 million individuals purchasing new policies annually over the past decade, according to the American Council of Life Insurers. As we expand into new products, such as Variable Universal Life and Fixed Indexed Annuities, our market opportunity could grow to over $140 billion of annual premiums.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Burden Existing Carriers Today</w:t>
      </w:r>
    </w:p>
    <w:p>
      <w:pPr>
        <w:spacing w:after="0" w:line="21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Traditional life insurers face challenges in bridging the life insurance need gap due to outdated infrastructure and the substantial investment required for modernization. With all of the top 20 carriers being over 100 years old, these insurers often focus on maintaining third-party provided legacy systems given the complexity associated with transitioning to new systems. Legacy processes often rely on human underwriters who manually review data, resulting in slow, inconsistent decision-making that limits scalability. Consequently, modern third-party provided systems lack the sophistication of our natively built platform and instead typically store data in disparate, inaccessible, poorly structured formats, complicating integration and analysis.</w:t>
      </w:r>
    </w:p>
    <w:p>
      <w:pPr>
        <w:spacing w:after="0" w:line="179" w:lineRule="exact"/>
        <w:rPr>
          <w:sz w:val="20"/>
          <w:szCs w:val="20"/>
          <w:color w:val="auto"/>
        </w:rPr>
      </w:pPr>
    </w:p>
    <w:p>
      <w:pPr>
        <w:ind w:left="120" w:right="220" w:firstLine="551"/>
        <w:spacing w:after="0" w:line="242" w:lineRule="auto"/>
        <w:rPr>
          <w:sz w:val="20"/>
          <w:szCs w:val="20"/>
          <w:color w:val="auto"/>
        </w:rPr>
      </w:pPr>
      <w:r>
        <w:rPr>
          <w:rFonts w:ascii="Arial" w:cs="Arial" w:eastAsia="Arial" w:hAnsi="Arial"/>
          <w:sz w:val="18"/>
          <w:szCs w:val="18"/>
          <w:color w:val="auto"/>
        </w:rPr>
        <w:t>Over the last decade, the life insurance industry has been transitioning from captive agents tied to a single carrier to independent agents offering products from multiple insurers. This trend is driven by consumer demand for choice, price transparency, and tailored coverage. According to LIMRA, independent agents distributed 53% of premiums in 2023, up 8% from 2013. This shift presents operational challenges for carriers, who must now compete in a broker-driven environment without a dedicated agent salesforce. Consequently, carriers need to invest in agent-friendly tools, simplify underwriting, and offer competitive products to attract independent agents and agencies focused on consumer value rather than brand loyalty.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Demand for DTC Sales Positions Ethos for Success</w:t>
      </w:r>
    </w:p>
    <w:p>
      <w:pPr>
        <w:spacing w:after="0" w:line="210"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According to LIMRA, approximately 90% of life insurance premiums are sold through agents. We believe DTC sales will continue to gain traction as consumers increasingly expect a digital end-to-end experience. The United States auto insurance sector has demonstrated this preference shift: Progressive wrote 56% of its personal auto premiums through DTC channels for the year ended December 31, 2024 according to company filings. Life insurance is undergoing a similar transformation, and we believe Ethos is positioned to lead and benefit from this transition with its modern, technology-first platform.</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Extensible Platform Drives Growth and Efficiency</w:t>
      </w:r>
    </w:p>
    <w:p>
      <w:pPr>
        <w:spacing w:after="0" w:line="210"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Our technology platform is extensible, enabling us to scale more rapidly and more efficiently than traditional carriers. Built on a unified data infrastructure, our digitally native platform can launch products quickly, enhance product design, and update pricing in real-time. This allows us to leverage platform development costs across a broad base of products and distribution, maximizing efficiency and return on investment. For example, we migrated an existing Whole Life Insurance product from a carrier purchase experience to our digitally native platform in during three months ended March 31, 2024. As a result, total policy activations for this product grew 314% in 2024 compared to 163% in 2023.</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Multi-Carrier Relationship Model Delivers Value to Consumers and Agents</w:t>
      </w:r>
    </w:p>
    <w:p>
      <w:pPr>
        <w:spacing w:after="0" w:line="21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Unlike traditional insurers that typically focus on specific market segments and risk classes, our business model encompasses a wide range of products and risk categories within the life insurance sector. We work with multiple carriers, including a range of established national insurers with varied underwriting capabilities and product strengths, selected based on how well their capabilities align with a product’s design, underwriting needs, and intended risk and customer profile. These carriers vary in their strengths across product types, such as Term Life Insurance, Whole Life, Indexed Universal Life Insurance, and Accidental Death Insurance.</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When evaluating a new product opportunity, we engage with multiple carriers to assess their interest level, underwriting capabilities, growth capacity, and willingness to support specific product characteristics, such as pricing structure, risk profile, and underwriting requirements. This approach enables us to select the carrier or carriers best positioned to support the product’s distribution, underwriting, and performance objectives. The optimal carrier partner may vary by product based on the factors above, and in some cases we also engage with multiple carriers for a particular product type. However, in all cases, we aim to select the carrier or carriers best suited to support our goals for each product on our platform.</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This flexible model allows us to offer diverse products with the most suitable carrier, driving strong demand from targeted consumer profiles. By maintaining multiple carrier relationships across product categories, we are able to expand our offerings to reach a broader range of consumer profiles and aim to better match applicants with the most suitable policies. This strategy is reflected in our product overview table set forth under “—Our Products” below, which demonstrates the breadth of our carrier relationships across the Ethos platform and sets out our specific product categories, their risk characteristics, and the related carriers issuing such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Diverse Go-to-Market Channels</w:t>
      </w:r>
    </w:p>
    <w:p>
      <w:pPr>
        <w:spacing w:after="0" w:line="210"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By leveraging both our DTC digital platform and extensive third-party channel, Ethos captures a wide array of consumer use cases and preferences, allowing us to evolve our platform in response to market demands and reinforce our data moat. We cater both to consumers who prefer the personalized agent experience and others who opt for the convenience of DTC. This diverse go-to-market approach allows us to reach a broader range of consumers across multiple geographies and income levels. Both strategies offer comprehensive advantages: the DTC channel provides direct consumer feedback, enabling us to refine interfaces and product features, while the third-party channel offers valuable market and product insights, informing our product and distribution roadmap.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Data Moat</w:t>
      </w:r>
    </w:p>
    <w:p>
      <w:pPr>
        <w:spacing w:after="0" w:line="21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a vertically integrated platform, Ethos collects extensive data and insights from consumer interactions and third-party data providers. Our closed-loop data system, which integrates consumer disclosures with reflexive application questions, continually refines our underwriting models. With over         cumulative policies activated since inception, Ethos has built a robust data moat that enhances accuracy, efficiency, and pricing as more consumer data flows through the platform. Given the complexity of life insurance underwriting, where rare conditions have an incidence rate of &lt;0.01%, this scale and diversity of data is crucial for enhancing our underwriting engine. Additionally, by integrating this data into our consumer acquisition engine, Ethos fine-tunes targeting, optimizes ad spend, and improves conversion rates. This comprehensive data integration translates into superior unit economics and competitive pricing across the ecosystem, Ethos, consumers, agents, and carriers, representing a notable barrier for new entrants.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Early Mover Advantage</w:t>
      </w:r>
    </w:p>
    <w:p>
      <w:pPr>
        <w:spacing w:after="0" w:line="210"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Ethos holds a powerful early mover advantage as one of the only scaled technology platforms in the life insurance industry. Our early market entry in 2018 has allowed us to forge long-standing strategic relationships with leading insurance carriers that share our commitment to digitization. Building relationships with carriers is a challenging task, as carriers set a high bar for entrusting a platform like ours with underwriting policies and managing risk on their behalf.</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This foundation has been further strengthened by significant technological advancements, particularly in our underwriting engine, which now instantly processes 95% of applications as of March 31, 2025, up from 73% in 2021 and 12% in 2019 based on internal data. Our cumulative investment since 2020 of over $ 650 million in sales, marketing, and research and development, or R&amp;D, has established a strong brand and technological edge. Central to these achievements is our carefully assembled team, whose specialized domain expertise has been instrumental in modernizing this antiquated, highly regulated sector. Together, these elements create a substantial barrier for potential entrants, positioning us well for continued growth.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Proven Track Record with Industry Leading Carriers</w:t>
      </w:r>
    </w:p>
    <w:p>
      <w:pPr>
        <w:spacing w:after="0" w:line="102" w:lineRule="exact"/>
        <w:rPr>
          <w:sz w:val="20"/>
          <w:szCs w:val="20"/>
          <w:color w:val="auto"/>
        </w:rPr>
      </w:pPr>
    </w:p>
    <w:p>
      <w:pPr>
        <w:ind w:left="120" w:right="360" w:firstLine="551"/>
        <w:spacing w:after="0" w:line="244" w:lineRule="auto"/>
        <w:rPr>
          <w:sz w:val="20"/>
          <w:szCs w:val="20"/>
          <w:color w:val="auto"/>
        </w:rPr>
      </w:pPr>
      <w:r>
        <w:rPr>
          <w:rFonts w:ascii="Arial" w:cs="Arial" w:eastAsia="Arial" w:hAnsi="Arial"/>
          <w:sz w:val="18"/>
          <w:szCs w:val="18"/>
          <w:color w:val="auto"/>
        </w:rPr>
        <w:t>Ethos has consistently demonstrated its ability to deliver exceptional value to our carriers. Our three longest tenured, active carriers, who are also our top carriers by distribution, have grown at an average compound annual growth rate, or CAGR, of 61% in annual premiums activated through Ethos from 2021 to 2024. For each of these carriers, we were their largest source of life insurance premiums in 2024. We believe that our track record in driving value for the carriers with whom we work not only helps us retain our existing carriers but also positions us as an attractive choice for new carrier relationships.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0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Attract More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We continue to attract more consumers by leveraging our rapidly growing data advantage,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strengthens as we scale. As our consumer base expands, our platform benefits from enhanced data and machine learning, enabling us to offer personalized interactions with our platform, more accurate underwriting, competitive pricing, and higher approval rates. This broadens our appeal and creates a virtuous cycle, where the influx of new consumers generates additional data, further enhancing customer satisfaction and attracting even more consumers to Ethos.</w:t>
      </w:r>
    </w:p>
    <w:p>
      <w:pPr>
        <w:spacing w:after="0" w:line="176"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b w:val="1"/>
          <w:bCs w:val="1"/>
          <w:i w:val="1"/>
          <w:iCs w:val="1"/>
          <w:color w:val="auto"/>
        </w:rPr>
        <w:t>Recruit More Agents and Increase Ethos’ Share of Our Agents’ Sales:</w:t>
      </w:r>
      <w:r>
        <w:rPr>
          <w:rFonts w:ascii="Arial" w:cs="Arial" w:eastAsia="Arial" w:hAnsi="Arial"/>
          <w:sz w:val="18"/>
          <w:szCs w:val="18"/>
          <w:color w:val="auto"/>
        </w:rPr>
        <w:t xml:space="preserve">  We have a strong network of over 10,000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agents on our platform as of December 31, 2024 and we are committed to expanding this network. We believe by providing agents with essential tools and offering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color w:val="auto"/>
        </w:rPr>
        <w:t>a streamlined experience, we boost their productivity and effectiveness, positioning Ethos as a preferred choice for agents. Additionally, we intend to continue investing in incentives that encourage agents to join and continue managing their business on our platform.</w:t>
      </w:r>
    </w:p>
    <w:p>
      <w:pPr>
        <w:spacing w:after="0" w:line="131"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b w:val="1"/>
          <w:bCs w:val="1"/>
          <w:i w:val="1"/>
          <w:iCs w:val="1"/>
          <w:color w:val="auto"/>
        </w:rPr>
        <w:t>Enhance Agent Productivity:</w:t>
      </w:r>
      <w:r>
        <w:rPr>
          <w:rFonts w:ascii="Arial" w:cs="Arial" w:eastAsia="Arial" w:hAnsi="Arial"/>
          <w:sz w:val="18"/>
          <w:szCs w:val="18"/>
          <w:color w:val="auto"/>
        </w:rPr>
        <w:t xml:space="preserve">  We have achieved significant success by equipping agents with our comprehensive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there are more enhancements to come. We will continue to invest in platform features to streamline the sales process and boost agent productivity to attract more agents and drive growth.</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Expand Our Product Portfolio:</w:t>
      </w:r>
      <w:r>
        <w:rPr>
          <w:rFonts w:ascii="Arial" w:cs="Arial" w:eastAsia="Arial" w:hAnsi="Arial"/>
          <w:sz w:val="18"/>
          <w:szCs w:val="18"/>
          <w:color w:val="auto"/>
        </w:rPr>
        <w:t xml:space="preserve">  Ethos has expanded from one product in 2019 to ten products as of December 31, 2024.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continue broadening the product offerings available on our platform and plan to launch two additional products, Cancer Insurance and Accumulation Indexed Universal Life Insurance, by the end of 2025. These new products are expected to be launched without the need for additional financing.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Ethos offers a comprehensive range of life-insurance and adjacent products: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Life Insurance</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Term Life Insurance policies offer coverage for a specified period, with a benefit paid to the designated beneficiary or beneficiaries if the insured passes away during the policy term. Our diverse portfolio of Term Life Insurance products accommodates a broad range of applicants—spanning various ages, health classifications, and policy sizes—enabling us to serve a wide segment of the U.S. population.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Whole Life Insurance</w:t>
      </w:r>
    </w:p>
    <w:p>
      <w:pPr>
        <w:spacing w:after="0" w:line="10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Our Whole Life Insurance simplifies coverage for individuals of a wide range of backgrounds, including older consumers or those with health considerations. The benefit is permanent and, so long as consumers continue paying premium payments, can help cover expenses such as funeral costs, medical bills, and other expenses. With benefit amounts ranging from $5,000 to $100,000, we provide lifelong coverage at a secured rate.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Indexed Universal Life Insurance</w:t>
      </w:r>
    </w:p>
    <w:p>
      <w:pPr>
        <w:spacing w:after="0" w:line="102"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Indexed Universal Life Insurance products allow consumers to utilize market-linked returns to help fund permanent life insurance coverage, providing potentially lower premiums for protection and/or the ability to achieve tax-advantaged accumulation. With benefit amounts up to $1.0 million, Indexed Universal Life Insurance provides a versatile solution for those seeking security, financial growth, or both.</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Accidental Death Insurance</w:t>
      </w:r>
    </w:p>
    <w:p>
      <w:pPr>
        <w:spacing w:after="0" w:line="10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Across certain products, and as a standalone alternative, we offer Accidental Death Insurance coverage through Mutual of Omaha. Accidental Death Insurance is an insurance policy that pays out a cash benefit if the insured dies in a covered accident. Coverage starts at $50,000 and goes up to $500,000 with the option to increase the policy amount in increments of $1,000.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Wills &amp; Estate Planning</w:t>
      </w:r>
    </w:p>
    <w:p>
      <w:pPr>
        <w:spacing w:after="0" w:line="102"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Wills and other estate planning tools help to ensure assets are properly distributed to provide loved ones with a financial safety net. We offer the optionality to seamlessly bundle will and estate planning tools with eligible policies sold through our platform. Additionally, both will creation and estate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planning tools may be purchased separately. Our will creation service facilitates the designation of guardians and asset distribution, providing peace of mind. For estate planning, we cover everything from finances to caregiving, including the tools to create a will, trust, power of attorney, advanced medical directive, and more. We provide a simple, self-guided platform for quick and easy setup with no attorney required, saving both time and money.</w:t>
      </w:r>
    </w:p>
    <w:p>
      <w:pPr>
        <w:spacing w:after="0" w:line="200"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1560" w:type="dxa"/>
            <w:vAlign w:val="bottom"/>
            <w:tcBorders>
              <w:top w:val="single" w:sz="8" w:color="auto"/>
              <w:left w:val="single" w:sz="8" w:color="auto"/>
              <w:right w:val="single" w:sz="8" w:color="auto"/>
            </w:tcBorders>
            <w:vMerge w:val="restart"/>
            <w:shd w:val="clear" w:color="auto" w:fill="0A540F"/>
          </w:tcPr>
          <w:p>
            <w:pPr>
              <w:ind w:left="160"/>
              <w:spacing w:after="0"/>
              <w:rPr>
                <w:sz w:val="20"/>
                <w:szCs w:val="20"/>
                <w:color w:val="auto"/>
              </w:rPr>
            </w:pPr>
            <w:r>
              <w:rPr>
                <w:rFonts w:ascii="Arial" w:cs="Arial" w:eastAsia="Arial" w:hAnsi="Arial"/>
                <w:sz w:val="18"/>
                <w:szCs w:val="18"/>
                <w:b w:val="1"/>
                <w:bCs w:val="1"/>
                <w:color w:val="FCFDFC"/>
              </w:rPr>
              <w:t>Product Type</w:t>
            </w:r>
          </w:p>
        </w:tc>
        <w:tc>
          <w:tcPr>
            <w:tcW w:w="1860" w:type="dxa"/>
            <w:vAlign w:val="bottom"/>
            <w:tcBorders>
              <w:top w:val="single" w:sz="8" w:color="auto"/>
              <w:right w:val="single" w:sz="8" w:color="auto"/>
            </w:tcBorders>
            <w:shd w:val="clear" w:color="auto" w:fill="0A540F"/>
          </w:tcPr>
          <w:p>
            <w:pPr>
              <w:spacing w:after="0"/>
              <w:rPr>
                <w:sz w:val="17"/>
                <w:szCs w:val="17"/>
                <w:color w:val="auto"/>
              </w:rPr>
            </w:pPr>
          </w:p>
        </w:tc>
        <w:tc>
          <w:tcPr>
            <w:tcW w:w="1800" w:type="dxa"/>
            <w:vAlign w:val="bottom"/>
            <w:tcBorders>
              <w:top w:val="single" w:sz="8" w:color="auto"/>
              <w:right w:val="single" w:sz="8" w:color="auto"/>
            </w:tcBorders>
            <w:shd w:val="clear" w:color="auto" w:fill="0A540F"/>
          </w:tcPr>
          <w:p>
            <w:pPr>
              <w:spacing w:after="0"/>
              <w:rPr>
                <w:sz w:val="17"/>
                <w:szCs w:val="17"/>
                <w:color w:val="auto"/>
              </w:rPr>
            </w:pPr>
          </w:p>
        </w:tc>
        <w:tc>
          <w:tcPr>
            <w:tcW w:w="1360" w:type="dxa"/>
            <w:vAlign w:val="bottom"/>
            <w:tcBorders>
              <w:top w:val="single" w:sz="8" w:color="auto"/>
              <w:right w:val="single" w:sz="8" w:color="auto"/>
            </w:tcBorders>
            <w:shd w:val="clear" w:color="auto" w:fill="0A540F"/>
          </w:tcPr>
          <w:p>
            <w:pPr>
              <w:jc w:val="center"/>
              <w:ind w:left="10"/>
              <w:spacing w:after="0" w:line="197" w:lineRule="exact"/>
              <w:rPr>
                <w:sz w:val="20"/>
                <w:szCs w:val="20"/>
                <w:color w:val="auto"/>
              </w:rPr>
            </w:pPr>
            <w:r>
              <w:rPr>
                <w:rFonts w:ascii="Arial" w:cs="Arial" w:eastAsia="Arial" w:hAnsi="Arial"/>
                <w:sz w:val="18"/>
                <w:szCs w:val="18"/>
                <w:b w:val="1"/>
                <w:bCs w:val="1"/>
                <w:color w:val="FCFCFC"/>
                <w:w w:val="99"/>
              </w:rPr>
              <w:t>Number of</w:t>
            </w:r>
          </w:p>
        </w:tc>
        <w:tc>
          <w:tcPr>
            <w:tcW w:w="4460" w:type="dxa"/>
            <w:vAlign w:val="bottom"/>
            <w:tcBorders>
              <w:top w:val="single" w:sz="8" w:color="auto"/>
              <w:right w:val="single" w:sz="8" w:color="auto"/>
            </w:tcBorders>
            <w:shd w:val="clear" w:color="auto" w:fill="0A540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60" w:type="dxa"/>
            <w:vAlign w:val="bottom"/>
            <w:tcBorders>
              <w:left w:val="single" w:sz="8" w:color="auto"/>
              <w:bottom w:val="single" w:sz="8" w:color="auto"/>
              <w:right w:val="single" w:sz="8" w:color="auto"/>
            </w:tcBorders>
            <w:vMerge w:val="continue"/>
            <w:shd w:val="clear" w:color="auto" w:fill="0A540F"/>
          </w:tcPr>
          <w:p>
            <w:pPr>
              <w:spacing w:after="0"/>
              <w:rPr>
                <w:sz w:val="19"/>
                <w:szCs w:val="19"/>
                <w:color w:val="auto"/>
              </w:rPr>
            </w:pPr>
          </w:p>
        </w:tc>
        <w:tc>
          <w:tcPr>
            <w:tcW w:w="186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8"/>
              </w:rPr>
              <w:t>Carriers</w:t>
            </w:r>
          </w:p>
        </w:tc>
        <w:tc>
          <w:tcPr>
            <w:tcW w:w="1800" w:type="dxa"/>
            <w:vAlign w:val="bottom"/>
            <w:tcBorders>
              <w:bottom w:val="single" w:sz="8" w:color="auto"/>
              <w:right w:val="single" w:sz="8" w:color="auto"/>
            </w:tcBorders>
            <w:shd w:val="clear" w:color="auto" w:fill="0A540F"/>
          </w:tcPr>
          <w:p>
            <w:pPr>
              <w:jc w:val="center"/>
              <w:ind w:left="12"/>
              <w:spacing w:after="0"/>
              <w:rPr>
                <w:sz w:val="20"/>
                <w:szCs w:val="20"/>
                <w:color w:val="auto"/>
              </w:rPr>
            </w:pPr>
            <w:r>
              <w:rPr>
                <w:rFonts w:ascii="Arial" w:cs="Arial" w:eastAsia="Arial" w:hAnsi="Arial"/>
                <w:sz w:val="18"/>
                <w:szCs w:val="18"/>
                <w:b w:val="1"/>
                <w:bCs w:val="1"/>
                <w:color w:val="FCFCFC"/>
                <w:w w:val="97"/>
              </w:rPr>
              <w:t>Our Role</w:t>
            </w:r>
          </w:p>
        </w:tc>
        <w:tc>
          <w:tcPr>
            <w:tcW w:w="1360" w:type="dxa"/>
            <w:vAlign w:val="bottom"/>
            <w:tcBorders>
              <w:bottom w:val="single" w:sz="8" w:color="auto"/>
              <w:right w:val="single" w:sz="8" w:color="auto"/>
            </w:tcBorders>
            <w:shd w:val="clear" w:color="auto" w:fill="0A540F"/>
          </w:tcPr>
          <w:p>
            <w:pPr>
              <w:jc w:val="center"/>
              <w:ind w:left="10"/>
              <w:spacing w:after="0"/>
              <w:rPr>
                <w:sz w:val="20"/>
                <w:szCs w:val="20"/>
                <w:color w:val="auto"/>
              </w:rPr>
            </w:pPr>
            <w:r>
              <w:rPr>
                <w:rFonts w:ascii="Arial" w:cs="Arial" w:eastAsia="Arial" w:hAnsi="Arial"/>
                <w:sz w:val="18"/>
                <w:szCs w:val="18"/>
                <w:b w:val="1"/>
                <w:bCs w:val="1"/>
                <w:color w:val="FCFCFC"/>
                <w:w w:val="99"/>
              </w:rPr>
              <w:t>Products</w:t>
            </w:r>
          </w:p>
        </w:tc>
        <w:tc>
          <w:tcPr>
            <w:tcW w:w="4460" w:type="dxa"/>
            <w:vAlign w:val="bottom"/>
            <w:tcBorders>
              <w:bottom w:val="single" w:sz="8" w:color="auto"/>
              <w:right w:val="single" w:sz="8" w:color="auto"/>
            </w:tcBorders>
            <w:shd w:val="clear" w:color="auto" w:fill="0A540F"/>
          </w:tcPr>
          <w:p>
            <w:pPr>
              <w:ind w:left="1780"/>
              <w:spacing w:after="0"/>
              <w:rPr>
                <w:sz w:val="20"/>
                <w:szCs w:val="20"/>
                <w:color w:val="auto"/>
              </w:rPr>
            </w:pPr>
            <w:r>
              <w:rPr>
                <w:rFonts w:ascii="Arial" w:cs="Arial" w:eastAsia="Arial" w:hAnsi="Arial"/>
                <w:sz w:val="18"/>
                <w:szCs w:val="18"/>
                <w:b w:val="1"/>
                <w:bCs w:val="1"/>
                <w:color w:val="FCFCFC"/>
              </w:rPr>
              <w:t>Description</w:t>
            </w: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right w:val="single" w:sz="8" w:color="auto"/>
            </w:tcBorders>
          </w:tcPr>
          <w:p>
            <w:pPr>
              <w:jc w:val="center"/>
              <w:ind w:left="30"/>
              <w:spacing w:after="0" w:line="177" w:lineRule="exact"/>
              <w:rPr>
                <w:sz w:val="20"/>
                <w:szCs w:val="20"/>
                <w:color w:val="auto"/>
              </w:rPr>
            </w:pPr>
            <w:r>
              <w:rPr>
                <w:rFonts w:ascii="Arial" w:cs="Arial" w:eastAsia="Arial" w:hAnsi="Arial"/>
                <w:sz w:val="18"/>
                <w:szCs w:val="18"/>
                <w:b w:val="1"/>
                <w:bCs w:val="1"/>
                <w:color w:val="auto"/>
                <w:w w:val="98"/>
              </w:rPr>
              <w:t>Term Life</w:t>
            </w:r>
          </w:p>
        </w:tc>
        <w:tc>
          <w:tcPr>
            <w:tcW w:w="18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Legal &amp; General</w:t>
            </w:r>
          </w:p>
        </w:tc>
        <w:tc>
          <w:tcPr>
            <w:tcW w:w="1800" w:type="dxa"/>
            <w:vAlign w:val="bottom"/>
            <w:tcBorders>
              <w:right w:val="single" w:sz="8" w:color="auto"/>
            </w:tcBorders>
          </w:tcPr>
          <w:p>
            <w:pPr>
              <w:jc w:val="center"/>
              <w:ind w:left="12"/>
              <w:spacing w:after="0" w:line="177" w:lineRule="exact"/>
              <w:rPr>
                <w:sz w:val="20"/>
                <w:szCs w:val="20"/>
                <w:color w:val="auto"/>
              </w:rPr>
            </w:pPr>
            <w:r>
              <w:rPr>
                <w:rFonts w:ascii="Arial" w:cs="Arial" w:eastAsia="Arial" w:hAnsi="Arial"/>
                <w:sz w:val="14"/>
                <w:szCs w:val="14"/>
                <w:color w:val="auto"/>
              </w:rPr>
              <w:t>Distribution</w:t>
            </w:r>
            <w:r>
              <w:rPr>
                <w:rFonts w:ascii="Arial" w:cs="Arial" w:eastAsia="Arial" w:hAnsi="Arial"/>
                <w:sz w:val="20"/>
                <w:szCs w:val="20"/>
                <w:color w:val="auto"/>
                <w:vertAlign w:val="superscript"/>
              </w:rPr>
              <w:t>1</w:t>
            </w:r>
            <w:r>
              <w:rPr>
                <w:rFonts w:ascii="Arial" w:cs="Arial" w:eastAsia="Arial" w:hAnsi="Arial"/>
                <w:sz w:val="14"/>
                <w:szCs w:val="14"/>
                <w:color w:val="auto"/>
              </w:rPr>
              <w:t>,</w:t>
            </w:r>
          </w:p>
        </w:tc>
        <w:tc>
          <w:tcPr>
            <w:tcW w:w="1360" w:type="dxa"/>
            <w:vAlign w:val="bottom"/>
            <w:tcBorders>
              <w:right w:val="single" w:sz="8" w:color="auto"/>
            </w:tcBorders>
          </w:tcPr>
          <w:p>
            <w:pPr>
              <w:jc w:val="center"/>
              <w:ind w:left="10"/>
              <w:spacing w:after="0" w:line="177" w:lineRule="exact"/>
              <w:rPr>
                <w:sz w:val="20"/>
                <w:szCs w:val="20"/>
                <w:color w:val="auto"/>
              </w:rPr>
            </w:pPr>
            <w:r>
              <w:rPr>
                <w:rFonts w:ascii="Arial" w:cs="Arial" w:eastAsia="Arial" w:hAnsi="Arial"/>
                <w:sz w:val="18"/>
                <w:szCs w:val="18"/>
                <w:color w:val="auto"/>
                <w:w w:val="99"/>
              </w:rPr>
              <w:t>5</w:t>
            </w:r>
          </w:p>
        </w:tc>
        <w:tc>
          <w:tcPr>
            <w:tcW w:w="446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8"/>
                <w:szCs w:val="18"/>
                <w:color w:val="auto"/>
              </w:rPr>
              <w:t>Each Term Life Insurance product was designed to</w:t>
            </w:r>
          </w:p>
        </w:tc>
        <w:tc>
          <w:tcPr>
            <w:tcW w:w="0" w:type="dxa"/>
            <w:vAlign w:val="bottom"/>
          </w:tcPr>
          <w:p>
            <w:pPr>
              <w:spacing w:after="0"/>
              <w:rPr>
                <w:sz w:val="1"/>
                <w:szCs w:val="1"/>
                <w:color w:val="auto"/>
              </w:rPr>
            </w:pPr>
          </w:p>
        </w:tc>
      </w:tr>
      <w:tr>
        <w:trPr>
          <w:trHeight w:val="248"/>
        </w:trPr>
        <w:tc>
          <w:tcPr>
            <w:tcW w:w="1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Insurance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Ameritas</w:t>
            </w:r>
          </w:p>
        </w:tc>
        <w:tc>
          <w:tcPr>
            <w:tcW w:w="1800" w:type="dxa"/>
            <w:vAlign w:val="bottom"/>
            <w:tcBorders>
              <w:right w:val="single" w:sz="8" w:color="auto"/>
            </w:tcBorders>
          </w:tcPr>
          <w:p>
            <w:pPr>
              <w:jc w:val="center"/>
              <w:ind w:left="12"/>
              <w:spacing w:after="0"/>
              <w:rPr>
                <w:sz w:val="20"/>
                <w:szCs w:val="20"/>
                <w:color w:val="auto"/>
              </w:rPr>
            </w:pPr>
            <w:r>
              <w:rPr>
                <w:rFonts w:ascii="Arial" w:cs="Arial" w:eastAsia="Arial" w:hAnsi="Arial"/>
                <w:sz w:val="18"/>
                <w:szCs w:val="18"/>
                <w:color w:val="auto"/>
              </w:rPr>
              <w:t>Underwriting</w:t>
            </w:r>
          </w:p>
        </w:tc>
        <w:tc>
          <w:tcPr>
            <w:tcW w:w="136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serve a particular consumer risk profile and has</w:t>
            </w:r>
          </w:p>
        </w:tc>
        <w:tc>
          <w:tcPr>
            <w:tcW w:w="0" w:type="dxa"/>
            <w:vAlign w:val="bottom"/>
          </w:tcPr>
          <w:p>
            <w:pPr>
              <w:spacing w:after="0"/>
              <w:rPr>
                <w:sz w:val="1"/>
                <w:szCs w:val="1"/>
                <w:color w:val="auto"/>
              </w:rPr>
            </w:pPr>
          </w:p>
        </w:tc>
      </w:tr>
      <w:tr>
        <w:trPr>
          <w:trHeight w:val="157"/>
        </w:trPr>
        <w:tc>
          <w:tcPr>
            <w:tcW w:w="156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Protective</w:t>
            </w:r>
          </w:p>
        </w:tc>
        <w:tc>
          <w:tcPr>
            <w:tcW w:w="1800" w:type="dxa"/>
            <w:vAlign w:val="bottom"/>
            <w:tcBorders>
              <w:right w:val="single" w:sz="8" w:color="auto"/>
            </w:tcBorders>
          </w:tcPr>
          <w:p>
            <w:pPr>
              <w:jc w:val="center"/>
              <w:ind w:left="12"/>
              <w:spacing w:after="0" w:line="157" w:lineRule="exact"/>
              <w:rPr>
                <w:sz w:val="20"/>
                <w:szCs w:val="20"/>
                <w:color w:val="auto"/>
              </w:rPr>
            </w:pPr>
            <w:r>
              <w:rPr>
                <w:rFonts w:ascii="Arial" w:cs="Arial" w:eastAsia="Arial" w:hAnsi="Arial"/>
                <w:sz w:val="18"/>
                <w:szCs w:val="18"/>
                <w:color w:val="auto"/>
                <w:w w:val="99"/>
              </w:rPr>
              <w:t>Administration, and</w:t>
            </w:r>
          </w:p>
        </w:tc>
        <w:tc>
          <w:tcPr>
            <w:tcW w:w="1360" w:type="dxa"/>
            <w:vAlign w:val="bottom"/>
            <w:tcBorders>
              <w:right w:val="single" w:sz="8" w:color="auto"/>
            </w:tcBorders>
          </w:tcPr>
          <w:p>
            <w:pPr>
              <w:spacing w:after="0"/>
              <w:rPr>
                <w:sz w:val="13"/>
                <w:szCs w:val="13"/>
                <w:color w:val="auto"/>
              </w:rPr>
            </w:pPr>
          </w:p>
        </w:tc>
        <w:tc>
          <w:tcPr>
            <w:tcW w:w="446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8"/>
                <w:szCs w:val="18"/>
                <w:color w:val="auto"/>
              </w:rPr>
              <w:t>differentiated features (such as coverage amounts</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vMerge w:val="continue"/>
          </w:tcPr>
          <w:p>
            <w:pPr>
              <w:spacing w:after="0"/>
              <w:rPr>
                <w:sz w:val="17"/>
                <w:szCs w:val="17"/>
                <w:color w:val="auto"/>
              </w:rPr>
            </w:pPr>
          </w:p>
        </w:tc>
        <w:tc>
          <w:tcPr>
            <w:tcW w:w="1800" w:type="dxa"/>
            <w:vAlign w:val="bottom"/>
            <w:tcBorders>
              <w:right w:val="single" w:sz="8" w:color="auto"/>
            </w:tcBorders>
          </w:tcPr>
          <w:p>
            <w:pPr>
              <w:jc w:val="center"/>
              <w:ind w:left="32"/>
              <w:spacing w:after="0" w:line="202" w:lineRule="exact"/>
              <w:rPr>
                <w:sz w:val="20"/>
                <w:szCs w:val="20"/>
                <w:color w:val="auto"/>
              </w:rPr>
            </w:pPr>
            <w:r>
              <w:rPr>
                <w:rFonts w:ascii="Arial" w:cs="Arial" w:eastAsia="Arial" w:hAnsi="Arial"/>
                <w:sz w:val="18"/>
                <w:szCs w:val="18"/>
                <w:color w:val="auto"/>
                <w:w w:val="99"/>
              </w:rPr>
              <w:t>Policy</w:t>
            </w:r>
          </w:p>
        </w:tc>
        <w:tc>
          <w:tcPr>
            <w:tcW w:w="13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and term length options) as well as risk-adjusted</w:t>
            </w:r>
          </w:p>
        </w:tc>
        <w:tc>
          <w:tcPr>
            <w:tcW w:w="0" w:type="dxa"/>
            <w:vAlign w:val="bottom"/>
          </w:tcPr>
          <w:p>
            <w:pPr>
              <w:spacing w:after="0"/>
              <w:rPr>
                <w:sz w:val="1"/>
                <w:szCs w:val="1"/>
                <w:color w:val="auto"/>
              </w:rPr>
            </w:pPr>
          </w:p>
        </w:tc>
      </w:tr>
      <w:tr>
        <w:trPr>
          <w:trHeight w:val="239"/>
        </w:trPr>
        <w:tc>
          <w:tcPr>
            <w:tcW w:w="156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TruStage</w:t>
            </w:r>
          </w:p>
        </w:tc>
        <w:tc>
          <w:tcPr>
            <w:tcW w:w="1800" w:type="dxa"/>
            <w:vAlign w:val="bottom"/>
            <w:tcBorders>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Administration</w:t>
            </w:r>
          </w:p>
        </w:tc>
        <w:tc>
          <w:tcPr>
            <w:tcW w:w="13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pricing, as set out below:</w:t>
            </w:r>
          </w:p>
        </w:tc>
        <w:tc>
          <w:tcPr>
            <w:tcW w:w="0" w:type="dxa"/>
            <w:vAlign w:val="bottom"/>
          </w:tcPr>
          <w:p>
            <w:pPr>
              <w:spacing w:after="0"/>
              <w:rPr>
                <w:sz w:val="1"/>
                <w:szCs w:val="1"/>
                <w:color w:val="auto"/>
              </w:rPr>
            </w:pPr>
          </w:p>
        </w:tc>
      </w:tr>
      <w:tr>
        <w:trPr>
          <w:trHeight w:val="324"/>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John Hancock</w:t>
            </w: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 10, 15, 20, 25, 30, 35, and 40 year terms</w:t>
            </w:r>
          </w:p>
        </w:tc>
        <w:tc>
          <w:tcPr>
            <w:tcW w:w="0" w:type="dxa"/>
            <w:vAlign w:val="bottom"/>
          </w:tcPr>
          <w:p>
            <w:pPr>
              <w:spacing w:after="0"/>
              <w:rPr>
                <w:sz w:val="1"/>
                <w:szCs w:val="1"/>
                <w:color w:val="auto"/>
              </w:rPr>
            </w:pPr>
          </w:p>
        </w:tc>
      </w:tr>
      <w:tr>
        <w:trPr>
          <w:trHeight w:val="324"/>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$5,000 - $3,000,000 coverage range</w:t>
            </w:r>
          </w:p>
        </w:tc>
        <w:tc>
          <w:tcPr>
            <w:tcW w:w="0" w:type="dxa"/>
            <w:vAlign w:val="bottom"/>
          </w:tcPr>
          <w:p>
            <w:pPr>
              <w:spacing w:after="0"/>
              <w:rPr>
                <w:sz w:val="1"/>
                <w:szCs w:val="1"/>
                <w:color w:val="auto"/>
              </w:rPr>
            </w:pPr>
          </w:p>
        </w:tc>
      </w:tr>
      <w:tr>
        <w:trPr>
          <w:trHeight w:val="288"/>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 Return of Premium feature for John Hancock</w:t>
            </w:r>
          </w:p>
        </w:tc>
        <w:tc>
          <w:tcPr>
            <w:tcW w:w="0" w:type="dxa"/>
            <w:vAlign w:val="bottom"/>
          </w:tcPr>
          <w:p>
            <w:pPr>
              <w:spacing w:after="0"/>
              <w:rPr>
                <w:sz w:val="1"/>
                <w:szCs w:val="1"/>
                <w:color w:val="auto"/>
              </w:rPr>
            </w:pPr>
          </w:p>
        </w:tc>
      </w:tr>
      <w:tr>
        <w:trPr>
          <w:trHeight w:val="239"/>
        </w:trPr>
        <w:tc>
          <w:tcPr>
            <w:tcW w:w="156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product</w:t>
            </w:r>
          </w:p>
        </w:tc>
        <w:tc>
          <w:tcPr>
            <w:tcW w:w="0" w:type="dxa"/>
            <w:vAlign w:val="bottom"/>
          </w:tcPr>
          <w:p>
            <w:pPr>
              <w:spacing w:after="0"/>
              <w:rPr>
                <w:sz w:val="1"/>
                <w:szCs w:val="1"/>
                <w:color w:val="auto"/>
              </w:rPr>
            </w:pPr>
          </w:p>
        </w:tc>
      </w:tr>
      <w:tr>
        <w:trPr>
          <w:trHeight w:val="63"/>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right w:val="single" w:sz="8" w:color="auto"/>
            </w:tcBorders>
          </w:tcPr>
          <w:p>
            <w:pPr>
              <w:jc w:val="center"/>
              <w:ind w:left="30"/>
              <w:spacing w:after="0" w:line="177" w:lineRule="exact"/>
              <w:rPr>
                <w:sz w:val="20"/>
                <w:szCs w:val="20"/>
                <w:color w:val="auto"/>
              </w:rPr>
            </w:pPr>
            <w:r>
              <w:rPr>
                <w:rFonts w:ascii="Arial" w:cs="Arial" w:eastAsia="Arial" w:hAnsi="Arial"/>
                <w:sz w:val="18"/>
                <w:szCs w:val="18"/>
                <w:b w:val="1"/>
                <w:bCs w:val="1"/>
                <w:color w:val="auto"/>
              </w:rPr>
              <w:t>Whole Life</w:t>
            </w:r>
          </w:p>
        </w:tc>
        <w:tc>
          <w:tcPr>
            <w:tcW w:w="18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7"/>
              </w:rPr>
              <w:t>TruStage</w:t>
            </w:r>
          </w:p>
        </w:tc>
        <w:tc>
          <w:tcPr>
            <w:tcW w:w="1800" w:type="dxa"/>
            <w:vAlign w:val="bottom"/>
            <w:tcBorders>
              <w:right w:val="single" w:sz="8" w:color="auto"/>
            </w:tcBorders>
          </w:tcPr>
          <w:p>
            <w:pPr>
              <w:jc w:val="center"/>
              <w:ind w:left="12"/>
              <w:spacing w:after="0" w:line="177" w:lineRule="exact"/>
              <w:rPr>
                <w:sz w:val="20"/>
                <w:szCs w:val="20"/>
                <w:color w:val="auto"/>
              </w:rPr>
            </w:pPr>
            <w:r>
              <w:rPr>
                <w:rFonts w:ascii="Arial" w:cs="Arial" w:eastAsia="Arial" w:hAnsi="Arial"/>
                <w:sz w:val="18"/>
                <w:szCs w:val="18"/>
                <w:color w:val="auto"/>
                <w:w w:val="99"/>
              </w:rPr>
              <w:t>Distribution</w:t>
            </w:r>
          </w:p>
        </w:tc>
        <w:tc>
          <w:tcPr>
            <w:tcW w:w="1360" w:type="dxa"/>
            <w:vAlign w:val="bottom"/>
            <w:tcBorders>
              <w:right w:val="single" w:sz="8" w:color="auto"/>
            </w:tcBorders>
          </w:tcPr>
          <w:p>
            <w:pPr>
              <w:jc w:val="center"/>
              <w:ind w:left="10"/>
              <w:spacing w:after="0" w:line="177" w:lineRule="exact"/>
              <w:rPr>
                <w:sz w:val="20"/>
                <w:szCs w:val="20"/>
                <w:color w:val="auto"/>
              </w:rPr>
            </w:pPr>
            <w:r>
              <w:rPr>
                <w:rFonts w:ascii="Arial" w:cs="Arial" w:eastAsia="Arial" w:hAnsi="Arial"/>
                <w:sz w:val="18"/>
                <w:szCs w:val="18"/>
                <w:color w:val="auto"/>
                <w:w w:val="99"/>
              </w:rPr>
              <w:t>2</w:t>
            </w:r>
          </w:p>
        </w:tc>
        <w:tc>
          <w:tcPr>
            <w:tcW w:w="446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8"/>
                <w:szCs w:val="18"/>
                <w:color w:val="auto"/>
              </w:rPr>
              <w:t>Whole Life product provides up to $100,000 of</w:t>
            </w:r>
          </w:p>
        </w:tc>
        <w:tc>
          <w:tcPr>
            <w:tcW w:w="0" w:type="dxa"/>
            <w:vAlign w:val="bottom"/>
          </w:tcPr>
          <w:p>
            <w:pPr>
              <w:spacing w:after="0"/>
              <w:rPr>
                <w:sz w:val="1"/>
                <w:szCs w:val="1"/>
                <w:color w:val="auto"/>
              </w:rPr>
            </w:pPr>
          </w:p>
        </w:tc>
      </w:tr>
      <w:tr>
        <w:trPr>
          <w:trHeight w:val="247"/>
        </w:trPr>
        <w:tc>
          <w:tcPr>
            <w:tcW w:w="1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Insurance</w:t>
            </w:r>
          </w:p>
        </w:tc>
        <w:tc>
          <w:tcPr>
            <w:tcW w:w="18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coverage and builds cash value.</w:t>
            </w:r>
          </w:p>
        </w:tc>
        <w:tc>
          <w:tcPr>
            <w:tcW w:w="0" w:type="dxa"/>
            <w:vAlign w:val="bottom"/>
          </w:tcPr>
          <w:p>
            <w:pPr>
              <w:spacing w:after="0"/>
              <w:rPr>
                <w:sz w:val="1"/>
                <w:szCs w:val="1"/>
                <w:color w:val="auto"/>
              </w:rPr>
            </w:pPr>
          </w:p>
        </w:tc>
      </w:tr>
      <w:tr>
        <w:trPr>
          <w:trHeight w:val="280"/>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Guaranteed Whole Life product offers up to $25,000</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of coverage and is available regardless of health</w:t>
            </w:r>
          </w:p>
        </w:tc>
        <w:tc>
          <w:tcPr>
            <w:tcW w:w="0" w:type="dxa"/>
            <w:vAlign w:val="bottom"/>
          </w:tcPr>
          <w:p>
            <w:pPr>
              <w:spacing w:after="0"/>
              <w:rPr>
                <w:sz w:val="1"/>
                <w:szCs w:val="1"/>
                <w:color w:val="auto"/>
              </w:rPr>
            </w:pPr>
          </w:p>
        </w:tc>
      </w:tr>
      <w:tr>
        <w:trPr>
          <w:trHeight w:val="239"/>
        </w:trPr>
        <w:tc>
          <w:tcPr>
            <w:tcW w:w="156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status.</w:t>
            </w:r>
          </w:p>
        </w:tc>
        <w:tc>
          <w:tcPr>
            <w:tcW w:w="0" w:type="dxa"/>
            <w:vAlign w:val="bottom"/>
          </w:tcPr>
          <w:p>
            <w:pPr>
              <w:spacing w:after="0"/>
              <w:rPr>
                <w:sz w:val="1"/>
                <w:szCs w:val="1"/>
                <w:color w:val="auto"/>
              </w:rPr>
            </w:pPr>
          </w:p>
        </w:tc>
      </w:tr>
      <w:tr>
        <w:trPr>
          <w:trHeight w:val="288"/>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Generally, our Whole Life Insurance products have</w:t>
            </w:r>
          </w:p>
        </w:tc>
        <w:tc>
          <w:tcPr>
            <w:tcW w:w="0" w:type="dxa"/>
            <w:vAlign w:val="bottom"/>
          </w:tcPr>
          <w:p>
            <w:pPr>
              <w:spacing w:after="0"/>
              <w:rPr>
                <w:sz w:val="1"/>
                <w:szCs w:val="1"/>
                <w:color w:val="auto"/>
              </w:rPr>
            </w:pPr>
          </w:p>
        </w:tc>
      </w:tr>
      <w:tr>
        <w:trPr>
          <w:trHeight w:val="239"/>
        </w:trPr>
        <w:tc>
          <w:tcPr>
            <w:tcW w:w="156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following features:</w:t>
            </w:r>
          </w:p>
        </w:tc>
        <w:tc>
          <w:tcPr>
            <w:tcW w:w="0" w:type="dxa"/>
            <w:vAlign w:val="bottom"/>
          </w:tcPr>
          <w:p>
            <w:pPr>
              <w:spacing w:after="0"/>
              <w:rPr>
                <w:sz w:val="1"/>
                <w:szCs w:val="1"/>
                <w:color w:val="auto"/>
              </w:rPr>
            </w:pPr>
          </w:p>
        </w:tc>
      </w:tr>
      <w:tr>
        <w:trPr>
          <w:trHeight w:val="324"/>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$5,000 - $100,000 coverage range</w:t>
            </w:r>
          </w:p>
        </w:tc>
        <w:tc>
          <w:tcPr>
            <w:tcW w:w="0" w:type="dxa"/>
            <w:vAlign w:val="bottom"/>
          </w:tcPr>
          <w:p>
            <w:pPr>
              <w:spacing w:after="0"/>
              <w:rPr>
                <w:sz w:val="1"/>
                <w:szCs w:val="1"/>
                <w:color w:val="auto"/>
              </w:rPr>
            </w:pPr>
          </w:p>
        </w:tc>
      </w:tr>
      <w:tr>
        <w:trPr>
          <w:trHeight w:val="324"/>
        </w:trPr>
        <w:tc>
          <w:tcPr>
            <w:tcW w:w="156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4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•   Product offering covering broad demographics</w:t>
            </w:r>
          </w:p>
        </w:tc>
        <w:tc>
          <w:tcPr>
            <w:tcW w:w="0" w:type="dxa"/>
            <w:vAlign w:val="bottom"/>
          </w:tcPr>
          <w:p>
            <w:pPr>
              <w:spacing w:after="0"/>
              <w:rPr>
                <w:sz w:val="1"/>
                <w:szCs w:val="1"/>
                <w:color w:val="auto"/>
              </w:rPr>
            </w:pPr>
          </w:p>
        </w:tc>
      </w:tr>
      <w:tr>
        <w:trPr>
          <w:trHeight w:val="64"/>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right w:val="single" w:sz="8" w:color="auto"/>
            </w:tcBorders>
          </w:tcPr>
          <w:p>
            <w:pPr>
              <w:jc w:val="center"/>
              <w:ind w:left="30"/>
              <w:spacing w:after="0" w:line="177" w:lineRule="exact"/>
              <w:rPr>
                <w:sz w:val="20"/>
                <w:szCs w:val="20"/>
                <w:color w:val="auto"/>
              </w:rPr>
            </w:pPr>
            <w:r>
              <w:rPr>
                <w:rFonts w:ascii="Arial" w:cs="Arial" w:eastAsia="Arial" w:hAnsi="Arial"/>
                <w:sz w:val="18"/>
                <w:szCs w:val="18"/>
                <w:b w:val="1"/>
                <w:bCs w:val="1"/>
                <w:color w:val="auto"/>
                <w:w w:val="99"/>
              </w:rPr>
              <w:t>Indexed</w:t>
            </w:r>
          </w:p>
        </w:tc>
        <w:tc>
          <w:tcPr>
            <w:tcW w:w="18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Ameritas</w:t>
            </w:r>
          </w:p>
        </w:tc>
        <w:tc>
          <w:tcPr>
            <w:tcW w:w="1800" w:type="dxa"/>
            <w:vAlign w:val="bottom"/>
            <w:tcBorders>
              <w:right w:val="single" w:sz="8" w:color="auto"/>
            </w:tcBorders>
          </w:tcPr>
          <w:p>
            <w:pPr>
              <w:jc w:val="center"/>
              <w:ind w:left="12"/>
              <w:spacing w:after="0" w:line="177" w:lineRule="exact"/>
              <w:rPr>
                <w:sz w:val="20"/>
                <w:szCs w:val="20"/>
                <w:color w:val="auto"/>
              </w:rPr>
            </w:pPr>
            <w:r>
              <w:rPr>
                <w:rFonts w:ascii="Arial" w:cs="Arial" w:eastAsia="Arial" w:hAnsi="Arial"/>
                <w:sz w:val="18"/>
                <w:szCs w:val="18"/>
                <w:color w:val="auto"/>
              </w:rPr>
              <w:t>Distribution and</w:t>
            </w:r>
          </w:p>
        </w:tc>
        <w:tc>
          <w:tcPr>
            <w:tcW w:w="1360" w:type="dxa"/>
            <w:vAlign w:val="bottom"/>
            <w:tcBorders>
              <w:right w:val="single" w:sz="8" w:color="auto"/>
            </w:tcBorders>
          </w:tcPr>
          <w:p>
            <w:pPr>
              <w:jc w:val="center"/>
              <w:ind w:left="10"/>
              <w:spacing w:after="0" w:line="177" w:lineRule="exact"/>
              <w:rPr>
                <w:sz w:val="20"/>
                <w:szCs w:val="20"/>
                <w:color w:val="auto"/>
              </w:rPr>
            </w:pPr>
            <w:r>
              <w:rPr>
                <w:rFonts w:ascii="Arial" w:cs="Arial" w:eastAsia="Arial" w:hAnsi="Arial"/>
                <w:sz w:val="18"/>
                <w:szCs w:val="18"/>
                <w:color w:val="auto"/>
                <w:w w:val="99"/>
              </w:rPr>
              <w:t>1</w:t>
            </w:r>
          </w:p>
        </w:tc>
        <w:tc>
          <w:tcPr>
            <w:tcW w:w="4460" w:type="dxa"/>
            <w:vAlign w:val="bottom"/>
            <w:tcBorders>
              <w:right w:val="single" w:sz="8" w:color="auto"/>
            </w:tcBorders>
          </w:tcPr>
          <w:p>
            <w:pPr>
              <w:ind w:left="280"/>
              <w:spacing w:after="0" w:line="177" w:lineRule="exact"/>
              <w:rPr>
                <w:sz w:val="20"/>
                <w:szCs w:val="20"/>
                <w:color w:val="auto"/>
              </w:rPr>
            </w:pPr>
            <w:r>
              <w:rPr>
                <w:rFonts w:ascii="Arial" w:cs="Arial" w:eastAsia="Arial" w:hAnsi="Arial"/>
                <w:sz w:val="18"/>
                <w:szCs w:val="18"/>
                <w:color w:val="auto"/>
              </w:rPr>
              <w:t>•   $25,000 - $1,000,000 coverage range</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Universal Life</w:t>
            </w:r>
          </w:p>
        </w:tc>
        <w:tc>
          <w:tcPr>
            <w:tcW w:w="18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rPr>
              <w:t>Underwriting</w:t>
            </w:r>
          </w:p>
        </w:tc>
        <w:tc>
          <w:tcPr>
            <w:tcW w:w="13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Insurance</w:t>
            </w:r>
          </w:p>
        </w:tc>
        <w:tc>
          <w:tcPr>
            <w:tcW w:w="18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Administration</w:t>
            </w:r>
          </w:p>
        </w:tc>
        <w:tc>
          <w:tcPr>
            <w:tcW w:w="136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4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right w:val="single" w:sz="8" w:color="auto"/>
            </w:tcBorders>
          </w:tcPr>
          <w:p>
            <w:pPr>
              <w:jc w:val="center"/>
              <w:ind w:left="30"/>
              <w:spacing w:after="0" w:line="177" w:lineRule="exact"/>
              <w:rPr>
                <w:sz w:val="20"/>
                <w:szCs w:val="20"/>
                <w:color w:val="auto"/>
              </w:rPr>
            </w:pPr>
            <w:r>
              <w:rPr>
                <w:rFonts w:ascii="Arial" w:cs="Arial" w:eastAsia="Arial" w:hAnsi="Arial"/>
                <w:sz w:val="18"/>
                <w:szCs w:val="18"/>
                <w:b w:val="1"/>
                <w:bCs w:val="1"/>
                <w:color w:val="auto"/>
              </w:rPr>
              <w:t>Accidental</w:t>
            </w:r>
          </w:p>
        </w:tc>
        <w:tc>
          <w:tcPr>
            <w:tcW w:w="18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Mutual of Omaha</w:t>
            </w:r>
          </w:p>
        </w:tc>
        <w:tc>
          <w:tcPr>
            <w:tcW w:w="1800" w:type="dxa"/>
            <w:vAlign w:val="bottom"/>
            <w:tcBorders>
              <w:right w:val="single" w:sz="8" w:color="auto"/>
            </w:tcBorders>
          </w:tcPr>
          <w:p>
            <w:pPr>
              <w:jc w:val="center"/>
              <w:ind w:left="12"/>
              <w:spacing w:after="0" w:line="177" w:lineRule="exact"/>
              <w:rPr>
                <w:sz w:val="20"/>
                <w:szCs w:val="20"/>
                <w:color w:val="auto"/>
              </w:rPr>
            </w:pPr>
            <w:r>
              <w:rPr>
                <w:rFonts w:ascii="Arial" w:cs="Arial" w:eastAsia="Arial" w:hAnsi="Arial"/>
                <w:sz w:val="18"/>
                <w:szCs w:val="18"/>
                <w:color w:val="auto"/>
                <w:w w:val="99"/>
              </w:rPr>
              <w:t>Distribution</w:t>
            </w:r>
          </w:p>
        </w:tc>
        <w:tc>
          <w:tcPr>
            <w:tcW w:w="1360" w:type="dxa"/>
            <w:vAlign w:val="bottom"/>
            <w:tcBorders>
              <w:right w:val="single" w:sz="8" w:color="auto"/>
            </w:tcBorders>
          </w:tcPr>
          <w:p>
            <w:pPr>
              <w:jc w:val="center"/>
              <w:ind w:left="10"/>
              <w:spacing w:after="0" w:line="177" w:lineRule="exact"/>
              <w:rPr>
                <w:sz w:val="20"/>
                <w:szCs w:val="20"/>
                <w:color w:val="auto"/>
              </w:rPr>
            </w:pPr>
            <w:r>
              <w:rPr>
                <w:rFonts w:ascii="Arial" w:cs="Arial" w:eastAsia="Arial" w:hAnsi="Arial"/>
                <w:sz w:val="18"/>
                <w:szCs w:val="18"/>
                <w:color w:val="auto"/>
                <w:w w:val="99"/>
              </w:rPr>
              <w:t>1</w:t>
            </w:r>
          </w:p>
        </w:tc>
        <w:tc>
          <w:tcPr>
            <w:tcW w:w="4460" w:type="dxa"/>
            <w:vAlign w:val="bottom"/>
            <w:tcBorders>
              <w:right w:val="single" w:sz="8" w:color="auto"/>
            </w:tcBorders>
          </w:tcPr>
          <w:p>
            <w:pPr>
              <w:ind w:left="280"/>
              <w:spacing w:after="0" w:line="177" w:lineRule="exact"/>
              <w:rPr>
                <w:sz w:val="20"/>
                <w:szCs w:val="20"/>
                <w:color w:val="auto"/>
              </w:rPr>
            </w:pPr>
            <w:r>
              <w:rPr>
                <w:rFonts w:ascii="Arial" w:cs="Arial" w:eastAsia="Arial" w:hAnsi="Arial"/>
                <w:sz w:val="18"/>
                <w:szCs w:val="18"/>
                <w:color w:val="auto"/>
              </w:rPr>
              <w:t>•   Add-on to select Term Life Insurance products</w:t>
            </w:r>
          </w:p>
        </w:tc>
        <w:tc>
          <w:tcPr>
            <w:tcW w:w="0" w:type="dxa"/>
            <w:vAlign w:val="bottom"/>
          </w:tcPr>
          <w:p>
            <w:pPr>
              <w:spacing w:after="0"/>
              <w:rPr>
                <w:sz w:val="1"/>
                <w:szCs w:val="1"/>
                <w:color w:val="auto"/>
              </w:rPr>
            </w:pPr>
          </w:p>
        </w:tc>
      </w:tr>
      <w:tr>
        <w:trPr>
          <w:trHeight w:val="203"/>
        </w:trPr>
        <w:tc>
          <w:tcPr>
            <w:tcW w:w="1560" w:type="dxa"/>
            <w:vAlign w:val="bottom"/>
            <w:tcBorders>
              <w:left w:val="single" w:sz="8" w:color="auto"/>
              <w:right w:val="single" w:sz="8" w:color="auto"/>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Death</w:t>
            </w:r>
          </w:p>
        </w:tc>
        <w:tc>
          <w:tcPr>
            <w:tcW w:w="18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•   $50,000 - $500,000 coverage</w:t>
            </w:r>
          </w:p>
        </w:tc>
        <w:tc>
          <w:tcPr>
            <w:tcW w:w="0" w:type="dxa"/>
            <w:vAlign w:val="bottom"/>
          </w:tcPr>
          <w:p>
            <w:pPr>
              <w:spacing w:after="0"/>
              <w:rPr>
                <w:sz w:val="1"/>
                <w:szCs w:val="1"/>
                <w:color w:val="auto"/>
              </w:rPr>
            </w:pPr>
          </w:p>
        </w:tc>
      </w:tr>
      <w:tr>
        <w:trPr>
          <w:trHeight w:val="158"/>
        </w:trPr>
        <w:tc>
          <w:tcPr>
            <w:tcW w:w="1560" w:type="dxa"/>
            <w:vAlign w:val="bottom"/>
            <w:tcBorders>
              <w:left w:val="single" w:sz="8" w:color="auto"/>
              <w:righ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98"/>
              </w:rPr>
              <w:t>Insurance</w:t>
            </w:r>
          </w:p>
        </w:tc>
        <w:tc>
          <w:tcPr>
            <w:tcW w:w="18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4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560" w:type="dxa"/>
            <w:vAlign w:val="bottom"/>
            <w:tcBorders>
              <w:left w:val="single" w:sz="8" w:color="auto"/>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4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4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115</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1660" w:type="dxa"/>
            <w:vAlign w:val="bottom"/>
            <w:tcBorders>
              <w:top w:val="single" w:sz="8" w:color="auto"/>
              <w:left w:val="single" w:sz="8" w:color="auto"/>
              <w:right w:val="single" w:sz="8" w:color="auto"/>
            </w:tcBorders>
            <w:vMerge w:val="restart"/>
            <w:shd w:val="clear" w:color="auto" w:fill="0A540F"/>
          </w:tcPr>
          <w:p>
            <w:pPr>
              <w:ind w:left="160"/>
              <w:spacing w:after="0"/>
              <w:rPr>
                <w:sz w:val="20"/>
                <w:szCs w:val="20"/>
                <w:color w:val="auto"/>
              </w:rPr>
            </w:pPr>
            <w:r>
              <w:rPr>
                <w:rFonts w:ascii="Arial" w:cs="Arial" w:eastAsia="Arial" w:hAnsi="Arial"/>
                <w:sz w:val="18"/>
                <w:szCs w:val="18"/>
                <w:b w:val="1"/>
                <w:bCs w:val="1"/>
                <w:color w:val="FCFDFC"/>
              </w:rPr>
              <w:t>Product Type</w:t>
            </w:r>
          </w:p>
        </w:tc>
        <w:tc>
          <w:tcPr>
            <w:tcW w:w="1320" w:type="dxa"/>
            <w:vAlign w:val="bottom"/>
            <w:tcBorders>
              <w:top w:val="single" w:sz="8" w:color="auto"/>
              <w:right w:val="single" w:sz="8" w:color="auto"/>
            </w:tcBorders>
            <w:shd w:val="clear" w:color="auto" w:fill="0A540F"/>
          </w:tcPr>
          <w:p>
            <w:pPr>
              <w:spacing w:after="0"/>
              <w:rPr>
                <w:sz w:val="17"/>
                <w:szCs w:val="17"/>
                <w:color w:val="auto"/>
              </w:rPr>
            </w:pPr>
          </w:p>
        </w:tc>
        <w:tc>
          <w:tcPr>
            <w:tcW w:w="1900" w:type="dxa"/>
            <w:vAlign w:val="bottom"/>
            <w:tcBorders>
              <w:top w:val="single" w:sz="8" w:color="auto"/>
              <w:right w:val="single" w:sz="8" w:color="auto"/>
            </w:tcBorders>
            <w:shd w:val="clear" w:color="auto" w:fill="0A540F"/>
          </w:tcPr>
          <w:p>
            <w:pPr>
              <w:spacing w:after="0"/>
              <w:rPr>
                <w:sz w:val="17"/>
                <w:szCs w:val="17"/>
                <w:color w:val="auto"/>
              </w:rPr>
            </w:pPr>
          </w:p>
        </w:tc>
        <w:tc>
          <w:tcPr>
            <w:tcW w:w="1380" w:type="dxa"/>
            <w:vAlign w:val="bottom"/>
            <w:tcBorders>
              <w:top w:val="single" w:sz="8" w:color="auto"/>
              <w:right w:val="single" w:sz="8" w:color="auto"/>
            </w:tcBorders>
            <w:shd w:val="clear" w:color="auto" w:fill="0A540F"/>
          </w:tcPr>
          <w:p>
            <w:pPr>
              <w:jc w:val="center"/>
              <w:ind w:left="30"/>
              <w:spacing w:after="0" w:line="197" w:lineRule="exact"/>
              <w:rPr>
                <w:sz w:val="20"/>
                <w:szCs w:val="20"/>
                <w:color w:val="auto"/>
              </w:rPr>
            </w:pPr>
            <w:r>
              <w:rPr>
                <w:rFonts w:ascii="Arial" w:cs="Arial" w:eastAsia="Arial" w:hAnsi="Arial"/>
                <w:sz w:val="18"/>
                <w:szCs w:val="18"/>
                <w:b w:val="1"/>
                <w:bCs w:val="1"/>
                <w:color w:val="FCFCFC"/>
                <w:w w:val="99"/>
              </w:rPr>
              <w:t>Number of</w:t>
            </w:r>
          </w:p>
        </w:tc>
        <w:tc>
          <w:tcPr>
            <w:tcW w:w="4780" w:type="dxa"/>
            <w:vAlign w:val="bottom"/>
            <w:tcBorders>
              <w:top w:val="single" w:sz="8" w:color="auto"/>
              <w:right w:val="single" w:sz="8" w:color="auto"/>
            </w:tcBorders>
            <w:shd w:val="clear" w:color="auto" w:fill="0A540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660" w:type="dxa"/>
            <w:vAlign w:val="bottom"/>
            <w:tcBorders>
              <w:left w:val="single" w:sz="8" w:color="auto"/>
              <w:bottom w:val="single" w:sz="8" w:color="auto"/>
              <w:right w:val="single" w:sz="8" w:color="auto"/>
            </w:tcBorders>
            <w:vMerge w:val="continue"/>
            <w:shd w:val="clear" w:color="auto" w:fill="0A540F"/>
          </w:tcPr>
          <w:p>
            <w:pPr>
              <w:spacing w:after="0"/>
              <w:rPr>
                <w:sz w:val="19"/>
                <w:szCs w:val="19"/>
                <w:color w:val="auto"/>
              </w:rPr>
            </w:pPr>
          </w:p>
        </w:tc>
        <w:tc>
          <w:tcPr>
            <w:tcW w:w="132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rPr>
              <w:t>Carriers</w:t>
            </w:r>
          </w:p>
        </w:tc>
        <w:tc>
          <w:tcPr>
            <w:tcW w:w="1900" w:type="dxa"/>
            <w:vAlign w:val="bottom"/>
            <w:tcBorders>
              <w:bottom w:val="single" w:sz="8" w:color="auto"/>
              <w:right w:val="single" w:sz="8" w:color="auto"/>
            </w:tcBorders>
            <w:shd w:val="clear" w:color="auto" w:fill="0A540F"/>
          </w:tcPr>
          <w:p>
            <w:pPr>
              <w:jc w:val="center"/>
              <w:ind w:left="50"/>
              <w:spacing w:after="0"/>
              <w:rPr>
                <w:sz w:val="20"/>
                <w:szCs w:val="20"/>
                <w:color w:val="auto"/>
              </w:rPr>
            </w:pPr>
            <w:r>
              <w:rPr>
                <w:rFonts w:ascii="Arial" w:cs="Arial" w:eastAsia="Arial" w:hAnsi="Arial"/>
                <w:sz w:val="18"/>
                <w:szCs w:val="18"/>
                <w:b w:val="1"/>
                <w:bCs w:val="1"/>
                <w:color w:val="FCFCFC"/>
                <w:w w:val="99"/>
              </w:rPr>
              <w:t>Our Role</w:t>
            </w:r>
          </w:p>
        </w:tc>
        <w:tc>
          <w:tcPr>
            <w:tcW w:w="1380" w:type="dxa"/>
            <w:vAlign w:val="bottom"/>
            <w:tcBorders>
              <w:bottom w:val="single" w:sz="8" w:color="auto"/>
              <w:right w:val="single" w:sz="8" w:color="auto"/>
            </w:tcBorders>
            <w:shd w:val="clear" w:color="auto" w:fill="0A540F"/>
          </w:tcPr>
          <w:p>
            <w:pPr>
              <w:jc w:val="center"/>
              <w:ind w:left="30"/>
              <w:spacing w:after="0"/>
              <w:rPr>
                <w:sz w:val="20"/>
                <w:szCs w:val="20"/>
                <w:color w:val="auto"/>
              </w:rPr>
            </w:pPr>
            <w:r>
              <w:rPr>
                <w:rFonts w:ascii="Arial" w:cs="Arial" w:eastAsia="Arial" w:hAnsi="Arial"/>
                <w:sz w:val="18"/>
                <w:szCs w:val="18"/>
                <w:b w:val="1"/>
                <w:bCs w:val="1"/>
                <w:color w:val="FCFCFC"/>
                <w:w w:val="99"/>
              </w:rPr>
              <w:t>Products</w:t>
            </w:r>
          </w:p>
        </w:tc>
        <w:tc>
          <w:tcPr>
            <w:tcW w:w="4780" w:type="dxa"/>
            <w:vAlign w:val="bottom"/>
            <w:tcBorders>
              <w:bottom w:val="single" w:sz="8" w:color="auto"/>
              <w:right w:val="single" w:sz="8" w:color="auto"/>
            </w:tcBorders>
            <w:shd w:val="clear" w:color="auto" w:fill="0A540F"/>
          </w:tcPr>
          <w:p>
            <w:pPr>
              <w:ind w:left="1940"/>
              <w:spacing w:after="0"/>
              <w:rPr>
                <w:sz w:val="20"/>
                <w:szCs w:val="20"/>
                <w:color w:val="auto"/>
              </w:rPr>
            </w:pPr>
            <w:r>
              <w:rPr>
                <w:rFonts w:ascii="Arial" w:cs="Arial" w:eastAsia="Arial" w:hAnsi="Arial"/>
                <w:sz w:val="18"/>
                <w:szCs w:val="18"/>
                <w:b w:val="1"/>
                <w:bCs w:val="1"/>
                <w:color w:val="FCFCFC"/>
              </w:rPr>
              <w:t>Description</w:t>
            </w:r>
          </w:p>
        </w:tc>
        <w:tc>
          <w:tcPr>
            <w:tcW w:w="0" w:type="dxa"/>
            <w:vAlign w:val="bottom"/>
          </w:tcPr>
          <w:p>
            <w:pPr>
              <w:spacing w:after="0"/>
              <w:rPr>
                <w:sz w:val="1"/>
                <w:szCs w:val="1"/>
                <w:color w:val="auto"/>
              </w:rPr>
            </w:pPr>
          </w:p>
        </w:tc>
      </w:tr>
      <w:tr>
        <w:trPr>
          <w:trHeight w:val="177"/>
        </w:trPr>
        <w:tc>
          <w:tcPr>
            <w:tcW w:w="1660" w:type="dxa"/>
            <w:vAlign w:val="bottom"/>
            <w:tcBorders>
              <w:left w:val="single" w:sz="8" w:color="auto"/>
              <w:righ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rPr>
              <w:t>Wills &amp; Estate</w:t>
            </w:r>
          </w:p>
        </w:tc>
        <w:tc>
          <w:tcPr>
            <w:tcW w:w="13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Proprietary</w:t>
            </w:r>
          </w:p>
        </w:tc>
        <w:tc>
          <w:tcPr>
            <w:tcW w:w="1900" w:type="dxa"/>
            <w:vAlign w:val="bottom"/>
            <w:tcBorders>
              <w:right w:val="single" w:sz="8" w:color="auto"/>
            </w:tcBorders>
          </w:tcPr>
          <w:p>
            <w:pPr>
              <w:jc w:val="center"/>
              <w:ind w:left="30"/>
              <w:spacing w:after="0" w:line="177" w:lineRule="exact"/>
              <w:rPr>
                <w:sz w:val="20"/>
                <w:szCs w:val="20"/>
                <w:color w:val="auto"/>
              </w:rPr>
            </w:pPr>
            <w:r>
              <w:rPr>
                <w:rFonts w:ascii="Arial" w:cs="Arial" w:eastAsia="Arial" w:hAnsi="Arial"/>
                <w:sz w:val="18"/>
                <w:szCs w:val="18"/>
                <w:color w:val="auto"/>
              </w:rPr>
              <w:t>Distribution and</w:t>
            </w:r>
          </w:p>
        </w:tc>
        <w:tc>
          <w:tcPr>
            <w:tcW w:w="1380" w:type="dxa"/>
            <w:vAlign w:val="bottom"/>
            <w:tcBorders>
              <w:right w:val="single" w:sz="8" w:color="auto"/>
            </w:tcBorders>
          </w:tcPr>
          <w:p>
            <w:pPr>
              <w:jc w:val="center"/>
              <w:ind w:left="30"/>
              <w:spacing w:after="0" w:line="177" w:lineRule="exact"/>
              <w:rPr>
                <w:sz w:val="20"/>
                <w:szCs w:val="20"/>
                <w:color w:val="auto"/>
              </w:rPr>
            </w:pPr>
            <w:r>
              <w:rPr>
                <w:rFonts w:ascii="Arial" w:cs="Arial" w:eastAsia="Arial" w:hAnsi="Arial"/>
                <w:sz w:val="18"/>
                <w:szCs w:val="18"/>
                <w:color w:val="auto"/>
                <w:w w:val="99"/>
              </w:rPr>
              <w:t>1</w:t>
            </w:r>
          </w:p>
        </w:tc>
        <w:tc>
          <w:tcPr>
            <w:tcW w:w="4780" w:type="dxa"/>
            <w:vAlign w:val="bottom"/>
            <w:tcBorders>
              <w:right w:val="single" w:sz="8" w:color="auto"/>
            </w:tcBorders>
          </w:tcPr>
          <w:p>
            <w:pPr>
              <w:ind w:left="280"/>
              <w:spacing w:after="0" w:line="177" w:lineRule="exact"/>
              <w:rPr>
                <w:sz w:val="20"/>
                <w:szCs w:val="20"/>
                <w:color w:val="auto"/>
              </w:rPr>
            </w:pPr>
            <w:r>
              <w:rPr>
                <w:rFonts w:ascii="Arial" w:cs="Arial" w:eastAsia="Arial" w:hAnsi="Arial"/>
                <w:sz w:val="18"/>
                <w:szCs w:val="18"/>
                <w:color w:val="auto"/>
              </w:rPr>
              <w:t>•   Add-on to Life Insurance or standalone</w:t>
            </w:r>
          </w:p>
        </w:tc>
        <w:tc>
          <w:tcPr>
            <w:tcW w:w="0" w:type="dxa"/>
            <w:vAlign w:val="bottom"/>
          </w:tcPr>
          <w:p>
            <w:pPr>
              <w:spacing w:after="0"/>
              <w:rPr>
                <w:sz w:val="1"/>
                <w:szCs w:val="1"/>
                <w:color w:val="auto"/>
              </w:rPr>
            </w:pPr>
          </w:p>
        </w:tc>
      </w:tr>
      <w:tr>
        <w:trPr>
          <w:trHeight w:val="247"/>
        </w:trPr>
        <w:tc>
          <w:tcPr>
            <w:tcW w:w="166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Planning</w:t>
            </w:r>
          </w:p>
        </w:tc>
        <w:tc>
          <w:tcPr>
            <w:tcW w:w="13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Service Provider</w:t>
            </w:r>
          </w:p>
        </w:tc>
        <w:tc>
          <w:tcPr>
            <w:tcW w:w="13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•   Wills &amp; Estate Planning tools</w:t>
            </w:r>
          </w:p>
        </w:tc>
        <w:tc>
          <w:tcPr>
            <w:tcW w:w="0" w:type="dxa"/>
            <w:vAlign w:val="bottom"/>
          </w:tcPr>
          <w:p>
            <w:pPr>
              <w:spacing w:after="0"/>
              <w:rPr>
                <w:sz w:val="1"/>
                <w:szCs w:val="1"/>
                <w:color w:val="auto"/>
              </w:rPr>
            </w:pPr>
          </w:p>
        </w:tc>
      </w:tr>
      <w:tr>
        <w:trPr>
          <w:trHeight w:val="114"/>
        </w:trPr>
        <w:tc>
          <w:tcPr>
            <w:tcW w:w="166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66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40" w:hanging="124"/>
        <w:spacing w:after="0"/>
        <w:tabs>
          <w:tab w:leader="none" w:pos="24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Ethos only serves as distributor for both the John Hancock and TruStage Term Life Insurance products.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04"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We have a diverse go-to-market model that combines the benefits of a digitally native solution with essential insights from the traditional third-party agent model.</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platform provides consumers with a seamless, fully digital experience for purchasing life insurance online, similar to other frictionless and digital experiences to which consumers have grown accustomed. We optimize the consumer acquisition funnel by enhancing lead targeting and conversion. Our approach involves identifying high-potential leads using intent, demographic, and behavioral data. We then predict lead engagement, including expected conversion paths and underwriting class, and personalize the application experience to maximize conversion likelihood.</w:t>
      </w:r>
    </w:p>
    <w:p>
      <w:pPr>
        <w:spacing w:after="0" w:line="176"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To maximize efficiency and capitalize on emerging opportunities, Ethos evaluates and refines its marketing spend across over 25 channels and over 100 partners daily. By having a sophisticated data infrastructure that provides a deep understanding of consumer intent, willingness to pay, and underwriting eligibility, we are able to allocate marketing spend more strategically. Data-driven marketing spend allocation allows Ethos to optimize its marketing mix for maximum impact, promoting sustained growth in consumer acquisition.</w:t>
      </w:r>
    </w:p>
    <w:p>
      <w:pPr>
        <w:spacing w:after="0" w:line="174"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Our largest channels include marketing affiliates, organic traffic, and paid search. Notably, our organic channel, our largest marketing channel, generated 18% of DTC activated policies in 2024, underscoring the strength of the Ethos brand and consumer value proposition.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Channel</w:t>
      </w:r>
    </w:p>
    <w:p>
      <w:pPr>
        <w:spacing w:after="0" w:line="102" w:lineRule="exact"/>
        <w:rPr>
          <w:sz w:val="20"/>
          <w:szCs w:val="20"/>
          <w:color w:val="auto"/>
        </w:rPr>
      </w:pPr>
    </w:p>
    <w:p>
      <w:pPr>
        <w:jc w:val="both"/>
        <w:ind w:left="120" w:right="200" w:firstLine="551"/>
        <w:spacing w:after="0" w:line="247" w:lineRule="auto"/>
        <w:rPr>
          <w:sz w:val="20"/>
          <w:szCs w:val="20"/>
          <w:color w:val="auto"/>
        </w:rPr>
      </w:pPr>
      <w:r>
        <w:rPr>
          <w:rFonts w:ascii="Arial" w:cs="Arial" w:eastAsia="Arial" w:hAnsi="Arial"/>
          <w:sz w:val="18"/>
          <w:szCs w:val="18"/>
          <w:color w:val="auto"/>
        </w:rPr>
        <w:t>Ethos has established a robust third-party network, which includes agents and fintech companies. We onboard new agents to our platform through our network of agencies. This channel enables us to access trusted advisor relationships and reach diverse consumer segments that prefer purchasing life insurance through an agent. Ethos distributes policies through an extensive network of independent agents at enterprise-level agencies and small-to-medium agency networks.</w:t>
      </w:r>
    </w:p>
    <w:p>
      <w:pPr>
        <w:spacing w:after="0" w:line="174" w:lineRule="exact"/>
        <w:rPr>
          <w:sz w:val="20"/>
          <w:szCs w:val="20"/>
          <w:color w:val="auto"/>
        </w:rPr>
      </w:pPr>
    </w:p>
    <w:p>
      <w:pPr>
        <w:ind w:left="120" w:right="420" w:firstLine="551"/>
        <w:spacing w:after="0" w:line="244" w:lineRule="auto"/>
        <w:rPr>
          <w:sz w:val="20"/>
          <w:szCs w:val="20"/>
          <w:color w:val="auto"/>
        </w:rPr>
      </w:pPr>
      <w:r>
        <w:rPr>
          <w:rFonts w:ascii="Arial" w:cs="Arial" w:eastAsia="Arial" w:hAnsi="Arial"/>
          <w:sz w:val="18"/>
          <w:szCs w:val="18"/>
          <w:color w:val="auto"/>
        </w:rPr>
        <w:t>Agents selling through Ethos have the flexibility to distribute policies through either an agent-assisted application process or by sharing personalized referral links with consumers, providing multiple avenues for engagement. The agent-assisted application is seamlessly integrated within the Agent OS, enabling agents to collaborate with consumers in real time to complete the application. Alternatively, the referral agent can provide a unique, personalized URL link that allows consumers to independently navigate and complete the application process at their convenience.</w:t>
      </w:r>
    </w:p>
    <w:p>
      <w:pPr>
        <w:spacing w:after="0" w:line="176" w:lineRule="exact"/>
        <w:rPr>
          <w:sz w:val="20"/>
          <w:szCs w:val="20"/>
          <w:color w:val="auto"/>
        </w:rPr>
      </w:pPr>
    </w:p>
    <w:p>
      <w:pPr>
        <w:ind w:left="120" w:right="400" w:firstLine="551"/>
        <w:spacing w:after="0" w:line="253" w:lineRule="auto"/>
        <w:rPr>
          <w:sz w:val="20"/>
          <w:szCs w:val="20"/>
          <w:color w:val="auto"/>
        </w:rPr>
      </w:pPr>
      <w:r>
        <w:rPr>
          <w:rFonts w:ascii="Arial" w:cs="Arial" w:eastAsia="Arial" w:hAnsi="Arial"/>
          <w:sz w:val="18"/>
          <w:szCs w:val="18"/>
          <w:color w:val="auto"/>
        </w:rPr>
        <w:t>To drive participation and performance, we offer flexible payment methods and next-day payments (compared to the industry standard of multiple weeks). Ethos enhances the agent experience through incentives and a structured loyalty program that motivates agents to achieve their</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goals. In addition, Ethos provides productivity tools, including co-branded websites, marketing and lifecycle tools, the ability to purchase leads, business quality oversight, and agency management tools such as downline performance management and chargeback management. These strategic incentives empower agents to scale and accelerate their business, which is mutually beneficial for Ethos as we continue to expand our third-party channel.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04"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color w:val="auto"/>
        </w:rPr>
        <w:t>We have rebuilt the traditional insurance technology stack to improve efficiency, speed, and consumer access, using structured rule-based automation, unified data infrastructure, and modern, extensible software systems. This platform supports seamless experiences for consumers, enables superior productivity for agents, and drives sustainable growth for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136525</wp:posOffset>
            </wp:positionV>
            <wp:extent cx="5177790" cy="17316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7779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Engine</w:t>
      </w:r>
    </w:p>
    <w:p>
      <w:pPr>
        <w:spacing w:after="0" w:line="102" w:lineRule="exact"/>
        <w:rPr>
          <w:sz w:val="20"/>
          <w:szCs w:val="20"/>
          <w:color w:val="auto"/>
        </w:rPr>
      </w:pPr>
    </w:p>
    <w:p>
      <w:pPr>
        <w:ind w:left="120" w:right="480" w:firstLine="551"/>
        <w:spacing w:after="0" w:line="253" w:lineRule="auto"/>
        <w:rPr>
          <w:sz w:val="20"/>
          <w:szCs w:val="20"/>
          <w:color w:val="auto"/>
        </w:rPr>
      </w:pPr>
      <w:r>
        <w:rPr>
          <w:rFonts w:ascii="Arial" w:cs="Arial" w:eastAsia="Arial" w:hAnsi="Arial"/>
          <w:sz w:val="18"/>
          <w:szCs w:val="18"/>
          <w:color w:val="auto"/>
        </w:rPr>
        <w:t>Our application engine is designed to intelligently engage consumers by utilizing thousands of approved questions to gain a comprehensive understanding of their health. The engine tailors its questioning strategy to align with natural interactions, creating an accurate and user-friendly experience. Key components include:</w:t>
      </w:r>
    </w:p>
    <w:p>
      <w:pPr>
        <w:spacing w:after="0" w:line="74"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Intelligent probing to dynamically adjust the interaction based on consumer responses.</w:t>
      </w:r>
    </w:p>
    <w:p>
      <w:pPr>
        <w:spacing w:after="0" w:line="117" w:lineRule="exact"/>
        <w:rPr>
          <w:rFonts w:ascii="Arial" w:cs="Arial" w:eastAsia="Arial" w:hAnsi="Arial"/>
          <w:sz w:val="18"/>
          <w:szCs w:val="18"/>
          <w:color w:val="auto"/>
        </w:rPr>
      </w:pPr>
    </w:p>
    <w:p>
      <w:pPr>
        <w:ind w:left="880" w:right="78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Data reconciliation to ensure consistency and reliability across sources, verifying with consumer confirmation to resolve discrepancies.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Engine</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proprietary rules-based underwriting engine is powered by a dynamic consumer information graph that is generated from our application engine. This graph connects and structures health, behavioral, and other predictive data to evaluate risk precisely, consistently, and transparently while providing clear, traceable, auditable, and explainable underwriting decisions. It ingests self-reported health data, prescription history, electronic health records, and more, enabling:</w:t>
      </w:r>
    </w:p>
    <w:p>
      <w:pPr>
        <w:spacing w:after="0" w:line="79"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Instant decisions for most applicants.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Adaptive rule selection.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 approval rates with reduced friction and faster decision-making.</w:t>
      </w:r>
    </w:p>
    <w:p>
      <w:pPr>
        <w:spacing w:after="0" w:line="212"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The consumer information graph continuously evolves as new applications are processed. Outcomes are used to refine rule relevance, enhance risk segmentation, and improve pricing precision.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Automated Policy Administration</w:t>
      </w:r>
    </w:p>
    <w:p>
      <w:pPr>
        <w:spacing w:after="0" w:line="102"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Our cloud-native policy administration system is able to automate significant portions of the policy lifecycle from issuance to servicing and policyholder payments. This includes:</w:t>
      </w:r>
    </w:p>
    <w:p>
      <w:pPr>
        <w:spacing w:after="0" w:line="59"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Dynamic policy contract generation.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Billing, payment processing, retries, and reinstatements.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Endorsements (policy changes such as coverage amount or beneficiary updates).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Full policy servicing workflows, including consumer self-service options.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Structured data pipelines for supporting carriers in claims, auditing, and compliance reporting.</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Owning our own policy administration stack allows us to deploy new product features, pricing updates, and carrier configurations in days, not quarters, significantly improving responsiveness and reducing external dependencies.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Agent OS</w:t>
      </w:r>
    </w:p>
    <w:p>
      <w:pPr>
        <w:spacing w:after="0" w:line="210" w:lineRule="exact"/>
        <w:rPr>
          <w:sz w:val="20"/>
          <w:szCs w:val="20"/>
          <w:color w:val="auto"/>
        </w:rPr>
      </w:pPr>
    </w:p>
    <w:p>
      <w:pPr>
        <w:ind w:left="120" w:right="880" w:firstLine="551"/>
        <w:spacing w:after="0" w:line="271" w:lineRule="auto"/>
        <w:rPr>
          <w:sz w:val="20"/>
          <w:szCs w:val="20"/>
          <w:color w:val="auto"/>
        </w:rPr>
      </w:pPr>
      <w:r>
        <w:rPr>
          <w:rFonts w:ascii="Arial" w:cs="Arial" w:eastAsia="Arial" w:hAnsi="Arial"/>
          <w:sz w:val="18"/>
          <w:szCs w:val="18"/>
          <w:color w:val="auto"/>
        </w:rPr>
        <w:t>Ethos provides agents with a comprehensive operating system to sell and manage life insurance policies. Our Agent OS functionality includes:</w:t>
      </w:r>
    </w:p>
    <w:p>
      <w:pPr>
        <w:spacing w:after="0" w:line="5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Rapid agent onboarding and agent eligibility checks.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Quoting tools and near real-time application tracking.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CRM integrations and marketing automation.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Agent payment dashboards and next-day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analytics and agent performance insights.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system improves agent productivity while reducing manual effort and enabling agents to focus on client engagement.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Embedded Distribution Infrastructure</w:t>
      </w:r>
    </w:p>
    <w:p>
      <w:pPr>
        <w:spacing w:after="0" w:line="102"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Our APIs and software development kits, or SDKs, enable agent networks, fintechs, and others to embed insurance directly into their workflows. These parties can:</w:t>
      </w:r>
    </w:p>
    <w:p>
      <w:pPr>
        <w:spacing w:after="0" w:line="59"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Quote, process, and activate policies within their own platforms.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Track performance and conversion metrics via real-time dashboards.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Customize product routing while relying on Ethos for compliance, servicing, and underwriting.</w:t>
      </w:r>
    </w:p>
    <w:p>
      <w:pPr>
        <w:spacing w:after="0" w:line="21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This infrastructure has allowed us to scale these relationships quickly and deepen integration, driving a compounding advantage as distribution partners grow.</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Applied Machine Learning and Operational Intelligence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our underwriting is rule-based, we deploy machine learning in key operational areas, including:</w:t>
      </w:r>
    </w:p>
    <w:p>
      <w:pPr>
        <w:spacing w:after="0" w:line="117" w:lineRule="exact"/>
        <w:rPr>
          <w:sz w:val="20"/>
          <w:szCs w:val="20"/>
          <w:color w:val="auto"/>
        </w:rPr>
      </w:pPr>
    </w:p>
    <w:p>
      <w:pPr>
        <w:jc w:val="center"/>
        <w:ind w:left="5480" w:right="300" w:hanging="4824"/>
        <w:spacing w:after="0" w:line="443" w:lineRule="auto"/>
        <w:tabs>
          <w:tab w:leader="none" w:pos="871"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Fraud detection: </w:t>
      </w:r>
      <w:r>
        <w:rPr>
          <w:rFonts w:ascii="Arial" w:cs="Arial" w:eastAsia="Arial" w:hAnsi="Arial"/>
          <w:sz w:val="18"/>
          <w:szCs w:val="18"/>
          <w:color w:val="auto"/>
        </w:rPr>
        <w:t>Use behavioral analytics and identity verification APIs help flag anomalies and ensure secure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Agent quality scoring: </w:t>
      </w:r>
      <w:r>
        <w:rPr>
          <w:rFonts w:ascii="Arial" w:cs="Arial" w:eastAsia="Arial" w:hAnsi="Arial"/>
          <w:sz w:val="18"/>
          <w:szCs w:val="18"/>
          <w:color w:val="auto"/>
        </w:rPr>
        <w:t>Evaluate agent behavior, compliance, and conversion.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Marketing optimization: </w:t>
      </w:r>
      <w:r>
        <w:rPr>
          <w:rFonts w:ascii="Arial" w:cs="Arial" w:eastAsia="Arial" w:hAnsi="Arial"/>
          <w:sz w:val="18"/>
          <w:szCs w:val="18"/>
          <w:color w:val="auto"/>
        </w:rPr>
        <w:t>Optimize advertising spend, targeting, and creative testing.</w:t>
      </w:r>
    </w:p>
    <w:p>
      <w:pPr>
        <w:spacing w:after="0" w:line="117"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Policy audit prioritization: </w:t>
      </w:r>
      <w:r>
        <w:rPr>
          <w:rFonts w:ascii="Arial" w:cs="Arial" w:eastAsia="Arial" w:hAnsi="Arial"/>
          <w:sz w:val="18"/>
          <w:szCs w:val="18"/>
          <w:color w:val="auto"/>
        </w:rPr>
        <w:t>Rank and sample decisioned policies for human review for effective auditing and accelerated</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w:t>
      </w:r>
    </w:p>
    <w:p>
      <w:pPr>
        <w:spacing w:after="0" w:line="154" w:lineRule="exact"/>
        <w:rPr>
          <w:sz w:val="20"/>
          <w:szCs w:val="20"/>
          <w:color w:val="auto"/>
        </w:rPr>
      </w:pPr>
    </w:p>
    <w:p>
      <w:pPr>
        <w:ind w:left="120" w:right="700" w:firstLine="551"/>
        <w:spacing w:after="0" w:line="271" w:lineRule="auto"/>
        <w:rPr>
          <w:sz w:val="20"/>
          <w:szCs w:val="20"/>
          <w:color w:val="auto"/>
        </w:rPr>
      </w:pPr>
      <w:r>
        <w:rPr>
          <w:rFonts w:ascii="Arial" w:cs="Arial" w:eastAsia="Arial" w:hAnsi="Arial"/>
          <w:sz w:val="18"/>
          <w:szCs w:val="18"/>
          <w:color w:val="auto"/>
        </w:rPr>
        <w:t>These machine learning applications are subject to strong governance and bias mitigation, and improve our ability to scale efficiently across operations, growth, and compliance.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Platform and Intelligence Layer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built a modern data infrastructure that serves as the intelligence backbone of the business. Our architecture supports:</w:t>
      </w:r>
    </w:p>
    <w:p>
      <w:pPr>
        <w:spacing w:after="0" w:line="117"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unified journey model, linking anonymous and logged-in user behavior for experimentation and funnel analysis.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Cohort-based profit tracking, surfacing Contribution Margin and persistency dynamics across products and acquisition 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Advanced experimentation, supporting dozens of simultaneous A/B tests across our platform.</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Scalable Architecture and Security by Design</w:t>
      </w:r>
    </w:p>
    <w:p>
      <w:pPr>
        <w:spacing w:after="0" w:line="102"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Ethos is built on a modular, cloud-native architecture optimized for performance, extensibility, and resilience. Core attributes include:</w:t>
      </w:r>
    </w:p>
    <w:p>
      <w:pPr>
        <w:spacing w:after="0" w:line="59"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Microservices deployed on secure, modular infrastructure.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modern frontend platform using industry-leading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Unified observability, role based access control, and logging integrated across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End-to-end encryption, KBA/SMS-based authentication, and SOC 2 Type II certification.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enables rapid development, continuous deployment, and strict adherence to data privacy and regulatory standards.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business of selling insurance products and services is highly competitive and fragmented. While we believe we are well positioned to execute our business model and transform the life insurance industry, we actively compete with a number of companies, including agencies, brokerages, and traditional carrier distribution channels, as well as companies with online and platform offerings similar to ours.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w:t>
      </w:r>
    </w:p>
    <w:p>
      <w:pPr>
        <w:spacing w:after="0" w:line="185"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Furthermore, we compete with various other companies that provide risk-related services or alternatives to traditional insurance services, including other competing start-up companies, which are focused on using technology and innovation, including AI, machine learning, digital platforms, data analytics, robotics, and blockchain, to simplify and improve the customer experience, increase efficiencies, alter business models and effect other potentially disruptive changes in the industries in</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5"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which we operate. We also expect new entrants to offer competitive services and carriers may also seek to build their own solutions, including using advanced tools such as AI, and particularly in markets where development costs are lower. In addition, in recent years, private equity sponsors have invested tens of billions of dollars into the insurance sector, transforming existing players and creating new ones to compete with large brokers.</w:t>
      </w:r>
    </w:p>
    <w:p>
      <w:pPr>
        <w:spacing w:after="0" w:line="174"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We compete for consumers on the basis of reputation, customer service, program and product offerings, and our ability to innovate and tailor products and services to meet the specific needs of a customer. We believe we compete favorably across many of these factors with our fully digital and vertically integrated platform that simplifies the insurance value chain from distribution to underwriting, activation, payments, and administration. Our growing ecosystem of consumers, agents, and carriers benefits from the scale, easy-of-use, and efficiency of our platform, which creates strong network effects that drive our continued growth. For additional information about the risks to our business related to competition, see the section titled “Risk Factors—Risks Related to Our Business—Competition in our industry is intense, and our inability to compete effectively may adversely affect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 and Culture</w:t>
      </w:r>
    </w:p>
    <w:p>
      <w:pPr>
        <w:spacing w:after="0" w:line="10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At Ethos, our employees are the driving force behind our mission to democratize access to life insurance, protecting families and empowering agents at scale. Our culture is rooted in empathy, innovation and a commitment to meaningful impact, and the values that define our organization are as follows:</w:t>
      </w:r>
    </w:p>
    <w:p>
      <w:pPr>
        <w:spacing w:after="0" w:line="74"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Serve Our Families: </w:t>
      </w:r>
      <w:r>
        <w:rPr>
          <w:rFonts w:ascii="Arial" w:cs="Arial" w:eastAsia="Arial" w:hAnsi="Arial"/>
          <w:sz w:val="18"/>
          <w:szCs w:val="18"/>
          <w:color w:val="auto"/>
        </w:rPr>
        <w:t>We are driven by a deep sense of responsibility to serve and delight the families that depend on us.</w:t>
      </w:r>
    </w:p>
    <w:p>
      <w:pPr>
        <w:spacing w:after="0" w:line="117"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Rigor: </w:t>
      </w:r>
      <w:r>
        <w:rPr>
          <w:rFonts w:ascii="Arial" w:cs="Arial" w:eastAsia="Arial" w:hAnsi="Arial"/>
          <w:sz w:val="18"/>
          <w:szCs w:val="18"/>
          <w:color w:val="auto"/>
        </w:rPr>
        <w:t>We challenge assumptions and hold ourselves to the highest standards of analytical excellence,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decisions informed by data and logic.</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Bias for Impact: </w:t>
      </w:r>
      <w:r>
        <w:rPr>
          <w:rFonts w:ascii="Arial" w:cs="Arial" w:eastAsia="Arial" w:hAnsi="Arial"/>
          <w:sz w:val="18"/>
          <w:szCs w:val="18"/>
          <w:color w:val="auto"/>
        </w:rPr>
        <w:t>We prioritize outcomes over optics, empowering our teams to move quickly and decisively while always putting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extra effort.</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Speak Your Mind: </w:t>
      </w:r>
      <w:r>
        <w:rPr>
          <w:rFonts w:ascii="Arial" w:cs="Arial" w:eastAsia="Arial" w:hAnsi="Arial"/>
          <w:sz w:val="17"/>
          <w:szCs w:val="17"/>
          <w:color w:val="auto"/>
        </w:rPr>
        <w:t>We foster a culture of candor and trust, where open dialogue and diverse perspectives drive better outcomes.</w:t>
      </w:r>
    </w:p>
    <w:p>
      <w:pPr>
        <w:spacing w:after="0" w:line="22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employees are located in the global technology hubs of San Francisco and Bengaluru, India, as well as remotely across the United States and in select additional countries such as Singapore. Employees in San Francisco support core corporate, product, and go-to-market functions. Our operations in Bengaluru are focused primarily on engineering and customer success, supported by local administrative and human resources personnel. We believe this global yet concentrated distribution of employees provides us access to high quality and diverse technology talent. Our digital-first company culture empowers collaboration and innovation across time zones. Through employee referrals, campus recruiting, and target job postings, we aim to attract exceptional talent to drive our mission of reimagining life insurance. As of December 31, 2024, we had 378 full-time employees globally.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Intellectual Property</w:t>
      </w:r>
    </w:p>
    <w:p>
      <w:pPr>
        <w:spacing w:after="0" w:line="10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Our intellectual property is an important aspect of our business and helps us to maintain our competitive position in our industry. To establish and protect our proprietary rights, we rely upon a combination of trade secret, copyright, and trademark laws and contractual restrictions such as confidentiality agreements, licenses, and intellectual property assignment agreements.</w:t>
      </w:r>
    </w:p>
    <w:p>
      <w:pPr>
        <w:spacing w:after="0" w:line="169"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third parties to enter into confidentiality and proprietary rights agreements to control access to and non-disclosure of our proprietary information.</w:t>
      </w:r>
    </w:p>
    <w:p>
      <w:pPr>
        <w:spacing w:after="0" w:line="15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We also are the registered holder of a variety of domain names that include “ethos,” “ethoslife,” and similar variations; however, we do not own a U.S. federal trademark registration for our main brand “Ethos” or “Ethos Technologies,” and instead rely on common law protection for these trademarks. Further, we currently do not own any patents and instead, rely on copyright law and trade secret protection for our software and other proprietary technology.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In the ordinary course of our business, we process personal information (including sensitive personal information and medical records). Accordingly, we are subject to numerous data privacy and security requirements and obligations, including federal, state, and local laws, regulations, guidance, and industry standards. Such obligations may include, without limitation, data breach notification laws, comprehensive privacy laws, consumer protection laws (e.g., Section 5 of the Federal Trade Commission Act), and other similar laws (e.g., wiretapping laws). At the federal level, we are subject to, among other laws, the Gramm-Leach-Bliley Act, or GLBA, which requires financial institutions, including insurers,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w:t>
      </w:r>
    </w:p>
    <w:p>
      <w:pPr>
        <w:spacing w:after="0" w:line="16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information, including health information. Certain states also impose stricter requirements for processing certain personal information, including sensitive information, such as conducting data privacy impact assessments. These state laws allow for statutory fines for noncompliance. For example,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w:t>
      </w:r>
    </w:p>
    <w:p>
      <w:pPr>
        <w:spacing w:after="0" w:line="18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also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Additionally, in response to the growing threat of cyber-attacks in the insurance industry, certain jurisdictions, including New York, have begun to consider new cybersecurity measures, including the adoption of cybersecurity regulations.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spacing w:after="0" w:line="180"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Furthermore, we and the third parties with whom we work are subject to a variety of evolving cybersecurity threats, including social-engineering attacks (including through deep fakes, which may</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While we have implemented security measures designed to protect against security incidents and data breaches, these measures may not be effective. For information on risks associated with our information technology systems, see “Risk Factors—Risks Related to Intellectual Property, Data Privacy, and Security—If our information technology systems or of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w:t>
      </w:r>
    </w:p>
    <w:p>
      <w:pPr>
        <w:spacing w:after="0" w:line="104"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We are also subject to extensive regulations at the state and federal level. These laws and regulations are designed to protect consumers, policyholders, and insureds and to protect the integrity of the financial markets.</w:t>
      </w:r>
    </w:p>
    <w:p>
      <w:pPr>
        <w:spacing w:after="0" w:line="15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The regulatory regimes applicable to our business vary by state but generally require individual and company licensing to act as producers, agents, and third -party administrators. We hold producer licenses in 49 states and the District of Columbia and third-party administrator licenses in the 38 states that require a separate license to act as a third-party administrator. We do not operate in New York. These laws are administered and enforced by state insurance regulators as well as state attorneys general. State insurance regulators have broad authority to grant, renew, suspend, and terminate the company and individual licenses required to do business in their respective states. The conditions for maintaining these licenses in good standing include complying with reporting requirements, maintaining liability insurance policies and surety bonds, completing continuing education, and generally complying with the insurance laws and regulations of each state. Certain state insurance laws also require notification to state regulators of certain corporate changes, including changes of address, name, officers or directors, and ownership information or corporate structure. We operate as a licensed producer and administrator in 49 states.</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State insurance laws govern whether licensees may share commissions with unlicensed entities and individuals and in some cases prohibit the payment, directly or indirectly, of any compensation or valuable consideration in exchange for referring, soliciting, or negotiating an insurance contract. Third-party administrators are also subject to state insurance law requirements governing the receipt and payment of premiums. These funds are held in a fiduciary capacity and generally may not be invested or withdrawn except in accordance with the written agreement with the carrier. Producers, agents, and third-party administrators are also subject to insurance laws governing marketing, advertisements, and representations made regarding the terms, conditions, costs, and other features of insurance products. State insurance regulators and state attorneys generally enforce these laws and have authority to take action against a licensee’s license, to impose civil money penalties and fines, and to require remedial or corrective action for violations. Disciplinary action by one state regulator may also trigger requirements to notify other state regulators that supervise the company’s other state licenses.</w:t>
      </w:r>
    </w:p>
    <w:p>
      <w:pPr>
        <w:spacing w:after="0" w:line="180"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In addition to state insurance laws and regulations, we are subject to federal and state laws governing marketing and consumer outreach, including the federal TCPA, the Controlling the Assault of Non-Solicited Pornography and Marketing Act, or CAN-SPAM, and its state equivalents. These laws restrict telemarketing calls, text messages, and the use of automatic dialers and similar technology, and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may limit when and how we can contact consumers. We are also subject to anti-money laundering, or AML, and economic sanctions laws and regulations, including those administered by the U.S. Department of Treasury’s Office of Foreign Asset Control, or OFAC, that prohibit issuing policies to certain sanctioned persons, entities, jurisdictions, or business sectors and may require reporting of certain information and transactions to OFAC. We must also cooperate with carriers with whom we work in providing them with information necessary for those partners to maintain effective AML programs.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Agreements with Carriers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enter into standard contractual arrangements with our carriers, many of which do not have a fixed term and others of which are structured as annual contracts with automatic renewal. These agreements typically permit either party to terminate for convenience with advance written notice, including some with notice periods of up to 18 months. Our carrier agreements also permit termination for cause in the event of a material breach, regulatory non-compliance, or other specified circumstances. Upon termination of a carrier agreement, we generally continue to receive commissions on policies that were active as of the termination date, for so long as we remain the agent of record for servicing those policies, until such policies are no longer active. Our carrier agreements generally do not impose minimum volume or policy commitments. Our carrier agreements include commission recoupment provisions that require us to repay a portion of commissions received if a policy is terminated within a specified period, typically between six- and 12 months following policy issuance, on a pro rata basis based on premiums received. These agreements generally include mutual indemnification obligations, confidentiality and data security provisions, and require us to maintain errors and omissions insurance.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Agreements with Agencies and Other Third-Parties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enter into standard contractual agreements with agencies that allow their affiliated agents to access and use our platform to sell products offered on our platform. These agreements generally have one-year terms and renew automatically unless either party provides notice of non-renewal at least 30 days prior to the end of the then-current term. Generally, either party may also terminate the agreement earlier for convenience with advance written notice, typically ranging from 30 to 90 days, or for cause, including material breach, following a short cure period. The agreements do not impose any minimum production or engagement commitments. Recoupment provisions generally require the repayment to us by agents of all agent payments for policies that are terminated within the first six months following activation and the repayment of any unearned agent payments for policies that terminate after six months.</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prohibit certain conduct under our agency agreements, including soliciting insurance without proper licensure, acting outside the scope of contractual authority, promoting competing life insurance products sold primarily online, and attempting to induce policyholders to surrender, lapse, or replace in-force coverage. Agencies and their affiliated agents are also prohibited from certain activities, such as engaging in deceptive or unethical trade practices, violating digital and social media marketing regulations, contacting consumers on “Do Not Call” registries, or using consumer data without appropriate consent. While we do not directly supervise individual agents and are not required to do so under applicable laws and regulations, our contractual arrangements are designed to ensure that agencies are responsible for supervising their affiliated agents, and agents have their own obligations to comply with applicable laws and avoid impermissible activities within the agency’s supervisory framework. Agents also face the risk of license loss through carrier-reported misconduct or mis-selling, a process we support when appropriate. In addition, agents must complete an annual compliance certification to access our platform, and we issue periodic compliance reminders. Despite these safeguards, our ability to monitor and influence agency and agent conduct is limited due to a variety of factors, including those described in the sections titled “Risk Factors–Risks Related to Our Business–Our business is subject to risks related to disputes, legal proceedings, and governmental inquiries.”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also maintain relationships with select third -party fintech companies that refer potential consumers through their own digital channels via customized partner links to our platform. These entities typically operate through affiliated licensed agencies whose agents are eligible to receive agent payments for new policies activated by referred consumers. In addition, we compensate the applicable fintech company in connection with referred customers who activate a new policy. For certain established relationships, we may also provide API access to enable integration, subject to regulatory compliance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04" w:lineRule="exact"/>
        <w:rPr>
          <w:sz w:val="20"/>
          <w:szCs w:val="20"/>
          <w:color w:val="auto"/>
        </w:rPr>
      </w:pPr>
    </w:p>
    <w:p>
      <w:pPr>
        <w:jc w:val="both"/>
        <w:ind w:left="120" w:right="140" w:firstLine="551"/>
        <w:spacing w:after="0" w:line="253" w:lineRule="auto"/>
        <w:rPr>
          <w:sz w:val="20"/>
          <w:szCs w:val="20"/>
          <w:color w:val="auto"/>
        </w:rPr>
      </w:pPr>
      <w:r>
        <w:rPr>
          <w:rFonts w:ascii="Arial" w:cs="Arial" w:eastAsia="Arial" w:hAnsi="Arial"/>
          <w:sz w:val="18"/>
          <w:szCs w:val="18"/>
          <w:color w:val="auto"/>
        </w:rPr>
        <w:t>Our principal executive offices are in San Francisco, California, where we occupy approximately 9,000 square feet of office space pursuant to a lease expiring in November 2028. As of December 31, 2024, we also lease office space internationally in Bengaluru, India and Singapore. We believe that our current facilities are adequate to meet our current needs.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w:t>
      </w:r>
    </w:p>
    <w:p>
      <w:pPr>
        <w:spacing w:after="0" w:line="16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Defending any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our executive officers and directors as of             , 2025:</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800" w:type="dxa"/>
            <w:vAlign w:val="bottom"/>
          </w:tcPr>
          <w:p>
            <w:pPr>
              <w:spacing w:after="0"/>
              <w:rPr>
                <w:sz w:val="16"/>
                <w:szCs w:val="16"/>
                <w:color w:val="auto"/>
              </w:rPr>
            </w:pPr>
          </w:p>
        </w:tc>
        <w:tc>
          <w:tcPr>
            <w:tcW w:w="7820" w:type="dxa"/>
            <w:vAlign w:val="bottom"/>
            <w:gridSpan w:val="3"/>
          </w:tcPr>
          <w:p>
            <w:pPr>
              <w:ind w:left="80"/>
              <w:spacing w:after="0"/>
              <w:rPr>
                <w:sz w:val="20"/>
                <w:szCs w:val="20"/>
                <w:color w:val="auto"/>
              </w:rPr>
            </w:pPr>
            <w:r>
              <w:rPr>
                <w:rFonts w:ascii="Arial" w:cs="Arial" w:eastAsia="Arial" w:hAnsi="Arial"/>
                <w:sz w:val="14"/>
                <w:szCs w:val="14"/>
                <w:b w:val="1"/>
                <w:bCs w:val="1"/>
                <w:color w:val="auto"/>
              </w:rPr>
              <w:t>Age   Position</w:t>
            </w:r>
          </w:p>
        </w:tc>
      </w:tr>
      <w:tr>
        <w:trPr>
          <w:trHeight w:val="157"/>
        </w:trPr>
        <w:tc>
          <w:tcPr>
            <w:tcW w:w="3200" w:type="dxa"/>
            <w:vAlign w:val="bottom"/>
            <w:gridSpan w:val="2"/>
          </w:tcPr>
          <w:p>
            <w:pPr>
              <w:spacing w:after="0" w:line="157" w:lineRule="exact"/>
              <w:rPr>
                <w:sz w:val="20"/>
                <w:szCs w:val="20"/>
                <w:color w:val="auto"/>
              </w:rPr>
            </w:pPr>
            <w:r>
              <w:rPr>
                <w:rFonts w:ascii="Arial" w:cs="Arial" w:eastAsia="Arial" w:hAnsi="Arial"/>
                <w:sz w:val="18"/>
                <w:szCs w:val="18"/>
                <w:b w:val="1"/>
                <w:bCs w:val="1"/>
                <w:i w:val="1"/>
                <w:iCs w:val="1"/>
                <w:color w:val="auto"/>
              </w:rPr>
              <w:t>Executive Officers</w:t>
            </w: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80" w:type="dxa"/>
            <w:vAlign w:val="bottom"/>
            <w:tcBorders>
              <w:top w:val="single" w:sz="8" w:color="auto"/>
            </w:tcBorders>
          </w:tcPr>
          <w:p>
            <w:pPr>
              <w:spacing w:after="0"/>
              <w:rPr>
                <w:sz w:val="13"/>
                <w:szCs w:val="13"/>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Peter Colis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Executive Officer and Chair of our Board of Directors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Lingke Wang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President and 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Christopher Capozzi</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Erin Lantz</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Revenue Officer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Kunal Mehta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Senior Vice President, Finance</w:t>
            </w:r>
          </w:p>
        </w:tc>
      </w:tr>
      <w:tr>
        <w:trPr>
          <w:trHeight w:val="239"/>
        </w:trPr>
        <w:tc>
          <w:tcPr>
            <w:tcW w:w="3200" w:type="dxa"/>
            <w:vAlign w:val="bottom"/>
            <w:gridSpan w:val="2"/>
          </w:tcPr>
          <w:p>
            <w:pPr>
              <w:spacing w:after="0"/>
              <w:rPr>
                <w:sz w:val="20"/>
                <w:szCs w:val="20"/>
                <w:color w:val="auto"/>
              </w:rPr>
            </w:pPr>
            <w:r>
              <w:rPr>
                <w:rFonts w:ascii="Arial" w:cs="Arial" w:eastAsia="Arial" w:hAnsi="Arial"/>
                <w:sz w:val="18"/>
                <w:szCs w:val="18"/>
                <w:color w:val="auto"/>
              </w:rPr>
              <w:t>Vipul Sharma</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74"/>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80" w:type="dxa"/>
            <w:vAlign w:val="bottom"/>
          </w:tcPr>
          <w:p>
            <w:pPr>
              <w:spacing w:after="0"/>
              <w:rPr>
                <w:sz w:val="23"/>
                <w:szCs w:val="23"/>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Roelof Botha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Priscilla Hung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John Kunze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Nathan J. Niparko</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Khozema Shipchandler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3200" w:type="dxa"/>
            <w:vAlign w:val="bottom"/>
            <w:gridSpan w:val="2"/>
          </w:tcPr>
          <w:p>
            <w:pPr>
              <w:spacing w:after="0"/>
              <w:rPr>
                <w:sz w:val="20"/>
                <w:szCs w:val="20"/>
                <w:color w:val="auto"/>
              </w:rPr>
            </w:pPr>
            <w:r>
              <w:rPr>
                <w:rFonts w:ascii="Arial" w:cs="Arial" w:eastAsia="Arial" w:hAnsi="Arial"/>
                <w:sz w:val="18"/>
                <w:szCs w:val="18"/>
                <w:color w:val="auto"/>
              </w:rPr>
              <w:t>William J. Wheeler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i w:val="1"/>
          <w:iCs w:val="1"/>
          <w:color w:val="auto"/>
        </w:rPr>
        <w:t xml:space="preserve">Peter Colis. </w:t>
      </w:r>
      <w:r>
        <w:rPr>
          <w:rFonts w:ascii="Arial" w:cs="Arial" w:eastAsia="Arial" w:hAnsi="Arial"/>
          <w:sz w:val="18"/>
          <w:szCs w:val="18"/>
          <w:color w:val="auto"/>
        </w:rPr>
        <w:t>Mr. Colis is our co-founder and has served as our Chief Executive Officer and Chair of our board of directors since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Prior to co-founding Ethos, Mr. Colis served as the Chief Executive Officer of Ovid Corp., an insurance auction platform that was acquired in 2019. Mr. Colis holds a Bachelor of Arts in Philosophy from University of Colorado, Boulder and a Master of Business Administration from Stanford Graduate School of Business. Mr. Colis was selected to serve on our board of directors because of his experience as co-founder and Chief Executive Officer of Ethos as well as his extensive experience with advising and leading technology companies.</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Lingke Wang</w:t>
      </w:r>
      <w:r>
        <w:rPr>
          <w:rFonts w:ascii="Arial" w:cs="Arial" w:eastAsia="Arial" w:hAnsi="Arial"/>
          <w:sz w:val="18"/>
          <w:szCs w:val="18"/>
          <w:color w:val="auto"/>
        </w:rPr>
        <w:t>. Mr. Wang is our co-founder and has served as a member of our board of directors since July 2016. Mr. Wang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President since July 2021 and previously served as our Chief Technology Officer from July 2016 to July 2021. Prior to co-founding Ethos, Mr. Wang served as the Chief Product and Chief Technology Officer of Ovid Corp., an insurance auction platform that was acquired in 2019, and started his career at Morgan Stanley as an investment banking analyst. Mr. Wang holds a Bachelor of Science in Applied Mathematics, Economics and Mechanical Engineering from Brown University and a Master of Business Administration from Stanford Graduate School of Business. Mr. Wang was selected to serve on our board of directors because of his experience as co-founder and President of Ethos as well as his extensive experience in the insurance technology field and in finance.</w:t>
      </w:r>
    </w:p>
    <w:p>
      <w:pPr>
        <w:spacing w:after="0" w:line="18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i w:val="1"/>
          <w:iCs w:val="1"/>
          <w:color w:val="auto"/>
        </w:rPr>
        <w:t>Christopher Capozzi</w:t>
      </w:r>
      <w:r>
        <w:rPr>
          <w:rFonts w:ascii="Arial" w:cs="Arial" w:eastAsia="Arial" w:hAnsi="Arial"/>
          <w:sz w:val="18"/>
          <w:szCs w:val="18"/>
          <w:color w:val="auto"/>
        </w:rPr>
        <w:t>. Mr. Capozzi has served as our Chief Financial Officer since April 2025. Prior to Ethos, Mr. Capozzi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Partner and Chief Financial Officer at Quiet Capital, an investment management company, from January 2021 to April 2025, where he was responsible for financial oversight, strategic planning and risk management. Previously, Mr. Capozzi served as Advisor and Former Chief Operating Officer and Chief Financial Officer of Achieve, a leading digital personal finance company, from January 2017 to July 2021, and in various executive roles at General Electric from 1999 to 2016, including as the company’s Chief Risk Officer. Mr. Capozzi holds a Bachelor of Science in Business Administration from Boston College and a Master of Business Administration from Columbia Business School.</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Erin Lantz</w:t>
      </w:r>
      <w:r>
        <w:rPr>
          <w:rFonts w:ascii="Arial" w:cs="Arial" w:eastAsia="Arial" w:hAnsi="Arial"/>
          <w:sz w:val="18"/>
          <w:szCs w:val="18"/>
          <w:color w:val="auto"/>
        </w:rPr>
        <w:t>. Ms. Lantz has served as our Chief Revenue Officer since April 2020. Prior to joining Ethos, Ms. Lantz led the Mortgages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at Zillow Group from July 2010 through October 2019 where she oversaw several functions including product, engineering, sales, marketing, operations and compliance. Earlier, she was a Senior Vice President at Bank of America and an Associate Consultant at the Boston Consulting Group. Ms. Lantz has served on the board of directors of Blend Labs (NYSE: BLND), an origination platform for digital banking, where she chairs the compensation committee and has been a member of the audit committee, since January 2023. She also has served on the board of directors of Meritage Homes Corporation (NYSE: MTH), an energy-efficient residential construction company, where she has been a member of the audit committee, since October 2024. Previously, Ms. Lantz served on the board of directors of TrueCar, Inc. (Nasdaq: TRUE), a digital automotive marketplace, from November 2016 to May 2024, and for Shelter Acquisition Corp (Nasdaq: SHQA), a special-purpose acquisition company focused on the property technology industry from July 2021 to December 2022. Ms. Lantz holds a Bachelor of Arts in Political Science, Philosophy, and Economics from University of Pennsylvania and a Master of Business Administration from Harvard Business School.</w:t>
      </w:r>
    </w:p>
    <w:p>
      <w:pPr>
        <w:spacing w:after="0" w:line="18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Kunal Mehta</w:t>
      </w:r>
      <w:r>
        <w:rPr>
          <w:rFonts w:ascii="Arial" w:cs="Arial" w:eastAsia="Arial" w:hAnsi="Arial"/>
          <w:sz w:val="18"/>
          <w:szCs w:val="18"/>
          <w:color w:val="auto"/>
        </w:rPr>
        <w:t>. Mr. Mehta has served as our Senior Vice President, Finance since April 2025, our Chief Financial Officer from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2023 to April 2025 and our Vice President, Finance and Corporate Strategy from September 2021 to March 2023. Prior to Ethos,</w:t>
      </w:r>
    </w:p>
    <w:p>
      <w:pPr>
        <w:ind w:left="120" w:right="220"/>
        <w:spacing w:after="0" w:line="238" w:lineRule="auto"/>
        <w:rPr>
          <w:sz w:val="20"/>
          <w:szCs w:val="20"/>
          <w:color w:val="auto"/>
        </w:rPr>
      </w:pPr>
      <w:r>
        <w:rPr>
          <w:rFonts w:ascii="Arial" w:cs="Arial" w:eastAsia="Arial" w:hAnsi="Arial"/>
          <w:sz w:val="18"/>
          <w:szCs w:val="18"/>
          <w:color w:val="auto"/>
        </w:rPr>
        <w:t>Mr. Mehta held senior roles at Adobe, a global leader in digital media and marketing solutions, from March 2017 to September 2021, where he most recently led GTM sales strategy for Adobe’s digital media enterprise business, and at DocuSign, a cloud-based platform that simplifies the process of signing, sending, and managing documents electronically, from July 2014 to March 2017, where he scaled corporate strategy, M&amp;A and business operations functions. His career began at Intuit, Deutsche Bank and PwC. Mr. Mehta holds a Bachelor of Science in Computer Science from University of California, Los Angeles and a Master of Business Administration from Tuck School of Business of Dartmouth College.</w:t>
      </w:r>
    </w:p>
    <w:p>
      <w:pPr>
        <w:spacing w:after="0" w:line="181"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i w:val="1"/>
          <w:iCs w:val="1"/>
          <w:color w:val="auto"/>
        </w:rPr>
        <w:t>Vipul Sharma</w:t>
      </w:r>
      <w:r>
        <w:rPr>
          <w:rFonts w:ascii="Arial" w:cs="Arial" w:eastAsia="Arial" w:hAnsi="Arial"/>
          <w:sz w:val="18"/>
          <w:szCs w:val="18"/>
          <w:color w:val="auto"/>
        </w:rPr>
        <w:t>. Mr. Sharma has served as our Chief Technology Officer since July 2021 and previously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from January 2019 to June 2021. Prior to Ethos, Mr. Sharma held engineering leadership positions at Indeed, an internet job search and recruiting platform, and Eventbrite, an online ticketing platform, and founded Simppler, an employee referral platform that was later acquired. Mr. Sharma holds a Bachelor’s in Computer Science from College of Engineering Roorkee and a Master of Science in Computer Science from University of Houston.</w:t>
      </w:r>
    </w:p>
    <w:p>
      <w:pPr>
        <w:spacing w:after="0" w:line="176"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Each executive officer serves at the discretion of our board of directors and holds office until his or her successor is duly appointed and qualified or until his or her earlier resignation or removal.</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 xml:space="preserve">Roelof Botha. </w:t>
      </w:r>
      <w:r>
        <w:rPr>
          <w:rFonts w:ascii="Arial" w:cs="Arial" w:eastAsia="Arial" w:hAnsi="Arial"/>
          <w:sz w:val="18"/>
          <w:szCs w:val="18"/>
          <w:color w:val="auto"/>
        </w:rPr>
        <w:t>Mr. Botha has served on our board of directors since October 2018. Mr. Botha has been with Sequoia Capital,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since 2003, and has been a managing member of Sequoia Capital Operations, LLC since 2007. From 2000 to 2003, Mr. Botha served in various positions at PayPal, Inc. (Nasdaq: PYPL), an online payments company, including as the chief financial officer. Mr. Botha has served on the board of directors of MongoDB (Nasdaq: MDB) since December 2013, where he serves on the audit committee, Block, Inc. (NYSE: XYZ) (formerly Square, Inc.), a technology company and financial services provider since January 2011, where he serves as the lead independent director and a member of the audit and risk committee and compensation committee, Natera Inc. (Nasdaq: NTRA), a public genetic testing company, since June 2007, where he serves as the lead independent director and a member of the nominating, corporate governance and compliance committee, and Unity Software (NYSE: U), a public video game software development company, since 2009, where he serves on the audit committee, and a number of privately held companies.</w:t>
      </w:r>
    </w:p>
    <w:p>
      <w:pPr>
        <w:ind w:left="120"/>
        <w:spacing w:after="0" w:line="235" w:lineRule="auto"/>
        <w:rPr>
          <w:sz w:val="20"/>
          <w:szCs w:val="20"/>
          <w:color w:val="auto"/>
        </w:rPr>
      </w:pPr>
      <w:r>
        <w:rPr>
          <w:rFonts w:ascii="Arial" w:cs="Arial" w:eastAsia="Arial" w:hAnsi="Arial"/>
          <w:sz w:val="18"/>
          <w:szCs w:val="18"/>
          <w:color w:val="auto"/>
        </w:rPr>
        <w:t>Mr. Botha previously served on the boards of directors of 23andMe, Inc. (Nasdaq: ME), a personal genetics company, from September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 to September 2024, Bird Global, Inc. (NYSE: BRDS), an electric</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vehicle ridesharing company, from June 2018 to December 2022, and Eventbrite, Inc. (NYSE: EB), a global platform for live experiences, from October 2009 to June 2022. Mr. Botha received his Bachelor of Science in Actuarial Science, Economics, and Statistics from University of Cape Town and a Master of Business Administration from Stanford Graduate School of Business. Mr. Botha was selected to serve on our board of directors because of his experience serving on the boards of public companies as well as his expertise with venture capital and technology companies.</w:t>
      </w:r>
    </w:p>
    <w:p>
      <w:pPr>
        <w:spacing w:after="0" w:line="17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Priscilla Hung</w:t>
      </w:r>
      <w:r>
        <w:rPr>
          <w:rFonts w:ascii="Arial" w:cs="Arial" w:eastAsia="Arial" w:hAnsi="Arial"/>
          <w:sz w:val="18"/>
          <w:szCs w:val="18"/>
          <w:color w:val="auto"/>
        </w:rPr>
        <w:t>. Ms. Hung has served as a member of our board of directors since April 2021. Ms. Hung has served as a Senior</w:t>
      </w:r>
      <w:r>
        <w:rPr>
          <w:rFonts w:ascii="Arial" w:cs="Arial" w:eastAsia="Arial" w:hAnsi="Arial"/>
          <w:sz w:val="18"/>
          <w:szCs w:val="18"/>
          <w:i w:val="1"/>
          <w:iCs w:val="1"/>
          <w:color w:val="auto"/>
        </w:rPr>
        <w:t xml:space="preserve"> </w:t>
      </w:r>
      <w:r>
        <w:rPr>
          <w:rFonts w:ascii="Arial" w:cs="Arial" w:eastAsia="Arial" w:hAnsi="Arial"/>
          <w:sz w:val="18"/>
          <w:szCs w:val="18"/>
          <w:color w:val="auto"/>
        </w:rPr>
        <w:t>Advisor at Guidewire Software, Inc., a provider of cloud-based software for the property and casualty insurance industry since January 2024. Prior to becoming a Senior Advisor, Ms. Hung served in various roles at Guidewire since 2005, including president and chief operating officer, chief administrative officer, senior vice president of corporate development, vice president of operations, and vice president of corporate development. Prior to joining Guidewire, Ms. Hung held multiple management positions at SAP Ariba, a software and information technology services company, Sun Microsystems, Inc., a manufacturer of computer workstations, servers, and software, and Oracle Corporation, a database and enterprise management company. Ms. Hung has served on the board of Xerox Holdings Corporation (Nasdaq: XRX), a global leader in office systems and production print technology, since May 2024, where she serves on the corporate governance committee and finance committee, Veeva Systems Inc. (NYSE: VEEV), a provider of cloud-based software for the global life sciences industry, since January 2022, where she serves on the audit committee, and Waystar Holding Corp. (Nasdaq: WAY), a leading enterprise healthcare payments company, since February 2024, where she serves on the audit, compliance, and risk committee and talent and compensation committee. Ms. Hung previously served on the board of Vonage Holdings Corp., a cloud communications provider, from 2019 until 2022, when it was acquired by Telefonaktiebolaget LM Ericsson. Ms. Hung holds a Bachelor of Arts degree in Computer Science from Mills College and a Master of Engineering in Operation Research &amp; Industrial Engineering from Cornell University. Ms. Hung was selected to serve on our board of directors because of her experience serving on the boards of financial technology companies as well as her corporate management experience.</w:t>
      </w:r>
    </w:p>
    <w:p>
      <w:pPr>
        <w:spacing w:after="0" w:line="186"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i w:val="1"/>
          <w:iCs w:val="1"/>
          <w:color w:val="auto"/>
        </w:rPr>
        <w:t>John Kunze</w:t>
      </w:r>
      <w:r>
        <w:rPr>
          <w:rFonts w:ascii="Arial" w:cs="Arial" w:eastAsia="Arial" w:hAnsi="Arial"/>
          <w:sz w:val="18"/>
          <w:szCs w:val="18"/>
          <w:color w:val="auto"/>
        </w:rPr>
        <w:t>. Mr. Kunze has served as a member of our board of directors since July 2019. Previously, Mr. Kunze served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roles at PayPal, Inc. (Nasdaq: PYPL), an online payments company from 2015 to 2023, including most recently as its Senior Vice President, Global Consumer Product and Technology from June 2019 to April 2023. Mr. Kunze served as the Chief Executive Officer of Xoom Corporation, a global online payments service, until its acquisition by PayPal in 2015. Mr. Kunze holds a Bachelor of Arts degree in Economics from Franklin &amp; Marshall College. Mr. Kunze was selected to serve on our board of directors because of his extensive management experience with financial technology companies.</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i w:val="1"/>
          <w:iCs w:val="1"/>
          <w:color w:val="auto"/>
        </w:rPr>
        <w:t>Nathan J. Niparko</w:t>
      </w:r>
      <w:r>
        <w:rPr>
          <w:rFonts w:ascii="Arial" w:cs="Arial" w:eastAsia="Arial" w:hAnsi="Arial"/>
          <w:sz w:val="18"/>
          <w:szCs w:val="18"/>
          <w:color w:val="auto"/>
        </w:rPr>
        <w:t>. Mr. Niparko has served as a member of our board of directors since October 2018. Since 2011, Mr. Niparko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 partner at Accel, a venture capital firm. He also served on the boards of directors of various private companies. Mr. Niparko holds Bachelor’s Degrees in Economics and Engineering from Dartmouth College, and a Master of Business Administration from Stanford University Graduate School of Business. Mr. Niparko was selected to serve on our board of directors because of his experience advising financial technology, cloud, and software services companies.</w:t>
      </w:r>
    </w:p>
    <w:p>
      <w:pPr>
        <w:spacing w:after="0" w:line="176"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i w:val="1"/>
          <w:iCs w:val="1"/>
          <w:color w:val="auto"/>
        </w:rPr>
        <w:t>Khozema Shipchandler</w:t>
      </w:r>
      <w:r>
        <w:rPr>
          <w:rFonts w:ascii="Arial" w:cs="Arial" w:eastAsia="Arial" w:hAnsi="Arial"/>
          <w:sz w:val="18"/>
          <w:szCs w:val="18"/>
          <w:color w:val="auto"/>
        </w:rPr>
        <w:t>. Mr. Shipchandler has served as a member of our board of directors since July 2021. Mr. Shipchandler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Chief Executive Officer of Twilio, Inc. (NYSE: TWLO), a leading cloud communications company, since January 2024. Prior to that, Mr. Shipchandler served as Twilio’s President from March 2023 to January 2024, as Chief Operating Officer from 2021 to 2023, and as Chief Financial Officer from 2018 to 2021. From 2015 to 2018, Mr. Shipchandler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served as Chief Financial Officer and Executive Vice President of Corporate Development at GE Digital, an operational technology and infrastructure software company that is a division of General Electric, a multinational conglomerate. From 1996 to 2015, Mr. Shipchandler served in various executive roles at General Electric, including as Chief Financial Officer, Middle East, North Africa and Turkey from 2011 to 2013. Mr. Shipchandler previously served on the board of directors of Smartsheet Inc., an enterprise software company, from June 2023 to January 2025. Mr. Shipchandler holds a Bachelor of Arts degree in Biology and English from Indiana University Bloomington.</w:t>
      </w:r>
    </w:p>
    <w:p>
      <w:pPr>
        <w:spacing w:after="0" w:line="4" w:lineRule="exact"/>
        <w:rPr>
          <w:sz w:val="20"/>
          <w:szCs w:val="20"/>
          <w:color w:val="auto"/>
        </w:rPr>
      </w:pPr>
    </w:p>
    <w:p>
      <w:pPr>
        <w:ind w:left="120" w:right="320"/>
        <w:spacing w:after="0" w:line="250" w:lineRule="auto"/>
        <w:rPr>
          <w:sz w:val="20"/>
          <w:szCs w:val="20"/>
          <w:color w:val="auto"/>
        </w:rPr>
      </w:pPr>
      <w:r>
        <w:rPr>
          <w:rFonts w:ascii="Arial" w:cs="Arial" w:eastAsia="Arial" w:hAnsi="Arial"/>
          <w:sz w:val="18"/>
          <w:szCs w:val="18"/>
          <w:color w:val="auto"/>
        </w:rPr>
        <w:t>Mr. Shipchandler was selected to serve on our board of directors because of his management experience at multiple global technology companies.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 xml:space="preserve">William J. Wheeler. </w:t>
      </w:r>
      <w:r>
        <w:rPr>
          <w:rFonts w:ascii="Arial" w:cs="Arial" w:eastAsia="Arial" w:hAnsi="Arial"/>
          <w:sz w:val="18"/>
          <w:szCs w:val="18"/>
          <w:color w:val="auto"/>
        </w:rPr>
        <w:t>Mr. Wheeler has served on our board of directors since July 2025. Mr. Wheeler has served on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Evercore Inc. (NYSE: EVR), a premier global independent investment banking advisory firm, since February 2015, where he serves as chair of the audit committee and as a member of the compensation committee. Mr. Wheeler previously served as the Vice Chairman of Athene Holding Ltd. (NYSE: ATH-PA), a leading retirement services company and a subsidiary of Apollo Global Management, Inc., from April 2022 to February 2025 and as President from September 2015 to March 2022. Prior to joining Athene, Mr. Wheeler was President of the Americas group for MetLife Inc. (NYSE: MET) from September 2011 to August 2015, where he oversaw the insurance and retirement business in the United States and Latin America. Previously, Mr. Wheeler had been Executive Vice President and Chief Financial Officer at MetLife. Prior to joining MetLife, Mr. Wheeler was an investment banker at Donaldson, Lufkin &amp; Jenrette. Mr. Wheeler holds a Bachelor of Arts degree from Wabash College, where he is the Chairman of its board of trustees, and a Master of Business Administration from Harvard Business School. Mr. Wheeler was selected to serve on our board of directors because of his deep expertise across insurance, retirement services and investment banking.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0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Pursuant to our certificate of incorporation and our amended and restated voting agreement in effect prior to the closing of this offering, our directors were elected as follows:</w:t>
      </w:r>
    </w:p>
    <w:p>
      <w:pPr>
        <w:spacing w:after="0" w:line="59"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Botha was elected as the designee nominated by holders of our Series A redeemable convertible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Niparko was elected as the designee nominated by holders of our Series B convertible redeemable preferred stock; and</w:t>
      </w:r>
    </w:p>
    <w:p>
      <w:pPr>
        <w:spacing w:after="0" w:line="117"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Messrs. Colis, Wang, Kunze, Shipchandler and Wheeler and Ms. Hung were elected as the independent designees nominated by holders of our common stock.</w:t>
      </w:r>
    </w:p>
    <w:p>
      <w:pPr>
        <w:spacing w:after="0" w:line="154" w:lineRule="exact"/>
        <w:rPr>
          <w:sz w:val="20"/>
          <w:szCs w:val="20"/>
          <w:color w:val="auto"/>
        </w:rPr>
      </w:pPr>
    </w:p>
    <w:p>
      <w:pPr>
        <w:ind w:left="120" w:right="220" w:firstLine="551"/>
        <w:spacing w:after="0" w:line="242" w:lineRule="auto"/>
        <w:rPr>
          <w:sz w:val="20"/>
          <w:szCs w:val="20"/>
          <w:color w:val="auto"/>
        </w:rPr>
      </w:pPr>
      <w:r>
        <w:rPr>
          <w:rFonts w:ascii="Arial" w:cs="Arial" w:eastAsia="Arial" w:hAnsi="Arial"/>
          <w:sz w:val="18"/>
          <w:szCs w:val="18"/>
          <w:color w:val="auto"/>
        </w:rPr>
        <w:t>Immediately prior to the closing of this offering, our amended and restated voting agreement will terminate, our certificate of incorporation, along with our bylaws, will be amended and restated, and none of our stockholders will have any special rights regarding the election or designation of members of our board of directors. After the closing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79"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In accordance with our amended and restated certificate of incorporation that will be in effect immediately prior to the closing of this offering, immediately after the closing of this offering, our board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80"/>
              <w:spacing w:after="0"/>
              <w:rPr>
                <w:sz w:val="20"/>
                <w:szCs w:val="20"/>
                <w:color w:val="auto"/>
              </w:rPr>
            </w:pPr>
            <w:r>
              <w:rPr>
                <w:rFonts w:ascii="Arial" w:cs="Arial" w:eastAsia="Arial" w:hAnsi="Arial"/>
                <w:sz w:val="18"/>
                <w:szCs w:val="18"/>
                <w:color w:val="auto"/>
                <w:w w:val="98"/>
              </w:rPr>
              <w:t>the Class I directors will be 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 </w:t>
            </w:r>
          </w:p>
        </w:tc>
        <w:tc>
          <w:tcPr>
            <w:tcW w:w="6900" w:type="dxa"/>
            <w:vAlign w:val="bottom"/>
          </w:tcPr>
          <w:p>
            <w:pPr>
              <w:ind w:left="40"/>
              <w:spacing w:after="0"/>
              <w:rPr>
                <w:sz w:val="20"/>
                <w:szCs w:val="20"/>
                <w:color w:val="auto"/>
              </w:rPr>
            </w:pPr>
            <w:r>
              <w:rPr>
                <w:rFonts w:ascii="Arial" w:cs="Arial" w:eastAsia="Arial" w:hAnsi="Arial"/>
                <w:sz w:val="18"/>
                <w:szCs w:val="18"/>
                <w:color w:val="auto"/>
              </w:rPr>
              <w:t>and their terms will expire at our first annual meeting of stockholders following this</w:t>
            </w:r>
          </w:p>
        </w:tc>
      </w:tr>
      <w:tr>
        <w:trPr>
          <w:trHeight w:val="239"/>
        </w:trPr>
        <w:tc>
          <w:tcPr>
            <w:tcW w:w="140" w:type="dxa"/>
            <w:vAlign w:val="bottom"/>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offering;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80"/>
              <w:spacing w:after="0"/>
              <w:rPr>
                <w:sz w:val="20"/>
                <w:szCs w:val="20"/>
                <w:color w:val="auto"/>
              </w:rPr>
            </w:pPr>
            <w:r>
              <w:rPr>
                <w:rFonts w:ascii="Arial" w:cs="Arial" w:eastAsia="Arial" w:hAnsi="Arial"/>
                <w:sz w:val="18"/>
                <w:szCs w:val="18"/>
                <w:color w:val="auto"/>
                <w:w w:val="96"/>
              </w:rPr>
              <w:t>the Class II directors will be 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6900" w:type="dxa"/>
            <w:vAlign w:val="bottom"/>
          </w:tcPr>
          <w:p>
            <w:pPr>
              <w:ind w:left="100"/>
              <w:spacing w:after="0"/>
              <w:rPr>
                <w:sz w:val="20"/>
                <w:szCs w:val="20"/>
                <w:color w:val="auto"/>
              </w:rPr>
            </w:pPr>
            <w:r>
              <w:rPr>
                <w:rFonts w:ascii="Arial" w:cs="Arial" w:eastAsia="Arial" w:hAnsi="Arial"/>
                <w:sz w:val="18"/>
                <w:szCs w:val="18"/>
                <w:color w:val="auto"/>
                <w:w w:val="99"/>
              </w:rPr>
              <w:t>and their terms will expire at our second annual meeting of stockholders following this</w:t>
            </w:r>
          </w:p>
        </w:tc>
      </w:tr>
      <w:tr>
        <w:trPr>
          <w:trHeight w:val="239"/>
        </w:trPr>
        <w:tc>
          <w:tcPr>
            <w:tcW w:w="140" w:type="dxa"/>
            <w:vAlign w:val="bottom"/>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offering; and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80"/>
              <w:spacing w:after="0"/>
              <w:rPr>
                <w:sz w:val="20"/>
                <w:szCs w:val="20"/>
                <w:color w:val="auto"/>
              </w:rPr>
            </w:pPr>
            <w:r>
              <w:rPr>
                <w:rFonts w:ascii="Arial" w:cs="Arial" w:eastAsia="Arial" w:hAnsi="Arial"/>
                <w:sz w:val="18"/>
                <w:szCs w:val="18"/>
                <w:color w:val="auto"/>
                <w:w w:val="94"/>
              </w:rPr>
              <w:t>the Class III directors will be 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200" w:type="dxa"/>
            <w:vAlign w:val="bottom"/>
          </w:tcPr>
          <w:p>
            <w:pPr>
              <w:ind w:left="120"/>
              <w:spacing w:after="0"/>
              <w:rPr>
                <w:sz w:val="20"/>
                <w:szCs w:val="20"/>
                <w:color w:val="auto"/>
              </w:rPr>
            </w:pPr>
            <w:r>
              <w:rPr>
                <w:rFonts w:ascii="Arial" w:cs="Arial" w:eastAsia="Arial" w:hAnsi="Arial"/>
                <w:sz w:val="8"/>
                <w:szCs w:val="8"/>
                <w:color w:val="auto"/>
                <w:w w:val="74"/>
              </w:rPr>
              <w:t> </w:t>
            </w:r>
          </w:p>
        </w:tc>
        <w:tc>
          <w:tcPr>
            <w:tcW w:w="6900" w:type="dxa"/>
            <w:vAlign w:val="bottom"/>
          </w:tcPr>
          <w:p>
            <w:pPr>
              <w:ind w:left="140"/>
              <w:spacing w:after="0"/>
              <w:rPr>
                <w:sz w:val="20"/>
                <w:szCs w:val="20"/>
                <w:color w:val="auto"/>
              </w:rPr>
            </w:pPr>
            <w:r>
              <w:rPr>
                <w:rFonts w:ascii="Arial" w:cs="Arial" w:eastAsia="Arial" w:hAnsi="Arial"/>
                <w:sz w:val="18"/>
                <w:szCs w:val="18"/>
                <w:color w:val="auto"/>
              </w:rPr>
              <w:t>and their terms will expire at our third annual meeting of stockholders following this</w:t>
            </w:r>
          </w:p>
        </w:tc>
      </w:tr>
      <w:tr>
        <w:trPr>
          <w:trHeight w:val="239"/>
        </w:trPr>
        <w:tc>
          <w:tcPr>
            <w:tcW w:w="140" w:type="dxa"/>
            <w:vAlign w:val="bottom"/>
          </w:tcPr>
          <w:p>
            <w:pPr>
              <w:spacing w:after="0"/>
              <w:rPr>
                <w:sz w:val="20"/>
                <w:szCs w:val="20"/>
                <w:color w:val="auto"/>
              </w:rPr>
            </w:pPr>
          </w:p>
        </w:tc>
        <w:tc>
          <w:tcPr>
            <w:tcW w:w="2380" w:type="dxa"/>
            <w:vAlign w:val="bottom"/>
          </w:tcPr>
          <w:p>
            <w:pPr>
              <w:ind w:left="80"/>
              <w:spacing w:after="0"/>
              <w:rPr>
                <w:sz w:val="20"/>
                <w:szCs w:val="20"/>
                <w:color w:val="auto"/>
              </w:rPr>
            </w:pPr>
            <w:r>
              <w:rPr>
                <w:rFonts w:ascii="Arial" w:cs="Arial" w:eastAsia="Arial" w:hAnsi="Arial"/>
                <w:sz w:val="18"/>
                <w:szCs w:val="18"/>
                <w:color w:val="auto"/>
              </w:rPr>
              <w:t>offering.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tcPr>
          <w:p>
            <w:pPr>
              <w:spacing w:after="0"/>
              <w:rPr>
                <w:sz w:val="20"/>
                <w:szCs w:val="20"/>
                <w:color w:val="auto"/>
              </w:rPr>
            </w:pPr>
          </w:p>
        </w:tc>
      </w:tr>
    </w:tbl>
    <w:p>
      <w:pPr>
        <w:spacing w:after="0" w:line="180"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 addition, our board of directors considered the beneficial ownership of our shares held by each non-employee director and the transactions described in the section titled “Certain Relationships and Related Party Transactions.”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0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Upon the closing of this offering, our corporate governance guidelines will provide that one of our independent directors will serve as our Lead Independent Director. Our board of directors has appointed        to serve as our Lead Independent Director. The Lead Independent Director will be responsible for presiding over each executive session of non-management directors in which those directors meet without management participation and perform other duties as our board of directors may determine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0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before the closing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Our audit committee consists of          . The chairperson of our audit committee is        . Our board of directors has determined that each member of our audit committee satisfies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independence requirements under the listing standards of the        and Rule 10A-3(b)(1) under the Exchange Act. Our board of directors has determined that 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76"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74"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managing the selection, engagement, compensation,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74"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 of operations;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any material related party transactions;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guidelines and policies on risk assessment and risk management, including financial risk, cybersecurity risk, and any other identified operational risks;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or, as permitted, pre-approving, audit, review, and attest services and permissible non-audit services to be performed by the independent registered public accounting firm and the related fees;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operates under a written charter that satisfies the applicable listing standards of the            .</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Our compensation committee consists of          . The chairperson of our compensation committee is        . Our board of directors has determined that each member of our compensation committee is independent under the listing standards of the        , and a “non-employee director” as defined in Rule 16b-3 under the Exchange Act.</w:t>
      </w:r>
    </w:p>
    <w:p>
      <w:pPr>
        <w:spacing w:after="0" w:line="169"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or recommend to our board of directors for approval, as applicable, the compensation to be paid to our executive officers, directors, and other senior management, as appropriate. Specific responsibilities of our compensation committee include:</w:t>
      </w:r>
    </w:p>
    <w:p>
      <w:pPr>
        <w:spacing w:after="0" w:line="79" w:lineRule="exact"/>
        <w:rPr>
          <w:sz w:val="20"/>
          <w:szCs w:val="20"/>
          <w:color w:val="auto"/>
        </w:rPr>
      </w:pPr>
    </w:p>
    <w:p>
      <w:pPr>
        <w:ind w:left="880" w:right="380" w:hanging="224"/>
        <w:spacing w:after="0" w:line="271"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recommending to the independent members of our board of directors the compensation of our chief executive officer and approving the compensation of other senior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executives that may be designated by our board of directors for review by our compensation committee;</w:t>
      </w:r>
    </w:p>
    <w:p>
      <w:pPr>
        <w:spacing w:after="0" w:line="117"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consultation with our chief executive officer, reviewing and approving the compensation of our other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non-employee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7"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interpreting, adopting, amending, and terminating our incentive compensation and equity plans, severance agreements, bonus plans, change of control protections, and any other compensatory arrangements for our executive officers and other senior management; and</w:t>
      </w:r>
    </w:p>
    <w:p>
      <w:pPr>
        <w:spacing w:after="0" w:line="74"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establishing general policies and programs relating to compensation and benefits of our employees, including our overall compensation philosophy.</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compensation committee operates under a written charter that satisfies the applicable listing standards of the            .</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Our nominating and corporate governance committee consists of        . The chairperson of our nominating and corporate governance committee is        . Our board of directors has determined that each member of our nominating and corporate governance committee is independent under the listing standards of the        .</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17" w:lineRule="exact"/>
        <w:rPr>
          <w:sz w:val="20"/>
          <w:szCs w:val="20"/>
          <w:color w:val="auto"/>
        </w:rPr>
      </w:pPr>
    </w:p>
    <w:p>
      <w:pPr>
        <w:ind w:left="880" w:right="1160" w:hanging="224"/>
        <w:spacing w:after="0" w:line="27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59" w:lineRule="exact"/>
        <w:rPr>
          <w:rFonts w:ascii="Arial" w:cs="Arial" w:eastAsia="Arial" w:hAnsi="Arial"/>
          <w:sz w:val="18"/>
          <w:szCs w:val="18"/>
          <w:color w:val="auto"/>
        </w:rPr>
      </w:pPr>
    </w:p>
    <w:p>
      <w:pPr>
        <w:ind w:left="880" w:right="860" w:hanging="224"/>
        <w:spacing w:after="0" w:line="27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chairpersons of the committees of our board of directors;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Immediately prior to the closing of this offering, our code of conduct will be available under the corporate governance section of our website at www.ethos.com. In addition, we intend to post on our website all disclosures that are required by law or the listing standards of the        concerning any amendments to, or waivers from, any provision of our code of conduct. Information contained on, or accessible through, our website is not a part of this prospectus, and the inclusion of our website address in this prospectus is only as an inactive textual reference.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left="120" w:right="20" w:firstLine="551"/>
        <w:spacing w:after="0" w:line="275" w:lineRule="auto"/>
        <w:rPr>
          <w:sz w:val="20"/>
          <w:szCs w:val="20"/>
          <w:color w:val="auto"/>
        </w:rPr>
      </w:pPr>
      <w:r>
        <w:rPr>
          <w:rFonts w:ascii="Arial" w:cs="Arial" w:eastAsia="Arial" w:hAnsi="Arial"/>
          <w:sz w:val="17"/>
          <w:szCs w:val="17"/>
          <w:color w:val="auto"/>
        </w:rPr>
        <w:t>None of the members of our compensation committee are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During the year ended December 31, 2024, we did not pay any compensation to our non-employee directors for their service on our board of directors. We have reimbursed and will continue to reimburse all of our non-employee directors for their reasonable out-of-pocket expenses incurred in attending board of directors and committee meetings.</w:t>
      </w:r>
    </w:p>
    <w:p>
      <w:pPr>
        <w:spacing w:after="0" w:line="16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Messrs. Colis and Wang also served on our board of directors during the year ended December 31, 2024, but did not receive any additional compensation for their service as directors. See the section titled “Executive Compensation” for additional information regarding the compensation earned by Mr. Colis.</w:t>
      </w:r>
    </w:p>
    <w:p>
      <w:pPr>
        <w:spacing w:after="0" w:line="169"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As of December 31, 2024, the aggregate number of shares of common stock underlying outstanding stock awards and options under our 2016 Plan held by each of our non-employee directors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9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r>
      <w:tr>
        <w:trPr>
          <w:trHeight w:val="162"/>
        </w:trPr>
        <w:tc>
          <w:tcPr>
            <w:tcW w:w="9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Underlying</w:t>
            </w:r>
          </w:p>
        </w:tc>
      </w:tr>
      <w:tr>
        <w:trPr>
          <w:trHeight w:val="171"/>
        </w:trPr>
        <w:tc>
          <w:tcPr>
            <w:tcW w:w="91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Options</w:t>
            </w:r>
          </w:p>
        </w:tc>
      </w:tr>
      <w:tr>
        <w:trPr>
          <w:trHeight w:val="196"/>
        </w:trPr>
        <w:tc>
          <w:tcPr>
            <w:tcW w:w="9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Roelof Botha</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Priscilla Hung</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153,140</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230,156</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Kunze</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159,640</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345,236</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Nathan J. Niparko</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Khozema Shipchandler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66,964</w:t>
            </w: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closing of this offering, we did not have an established plan or policy with regard to compensation of</w:t>
      </w:r>
    </w:p>
    <w:p>
      <w:pPr>
        <w:spacing w:after="0" w:line="14"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our non-employee directors. In connection with this offering, we intend to adopt a non-employee director compensation policy, or the Director Compensation Policy, that will become effective upon the execution and delivery of the underwriting agreement related to this offering and will be applicable to all of our non-employee directors. The Director Compensation Policy provides that each such non-employee director will receive the following compensation for service on our board of directors:</w:t>
      </w:r>
    </w:p>
    <w:p>
      <w:pPr>
        <w:spacing w:after="0" w:line="86"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tab/>
        <w:t>an annual cash retainer of $            ;</w:t>
      </w:r>
    </w:p>
    <w:p>
      <w:pPr>
        <w:spacing w:after="0" w:line="117" w:lineRule="exact"/>
        <w:rPr>
          <w:sz w:val="20"/>
          <w:szCs w:val="20"/>
          <w:color w:val="auto"/>
        </w:rPr>
      </w:pPr>
    </w:p>
    <w:p>
      <w:pPr>
        <w:ind w:left="880" w:right="200" w:hanging="224"/>
        <w:spacing w:after="0" w:line="271"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        for service as non-employee chair of the board of directors or lead independent director;</w:t>
      </w:r>
    </w:p>
    <w:p>
      <w:pPr>
        <w:spacing w:after="0" w:line="59"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        , $        and $        for service as a non-chair member of the audit committee, compensation committee, and the nominating and corporate governance committee, respectively;</w:t>
      </w:r>
    </w:p>
    <w:p>
      <w:pPr>
        <w:spacing w:after="0" w:line="59" w:lineRule="exact"/>
        <w:rPr>
          <w:rFonts w:ascii="Arial" w:cs="Arial" w:eastAsia="Arial" w:hAnsi="Arial"/>
          <w:sz w:val="18"/>
          <w:szCs w:val="18"/>
          <w:color w:val="auto"/>
        </w:rPr>
      </w:pPr>
    </w:p>
    <w:p>
      <w:pPr>
        <w:ind w:left="880" w:right="840" w:hanging="224"/>
        <w:spacing w:after="0" w:line="253"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additional annual cash retainer of $        , $        and $        for service as audit committee, chair of the compensation committee, and chair of the nominating and corporate governance committee, respectively (in lieu of the committee member retainer above);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40" w:hanging="219"/>
        <w:spacing w:after="0" w:line="255" w:lineRule="auto"/>
        <w:tabs>
          <w:tab w:leader="none" w:pos="860" w:val="left"/>
        </w:tabs>
        <w:rPr>
          <w:sz w:val="20"/>
          <w:szCs w:val="20"/>
          <w:color w:val="auto"/>
        </w:rPr>
      </w:pPr>
      <w:r>
        <w:rPr>
          <w:rFonts w:ascii="Arial" w:cs="Arial" w:eastAsia="Arial" w:hAnsi="Arial"/>
          <w:sz w:val="18"/>
          <w:szCs w:val="18"/>
          <w:color w:val="auto"/>
        </w:rPr>
        <w:t>•</w:t>
        <w:tab/>
        <w:t>an initial        grant to purchase        shares of our Class A common stock, vesting in        equal monthly installments; and</w:t>
      </w:r>
    </w:p>
    <w:p>
      <w:pPr>
        <w:spacing w:after="0" w:line="307" w:lineRule="exact"/>
        <w:rPr>
          <w:sz w:val="20"/>
          <w:szCs w:val="20"/>
          <w:color w:val="auto"/>
        </w:rPr>
      </w:pPr>
    </w:p>
    <w:p>
      <w:pPr>
        <w:ind w:left="880" w:right="840" w:hanging="224"/>
        <w:spacing w:after="0" w:line="271"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grant to purchase        shares of our Class A common stock, vesting on the earlier of (i) the first anniversary of the date of grant and (ii) the date of the next annual meeting of shareholders.</w:t>
      </w:r>
    </w:p>
    <w:p>
      <w:pPr>
        <w:spacing w:after="0" w:line="15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Each of the        grants described above will be granted under our 2025 Plan, the terms of which are described in more detail below under “Executive Compensation—Equity Benefit and Stock Plans—2025 Equity Incentive Plan.” Each such award will vest and become exercisable subject to the non-employee director’s continuous service with us through each applicable vesting date, provided that each award will vest in full upon a change in control (as defined in the 2025 Plan) of the company, subject to the director’s continuous service through immediately prior to the change in control.</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Our named executive officers for the year ended December 31, 2024, consisting of our principal executive officer and the next two most highly compensated executive officers, were:</w:t>
      </w:r>
    </w:p>
    <w:p>
      <w:pPr>
        <w:spacing w:after="0" w:line="59"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Peter Colis, our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Erin Lantz, our Chief Revenue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Kunal Mehta, our Senior Vice President, Finance.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0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during the year ended December 31,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3760" w:type="dxa"/>
            <w:vAlign w:val="bottom"/>
          </w:tcPr>
          <w:p>
            <w:pPr>
              <w:spacing w:after="0"/>
              <w:rPr>
                <w:sz w:val="13"/>
                <w:szCs w:val="13"/>
                <w:color w:val="auto"/>
              </w:rPr>
            </w:pPr>
          </w:p>
        </w:tc>
        <w:tc>
          <w:tcPr>
            <w:tcW w:w="11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Salary</w:t>
            </w:r>
          </w:p>
        </w:tc>
        <w:tc>
          <w:tcPr>
            <w:tcW w:w="10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Bonus</w:t>
            </w:r>
          </w:p>
        </w:tc>
        <w:tc>
          <w:tcPr>
            <w:tcW w:w="138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Stock Awards</w:t>
            </w: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Total</w:t>
            </w:r>
          </w:p>
        </w:tc>
      </w:tr>
      <w:tr>
        <w:trPr>
          <w:trHeight w:val="175"/>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8"/>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(1)</w:t>
            </w:r>
          </w:p>
        </w:tc>
        <w:tc>
          <w:tcPr>
            <w:tcW w:w="4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20"/>
                <w:szCs w:val="20"/>
                <w:b w:val="1"/>
                <w:bCs w:val="1"/>
                <w:color w:val="auto"/>
                <w:w w:val="95"/>
                <w:vertAlign w:val="superscript"/>
              </w:rPr>
              <w:t>(2)</w:t>
            </w:r>
          </w:p>
        </w:tc>
        <w:tc>
          <w:tcPr>
            <w:tcW w:w="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66"/>
        </w:trPr>
        <w:tc>
          <w:tcPr>
            <w:tcW w:w="3760" w:type="dxa"/>
            <w:vAlign w:val="bottom"/>
            <w:shd w:val="clear" w:color="auto" w:fill="CCEEFF"/>
          </w:tcPr>
          <w:p>
            <w:pPr>
              <w:spacing w:after="0" w:line="166" w:lineRule="exact"/>
              <w:rPr>
                <w:sz w:val="20"/>
                <w:szCs w:val="20"/>
                <w:color w:val="auto"/>
              </w:rPr>
            </w:pPr>
            <w:r>
              <w:rPr>
                <w:rFonts w:ascii="Arial" w:cs="Arial" w:eastAsia="Arial" w:hAnsi="Arial"/>
                <w:sz w:val="18"/>
                <w:szCs w:val="18"/>
                <w:color w:val="auto"/>
              </w:rPr>
              <w:t>Peter Colis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3"/>
        </w:trPr>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300,000</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r>
      <w:tr>
        <w:trPr>
          <w:trHeight w:val="186"/>
        </w:trPr>
        <w:tc>
          <w:tcPr>
            <w:tcW w:w="3760" w:type="dxa"/>
            <w:vAlign w:val="bottom"/>
          </w:tcPr>
          <w:p>
            <w:pPr>
              <w:spacing w:after="0" w:line="186" w:lineRule="exact"/>
              <w:rPr>
                <w:sz w:val="20"/>
                <w:szCs w:val="20"/>
                <w:color w:val="auto"/>
              </w:rPr>
            </w:pPr>
            <w:r>
              <w:rPr>
                <w:rFonts w:ascii="Arial" w:cs="Arial" w:eastAsia="Arial" w:hAnsi="Arial"/>
                <w:sz w:val="18"/>
                <w:szCs w:val="18"/>
                <w:color w:val="auto"/>
              </w:rPr>
              <w:t>Erin Lantz</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3760" w:type="dxa"/>
            <w:vAlign w:val="bottom"/>
          </w:tcPr>
          <w:p>
            <w:pPr>
              <w:spacing w:after="0"/>
              <w:rPr>
                <w:sz w:val="20"/>
                <w:szCs w:val="20"/>
                <w:color w:val="auto"/>
              </w:rPr>
            </w:pPr>
            <w:r>
              <w:rPr>
                <w:rFonts w:ascii="Arial" w:cs="Arial" w:eastAsia="Arial" w:hAnsi="Arial"/>
                <w:sz w:val="18"/>
                <w:szCs w:val="18"/>
                <w:i w:val="1"/>
                <w:iCs w:val="1"/>
                <w:color w:val="auto"/>
              </w:rPr>
              <w:t>Chief Revenue Officer</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300,000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209,169</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509,169</w:t>
            </w:r>
          </w:p>
        </w:tc>
      </w:tr>
      <w:tr>
        <w:trPr>
          <w:trHeight w:val="186"/>
        </w:trPr>
        <w:tc>
          <w:tcPr>
            <w:tcW w:w="376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rPr>
              <w:t>Kunal Mehta</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3"/>
        </w:trPr>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Finance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394,792</w:t>
            </w:r>
          </w:p>
        </w:tc>
        <w:tc>
          <w:tcPr>
            <w:tcW w:w="1080" w:type="dxa"/>
            <w:vAlign w:val="bottom"/>
            <w:gridSpan w:val="2"/>
            <w:shd w:val="clear" w:color="auto" w:fill="CCEEFF"/>
          </w:tcPr>
          <w:p>
            <w:pPr>
              <w:jc w:val="right"/>
              <w:ind w:right="400"/>
              <w:spacing w:after="0" w:line="232" w:lineRule="exact"/>
              <w:rPr>
                <w:sz w:val="20"/>
                <w:szCs w:val="20"/>
                <w:color w:val="auto"/>
              </w:rPr>
            </w:pPr>
            <w:r>
              <w:rPr>
                <w:rFonts w:ascii="Arial" w:cs="Arial" w:eastAsia="Arial" w:hAnsi="Arial"/>
                <w:sz w:val="18"/>
                <w:szCs w:val="18"/>
                <w:color w:val="auto"/>
                <w:w w:val="99"/>
              </w:rPr>
              <w:t>5,000</w:t>
            </w:r>
            <w:r>
              <w:rPr>
                <w:rFonts w:ascii="Arial" w:cs="Arial" w:eastAsia="Arial" w:hAnsi="Arial"/>
                <w:sz w:val="26"/>
                <w:szCs w:val="26"/>
                <w:color w:val="auto"/>
                <w:w w:val="99"/>
                <w:vertAlign w:val="superscript"/>
              </w:rPr>
              <w:t>(3)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108,738</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right="20" w:hanging="544"/>
        <w:spacing w:after="0" w:line="23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awards granted to our executive officers during the year ended December 31, 2024, under our 2016 Plan, computed in accordance with Financial Accounting Standards Board Accounting Standards Codification Topic 718, Compensation—Stock Compensation, or ASC Topic 718, excluding the effect of estimated forfeitures. The assumptions used in calculating the grant date fair value of the stock awards reported in these columns are set forth in the notes to our audited consolidated financial statements included elsewhere in this prospectus. These amounts will not reflect the actual economic value that may be realized by the named executive officers.</w:t>
      </w:r>
    </w:p>
    <w:p>
      <w:pPr>
        <w:spacing w:after="0" w:line="1" w:lineRule="exact"/>
        <w:rPr>
          <w:rFonts w:ascii="Arial" w:cs="Arial" w:eastAsia="Arial" w:hAnsi="Arial"/>
          <w:sz w:val="18"/>
          <w:szCs w:val="18"/>
          <w:color w:val="auto"/>
        </w:rPr>
      </w:pPr>
    </w:p>
    <w:p>
      <w:pPr>
        <w:ind w:left="660" w:right="140" w:hanging="544"/>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in this column represent total cash bonuses earned by our named executive officers based on achievement of corporate performance goals as determined by our compensation committee for the year ended December 31, 2024, as described below under “—Narrative to the Summary Compensation Table—Annual Performance-Based Bonus Opportunity.”</w:t>
      </w:r>
    </w:p>
    <w:p>
      <w:pPr>
        <w:spacing w:after="0" w:line="2" w:lineRule="exact"/>
        <w:rPr>
          <w:rFonts w:ascii="Arial" w:cs="Arial" w:eastAsia="Arial" w:hAnsi="Arial"/>
          <w:sz w:val="18"/>
          <w:szCs w:val="18"/>
          <w:color w:val="auto"/>
        </w:rPr>
      </w:pPr>
    </w:p>
    <w:p>
      <w:pPr>
        <w:ind w:left="660" w:hanging="54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 one-time discretionary cash bonus in recognition of Mr. Mehta’s contributions to the Company.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0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Historically, our board of directors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7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Our board of directors has historically determined our executive officers’ compensation and has typically reviewed and discussed management’s proposed compensation with our Chief Executive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Officer for all executives other than our Chief Executive Officer. Based on those discussions and its discretion, our board of directors has then approved the compensation of each executive officer.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02" w:lineRule="exact"/>
        <w:rPr>
          <w:sz w:val="20"/>
          <w:szCs w:val="20"/>
          <w:color w:val="auto"/>
        </w:rPr>
      </w:pPr>
    </w:p>
    <w:p>
      <w:pPr>
        <w:ind w:left="120" w:right="360" w:firstLine="551"/>
        <w:spacing w:after="0" w:line="244" w:lineRule="auto"/>
        <w:rPr>
          <w:sz w:val="20"/>
          <w:szCs w:val="20"/>
          <w:color w:val="auto"/>
        </w:rPr>
      </w:pPr>
      <w:r>
        <w:rPr>
          <w:rFonts w:ascii="Arial" w:cs="Arial" w:eastAsia="Arial" w:hAnsi="Arial"/>
          <w:sz w:val="18"/>
          <w:szCs w:val="18"/>
          <w:color w:val="auto"/>
        </w:rPr>
        <w:t>Base salaries for our executive officers are initially established through arm’s-length negotiations at the time of the executive officer’s hiring, taking into account such named executive officer’s experience, qualifications, scope of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2024 annual base salaries for our named executive officers are set forth in the table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Base Salary</w:t>
            </w:r>
          </w:p>
        </w:tc>
      </w:tr>
      <w:tr>
        <w:trPr>
          <w:trHeight w:val="171"/>
        </w:trPr>
        <w:tc>
          <w:tcPr>
            <w:tcW w:w="10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r>
      <w:tr>
        <w:trPr>
          <w:trHeight w:val="196"/>
        </w:trPr>
        <w:tc>
          <w:tcPr>
            <w:tcW w:w="10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Peter Colis</w:t>
            </w:r>
          </w:p>
        </w:tc>
        <w:tc>
          <w:tcPr>
            <w:tcW w:w="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5"/>
              </w:rPr>
              <w:t>300,000</w:t>
            </w:r>
          </w:p>
        </w:tc>
        <w:tc>
          <w:tcPr>
            <w:tcW w:w="120" w:type="dxa"/>
            <w:vAlign w:val="bottom"/>
            <w:shd w:val="clear" w:color="auto" w:fill="CCEEFF"/>
          </w:tcPr>
          <w:p>
            <w:pPr>
              <w:spacing w:after="0"/>
              <w:rPr>
                <w:sz w:val="17"/>
                <w:szCs w:val="17"/>
                <w:color w:val="auto"/>
              </w:rPr>
            </w:pPr>
          </w:p>
        </w:tc>
      </w:tr>
      <w:tr>
        <w:trPr>
          <w:trHeight w:val="203"/>
        </w:trPr>
        <w:tc>
          <w:tcPr>
            <w:tcW w:w="10080" w:type="dxa"/>
            <w:vAlign w:val="bottom"/>
          </w:tcPr>
          <w:p>
            <w:pPr>
              <w:spacing w:after="0" w:line="202" w:lineRule="exact"/>
              <w:rPr>
                <w:sz w:val="20"/>
                <w:szCs w:val="20"/>
                <w:color w:val="auto"/>
              </w:rPr>
            </w:pPr>
            <w:r>
              <w:rPr>
                <w:rFonts w:ascii="Arial" w:cs="Arial" w:eastAsia="Arial" w:hAnsi="Arial"/>
                <w:sz w:val="18"/>
                <w:szCs w:val="18"/>
                <w:color w:val="auto"/>
              </w:rPr>
              <w:t>Erin Lantz</w:t>
            </w:r>
          </w:p>
        </w:tc>
        <w:tc>
          <w:tcPr>
            <w:tcW w:w="9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10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Kunal Mehta</w:t>
            </w:r>
          </w:p>
        </w:tc>
        <w:tc>
          <w:tcPr>
            <w:tcW w:w="9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6"/>
                <w:szCs w:val="16"/>
                <w:color w:val="auto"/>
              </w:rPr>
              <w:t>400,000</w:t>
            </w:r>
            <w:r>
              <w:rPr>
                <w:rFonts w:ascii="Arial" w:cs="Arial" w:eastAsia="Arial" w:hAnsi="Arial"/>
                <w:sz w:val="23"/>
                <w:szCs w:val="23"/>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Effective March 16, 2024, Mr. Mehta’s salary increased from $375,000 to $400,000.</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Performance-Based Bonus Opportunity</w:t>
      </w:r>
    </w:p>
    <w:p>
      <w:pPr>
        <w:spacing w:after="0" w:line="102"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In addition to base salaries, our named executive officers, other than Mr. Colis,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of directors or compensation committee establishes.</w:t>
      </w:r>
    </w:p>
    <w:p>
      <w:pPr>
        <w:spacing w:after="0" w:line="159" w:lineRule="exact"/>
        <w:rPr>
          <w:sz w:val="20"/>
          <w:szCs w:val="20"/>
          <w:color w:val="auto"/>
        </w:rPr>
      </w:pPr>
    </w:p>
    <w:p>
      <w:pPr>
        <w:ind w:left="120" w:right="480" w:firstLine="551"/>
        <w:spacing w:after="0" w:line="253" w:lineRule="auto"/>
        <w:rPr>
          <w:sz w:val="20"/>
          <w:szCs w:val="20"/>
          <w:color w:val="auto"/>
        </w:rPr>
      </w:pPr>
      <w:r>
        <w:rPr>
          <w:rFonts w:ascii="Arial" w:cs="Arial" w:eastAsia="Arial" w:hAnsi="Arial"/>
          <w:sz w:val="18"/>
          <w:szCs w:val="18"/>
          <w:color w:val="auto"/>
        </w:rPr>
        <w:t>For the year ended December 31, 2024, Ms. Lantz and Mr. Mehta were each eligible to receive a bonus at an annual target of $200,000 and $ 100,000, respectively. Our corporate performance objectives for the year ended December 31, 2024 related to the achievement of certain financial metrics.</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In connection with this offering, we intend to adopt the Employee Incentive Compensation Plan, or the Bonus Plan. The Bonus Plan will provide for the grant of such performance-based cash bonuses to our named executive officers going forward.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02"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believe that our equity awards are an important retention tool for our executives as well as for our other employees.</w:t>
      </w:r>
    </w:p>
    <w:p>
      <w:pPr>
        <w:spacing w:after="0" w:line="17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While no equity awards were granted to our named executive officers during the year ended December 31, 2024, in May 2025, our Chief Executive Officer was granted an RSU award covering 12,978,940 shares of our common stock under the 2016 Plan. Vesting of the RSU award is subject to satisfaction of both a service-based vesting requirement and a liquidity event vesting condition. The service-based vesting requirement is satisfied as to 50% of the RSUs on the date of grant, and 3.125%</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of the RSUs vest on each quarterly vesting date thereafter, subject to Mr. Colis’ continued service to us through each applicable vesting date. The liquidity event requirement will be satisfied with respect to any then-outstanding RSUs upon the earliest to occur of: (i) the effective date of a registration statement of the Company filed under the Securities Act for the sale of the our common stock to the public, whether pursuant to an initial public offering of our common stock or by a direct listing of the our common stock, or (ii) immediately prior to the closing of a corporate transaction, as defined in our 2016 Plan. The liquidity event requirement will be satisfied in connection with the closing of this offering.</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Historically, we have granted RSU awards and stock option awards subject to service-based, liquidity event-based, and/or market-based conditions. Grants to our executives and other employees are made at the discretion of our compensation committee and are not made at any specific time period during a year. Prior to the closing of this offering, all of the equity awards we granted were made pursuant to our 2016 Plan, the terms of which are described below under “—Employee Benefit and Stock Plans.” The terms of equity awards granted to our named executive officers in the year ended December 31, 2024 are described below under “—Outstanding Equity Awards at Fiscal Year End.”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intend to enter into confirmatory offer letters with each of our named executive officers, which provide for an annual base salary, bonus opportunity, and standard employee benefits generally available to our employees. Each of our named executive officers is employed at-will. Additionally, each of our named executive officers entered into participation agreements under the Ethos Technologies Inc. Severance Plan, or the Severance Plan, providing for severance benefits as discussed below under “—Potential Payments and Benefits upon Termination or Change in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in Control</w:t>
      </w:r>
    </w:p>
    <w:p>
      <w:pPr>
        <w:spacing w:after="0" w:line="102"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5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Each of our named executive officers is eligible to receive benefits under the terms of our Severance Plan, which was approved on May  , 2025. The Severance Plan provides for severance benefits to the named executive officers upon a “change in control termination” (as described below). Upon a change in control termination, each of our named executive officers is entitled to a lump sum payment equal to a portion of their base salary (18 months for Mr. Colis and 12 months for each of Ms. Lantz and Mr. Mehta), a lump sum payment equal to a percentage of their annual target cash bonus (150% for Mr. Colis and 100% for each of Ms. Lantz and Mr. Mehta), payment of COBRA premiums (18 months for Mr. Colis and 12 months for each of Ms. Lantz and Mr. Mehta) and accelerated vesting of their equity awards that are to vest based solely on continuous service as if they had continued providing services for a number of months following such termination, equal to the number of months the executive had been employed with the Company measured from the date the executive first commenced employment with the Company through the date of termination and receiving credit for a full month for any partial month of employment. All severance benefits under the Severance Plan are subject to the executive’s execution of an effective release of claims against us.</w:t>
      </w:r>
    </w:p>
    <w:p>
      <w:pPr>
        <w:spacing w:after="0" w:line="186" w:lineRule="exact"/>
        <w:rPr>
          <w:sz w:val="20"/>
          <w:szCs w:val="20"/>
          <w:color w:val="auto"/>
        </w:rPr>
      </w:pPr>
    </w:p>
    <w:p>
      <w:pPr>
        <w:ind w:left="120" w:right="100" w:firstLine="551"/>
        <w:spacing w:after="0" w:line="275" w:lineRule="auto"/>
        <w:rPr>
          <w:sz w:val="20"/>
          <w:szCs w:val="20"/>
          <w:color w:val="auto"/>
        </w:rPr>
      </w:pPr>
      <w:r>
        <w:rPr>
          <w:rFonts w:ascii="Arial" w:cs="Arial" w:eastAsia="Arial" w:hAnsi="Arial"/>
          <w:sz w:val="17"/>
          <w:szCs w:val="17"/>
          <w:color w:val="auto"/>
        </w:rPr>
        <w:t>For purposes of the Severance Plan, a “change in control termination” is an involuntary termination without “cause” (and not as a result of death or disability) or a resignation for “good reason” (each as defined in the Severance Plan), in any case that occurs during the period of time beginning three months prior to, and ending 12 months following, a “change in control,” as defined in the Severance Plan.</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Each of our named executive officers’ equity awards is further subject to the terms of our 2016 Plan and the applicable award agreement thereunder. A description of the termination and change in control provisions in our 2016 Plan and awards granted thereunder is provided below under “—Employee Benefit and Stock Plans,” and a description of the vesting provisions of each equity award held by our named executive officers which is outstanding and unvested as of December 31, 2024 is provided below under “—Outstanding Equity Awards at Fiscal Year End.”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outstanding equity awards held by each named executive officer as of December 31, 2024.</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Name and Principal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40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Peter Colis</w:t>
      </w:r>
    </w:p>
    <w:p>
      <w:pPr>
        <w:ind w:left="120"/>
        <w:spacing w:after="0"/>
        <w:rPr>
          <w:sz w:val="20"/>
          <w:szCs w:val="20"/>
          <w:color w:val="auto"/>
        </w:rPr>
      </w:pPr>
      <w:r>
        <w:rPr>
          <w:rFonts w:ascii="Arial" w:cs="Arial" w:eastAsia="Arial" w:hAnsi="Arial"/>
          <w:sz w:val="13"/>
          <w:szCs w:val="13"/>
          <w:i w:val="1"/>
          <w:iCs w:val="1"/>
          <w:color w:val="auto"/>
        </w:rPr>
        <w:t>Chief Executive Officer</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Erin Lantz</w:t>
      </w:r>
    </w:p>
    <w:p>
      <w:pPr>
        <w:ind w:left="120"/>
        <w:spacing w:after="0"/>
        <w:rPr>
          <w:sz w:val="20"/>
          <w:szCs w:val="20"/>
          <w:color w:val="auto"/>
        </w:rPr>
      </w:pPr>
      <w:r>
        <w:rPr>
          <w:rFonts w:ascii="Arial" w:cs="Arial" w:eastAsia="Arial" w:hAnsi="Arial"/>
          <w:sz w:val="13"/>
          <w:szCs w:val="13"/>
          <w:i w:val="1"/>
          <w:iCs w:val="1"/>
          <w:color w:val="auto"/>
        </w:rPr>
        <w:t>Chief Revenue Officer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ind w:left="460"/>
              <w:spacing w:after="0"/>
              <w:rPr>
                <w:sz w:val="20"/>
                <w:szCs w:val="20"/>
                <w:color w:val="auto"/>
              </w:rPr>
            </w:pPr>
            <w:r>
              <w:rPr>
                <w:rFonts w:ascii="Arial" w:cs="Arial" w:eastAsia="Arial" w:hAnsi="Arial"/>
                <w:sz w:val="13"/>
                <w:szCs w:val="13"/>
                <w:b w:val="1"/>
                <w:bCs w:val="1"/>
                <w:color w:val="auto"/>
              </w:rPr>
              <w:t>Option Awards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4"/>
          </w:tcPr>
          <w:p>
            <w:pPr>
              <w:ind w:left="780"/>
              <w:spacing w:after="0"/>
              <w:rPr>
                <w:sz w:val="20"/>
                <w:szCs w:val="20"/>
                <w:color w:val="auto"/>
              </w:rPr>
            </w:pPr>
            <w:r>
              <w:rPr>
                <w:rFonts w:ascii="Arial" w:cs="Arial" w:eastAsia="Arial" w:hAnsi="Arial"/>
                <w:sz w:val="13"/>
                <w:szCs w:val="13"/>
                <w:b w:val="1"/>
                <w:bCs w:val="1"/>
                <w:color w:val="auto"/>
              </w:rPr>
              <w:t>Stock Awards</w:t>
            </w:r>
          </w:p>
        </w:tc>
      </w:tr>
      <w:tr>
        <w:trPr>
          <w:trHeight w:val="119"/>
        </w:trPr>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2"/>
                <w:szCs w:val="12"/>
                <w:b w:val="1"/>
                <w:bCs w:val="1"/>
                <w:color w:val="auto"/>
                <w:w w:val="95"/>
              </w:rPr>
              <w:t>Equity Incentive</w:t>
            </w: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w w:val="95"/>
              </w:rPr>
              <w:t>Equity Incentive</w:t>
            </w:r>
          </w:p>
        </w:tc>
        <w:tc>
          <w:tcPr>
            <w:tcW w:w="4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Number of</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Number of</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7"/>
              </w:rPr>
              <w:t>Plan Awards:</w:t>
            </w:r>
          </w:p>
        </w:tc>
        <w:tc>
          <w:tcPr>
            <w:tcW w:w="108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7"/>
              </w:rPr>
              <w:t>Plan Awards:</w:t>
            </w:r>
          </w:p>
        </w:tc>
      </w:tr>
      <w:tr>
        <w:trPr>
          <w:trHeight w:val="135"/>
        </w:trPr>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9"/>
              </w:rPr>
              <w:t>Number of</w:t>
            </w:r>
          </w:p>
        </w:tc>
        <w:tc>
          <w:tcPr>
            <w:tcW w:w="10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8"/>
              </w:rPr>
              <w:t>Market or Payout</w:t>
            </w:r>
          </w:p>
        </w:tc>
      </w:tr>
      <w:tr>
        <w:trPr>
          <w:trHeight w:val="135"/>
        </w:trPr>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7"/>
              </w:rPr>
              <w:t>Unearned Shares,</w:t>
            </w:r>
          </w:p>
        </w:tc>
        <w:tc>
          <w:tcPr>
            <w:tcW w:w="108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Value of Unearned</w:t>
            </w:r>
          </w:p>
        </w:tc>
      </w:tr>
      <w:tr>
        <w:trPr>
          <w:trHeight w:val="135"/>
        </w:trPr>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Vesting</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Unexercised</w:t>
            </w: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Option</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9"/>
              </w:rPr>
              <w:t>Units or Other</w:t>
            </w:r>
          </w:p>
        </w:tc>
        <w:tc>
          <w:tcPr>
            <w:tcW w:w="10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5"/>
              </w:rPr>
              <w:t>Shares, Units or</w:t>
            </w:r>
          </w:p>
        </w:tc>
      </w:tr>
      <w:tr>
        <w:trPr>
          <w:trHeight w:val="135"/>
        </w:trPr>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Commencement</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Options (#)</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Option (#)</w:t>
            </w: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7"/>
              </w:rPr>
              <w:t>Exercise</w:t>
            </w: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Option Expiration</w:t>
            </w: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7"/>
              </w:rPr>
              <w:t>Rights That Have</w:t>
            </w:r>
          </w:p>
        </w:tc>
        <w:tc>
          <w:tcPr>
            <w:tcW w:w="10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8"/>
              </w:rPr>
              <w:t>Other Rights That</w:t>
            </w:r>
          </w:p>
        </w:tc>
      </w:tr>
      <w:tr>
        <w:trPr>
          <w:trHeight w:val="145"/>
        </w:trPr>
        <w:tc>
          <w:tcPr>
            <w:tcW w:w="2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1"/>
                <w:szCs w:val="11"/>
                <w:b w:val="1"/>
                <w:bCs w:val="1"/>
                <w:color w:val="auto"/>
              </w:rPr>
              <w:t>Grant Date</w:t>
            </w:r>
            <w:r>
              <w:rPr>
                <w:rFonts w:ascii="Arial" w:cs="Arial" w:eastAsia="Arial" w:hAnsi="Arial"/>
                <w:sz w:val="16"/>
                <w:szCs w:val="16"/>
                <w:b w:val="1"/>
                <w:bCs w:val="1"/>
                <w:color w:val="auto"/>
                <w:vertAlign w:val="superscript"/>
              </w:rPr>
              <w:t>(1)</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Unexercisable</w:t>
            </w:r>
          </w:p>
        </w:tc>
        <w:tc>
          <w:tcPr>
            <w:tcW w:w="24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 xml:space="preserve">Price </w:t>
            </w:r>
            <w:r>
              <w:rPr>
                <w:rFonts w:ascii="Arial" w:cs="Arial" w:eastAsia="Arial" w:hAnsi="Arial"/>
                <w:sz w:val="12"/>
                <w:szCs w:val="12"/>
                <w:b w:val="1"/>
                <w:bCs w:val="1"/>
                <w:u w:val="single" w:color="auto"/>
                <w:color w:val="auto"/>
                <w:w w:val="97"/>
              </w:rPr>
              <w:t>($</w:t>
            </w:r>
            <w:r>
              <w:rPr>
                <w:rFonts w:ascii="Arial" w:cs="Arial" w:eastAsia="Arial" w:hAnsi="Arial"/>
                <w:sz w:val="12"/>
                <w:szCs w:val="12"/>
                <w:b w:val="1"/>
                <w:bCs w:val="1"/>
                <w:color w:val="auto"/>
                <w:w w:val="97"/>
              </w:rPr>
              <w:t>)</w:t>
            </w:r>
          </w:p>
        </w:tc>
        <w:tc>
          <w:tcPr>
            <w:tcW w:w="240" w:type="dxa"/>
            <w:vAlign w:val="bottom"/>
          </w:tcPr>
          <w:p>
            <w:pPr>
              <w:spacing w:after="0"/>
              <w:rPr>
                <w:sz w:val="12"/>
                <w:szCs w:val="12"/>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Not Vested (#)</w:t>
            </w:r>
          </w:p>
        </w:tc>
        <w:tc>
          <w:tcPr>
            <w:tcW w:w="36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1"/>
                <w:szCs w:val="11"/>
                <w:b w:val="1"/>
                <w:bCs w:val="1"/>
                <w:color w:val="auto"/>
              </w:rPr>
              <w:t>Have Not Vested</w:t>
            </w:r>
            <w:r>
              <w:rPr>
                <w:rFonts w:ascii="Arial" w:cs="Arial" w:eastAsia="Arial" w:hAnsi="Arial"/>
                <w:sz w:val="16"/>
                <w:szCs w:val="16"/>
                <w:b w:val="1"/>
                <w:bCs w:val="1"/>
                <w:color w:val="auto"/>
                <w:vertAlign w:val="superscript"/>
              </w:rPr>
              <w:t>(2)</w:t>
            </w:r>
          </w:p>
        </w:tc>
        <w:tc>
          <w:tcPr>
            <w:tcW w:w="40" w:type="dxa"/>
            <w:vAlign w:val="bottom"/>
          </w:tcPr>
          <w:p>
            <w:pPr>
              <w:spacing w:after="0"/>
              <w:rPr>
                <w:sz w:val="12"/>
                <w:szCs w:val="12"/>
                <w:color w:val="auto"/>
              </w:rPr>
            </w:pPr>
          </w:p>
        </w:tc>
      </w:tr>
      <w:tr>
        <w:trPr>
          <w:trHeight w:val="278"/>
        </w:trPr>
        <w:tc>
          <w:tcPr>
            <w:tcW w:w="2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61"/>
        </w:trPr>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7/6/2020</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4/2/2020</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3,129,212</w:t>
            </w:r>
          </w:p>
        </w:tc>
        <w:tc>
          <w:tcPr>
            <w:tcW w:w="10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0.425</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07/05/2030</w:t>
            </w: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8"/>
        </w:trPr>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5/2/2023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2/15/2023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2"/>
                <w:szCs w:val="12"/>
                <w:color w:val="auto"/>
              </w:rPr>
              <w:t>462,788</w:t>
            </w:r>
            <w:r>
              <w:rPr>
                <w:rFonts w:ascii="Arial" w:cs="Arial" w:eastAsia="Arial" w:hAnsi="Arial"/>
                <w:sz w:val="17"/>
                <w:szCs w:val="17"/>
                <w:color w:val="auto"/>
                <w:vertAlign w:val="superscript"/>
              </w:rPr>
              <w:t>(3)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2,355,590.92</w:t>
            </w:r>
          </w:p>
        </w:tc>
      </w:tr>
      <w:tr>
        <w:trPr>
          <w:trHeight w:val="147"/>
        </w:trPr>
        <w:tc>
          <w:tcPr>
            <w:tcW w:w="1160" w:type="dxa"/>
            <w:vAlign w:val="bottom"/>
            <w:gridSpan w:val="3"/>
          </w:tcPr>
          <w:p>
            <w:pPr>
              <w:jc w:val="right"/>
              <w:ind w:right="240"/>
              <w:spacing w:after="0" w:line="147" w:lineRule="exact"/>
              <w:rPr>
                <w:sz w:val="20"/>
                <w:szCs w:val="20"/>
                <w:color w:val="auto"/>
              </w:rPr>
            </w:pPr>
            <w:r>
              <w:rPr>
                <w:rFonts w:ascii="Arial" w:cs="Arial" w:eastAsia="Arial" w:hAnsi="Arial"/>
                <w:sz w:val="13"/>
                <w:szCs w:val="13"/>
                <w:color w:val="auto"/>
              </w:rPr>
              <w:t>11/02/2023</w:t>
            </w: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3"/>
                <w:szCs w:val="13"/>
                <w:color w:val="auto"/>
              </w:rPr>
              <w:t>2/15/2024</w:t>
            </w:r>
          </w:p>
        </w:tc>
        <w:tc>
          <w:tcPr>
            <w:tcW w:w="940" w:type="dxa"/>
            <w:vAlign w:val="bottom"/>
            <w:gridSpan w:val="2"/>
          </w:tcPr>
          <w:p>
            <w:pPr>
              <w:jc w:val="right"/>
              <w:ind w:right="240"/>
              <w:spacing w:after="0" w:line="147"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660"/>
              <w:spacing w:after="0" w:line="147"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line="147"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line="147" w:lineRule="exact"/>
              <w:rPr>
                <w:sz w:val="20"/>
                <w:szCs w:val="20"/>
                <w:color w:val="auto"/>
              </w:rPr>
            </w:pPr>
            <w:r>
              <w:rPr>
                <w:rFonts w:ascii="Arial" w:cs="Arial" w:eastAsia="Arial" w:hAnsi="Arial"/>
                <w:sz w:val="11"/>
                <w:szCs w:val="11"/>
                <w:color w:val="auto"/>
              </w:rPr>
              <w:t>2,119,530</w:t>
            </w:r>
            <w:r>
              <w:rPr>
                <w:rFonts w:ascii="Arial" w:cs="Arial" w:eastAsia="Arial" w:hAnsi="Arial"/>
                <w:sz w:val="16"/>
                <w:szCs w:val="16"/>
                <w:color w:val="auto"/>
                <w:vertAlign w:val="superscript"/>
              </w:rPr>
              <w:t>(3)</w:t>
            </w:r>
          </w:p>
        </w:tc>
        <w:tc>
          <w:tcPr>
            <w:tcW w:w="10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10,788,407.70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-478155</wp:posOffset>
            </wp:positionV>
            <wp:extent cx="6995160" cy="1974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20" w:space="720"/>
            <w:col w:w="87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51"/>
        </w:trPr>
        <w:tc>
          <w:tcPr>
            <w:tcW w:w="2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Kunal Mehta</w:t>
            </w:r>
          </w:p>
        </w:tc>
        <w:tc>
          <w:tcPr>
            <w:tcW w:w="1200" w:type="dxa"/>
            <w:vAlign w:val="bottom"/>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6/20/2022</w:t>
            </w:r>
          </w:p>
        </w:tc>
        <w:tc>
          <w:tcPr>
            <w:tcW w:w="128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2/15/2022</w:t>
            </w:r>
          </w:p>
        </w:tc>
        <w:tc>
          <w:tcPr>
            <w:tcW w:w="100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83"/>
              <w:spacing w:after="0" w:line="138" w:lineRule="exact"/>
              <w:rPr>
                <w:sz w:val="20"/>
                <w:szCs w:val="20"/>
                <w:color w:val="auto"/>
              </w:rPr>
            </w:pPr>
            <w:r>
              <w:rPr>
                <w:rFonts w:ascii="Arial" w:cs="Arial" w:eastAsia="Arial" w:hAnsi="Arial"/>
                <w:sz w:val="11"/>
                <w:szCs w:val="11"/>
                <w:color w:val="auto"/>
              </w:rPr>
              <w:t>400,000</w:t>
            </w:r>
            <w:r>
              <w:rPr>
                <w:rFonts w:ascii="Arial" w:cs="Arial" w:eastAsia="Arial" w:hAnsi="Arial"/>
                <w:sz w:val="15"/>
                <w:szCs w:val="15"/>
                <w:color w:val="auto"/>
                <w:vertAlign w:val="superscript"/>
              </w:rPr>
              <w:t>(3)</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2,036,000.00</w:t>
            </w:r>
          </w:p>
        </w:tc>
      </w:tr>
      <w:tr>
        <w:trPr>
          <w:trHeight w:val="148"/>
        </w:trPr>
        <w:tc>
          <w:tcPr>
            <w:tcW w:w="23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Senior Vice President, Finance</w:t>
            </w:r>
          </w:p>
        </w:tc>
        <w:tc>
          <w:tcPr>
            <w:tcW w:w="1200" w:type="dxa"/>
            <w:vAlign w:val="bottom"/>
          </w:tcPr>
          <w:p>
            <w:pPr>
              <w:jc w:val="right"/>
              <w:ind w:right="213"/>
              <w:spacing w:after="0"/>
              <w:rPr>
                <w:sz w:val="20"/>
                <w:szCs w:val="20"/>
                <w:color w:val="auto"/>
              </w:rPr>
            </w:pPr>
            <w:r>
              <w:rPr>
                <w:rFonts w:ascii="Arial" w:cs="Arial" w:eastAsia="Arial" w:hAnsi="Arial"/>
                <w:sz w:val="13"/>
                <w:szCs w:val="13"/>
                <w:color w:val="auto"/>
              </w:rPr>
              <w:t>8/5/2022</w:t>
            </w:r>
          </w:p>
        </w:tc>
        <w:tc>
          <w:tcPr>
            <w:tcW w:w="1280" w:type="dxa"/>
            <w:vAlign w:val="bottom"/>
          </w:tcPr>
          <w:p>
            <w:pPr>
              <w:jc w:val="right"/>
              <w:ind w:right="333"/>
              <w:spacing w:after="0"/>
              <w:rPr>
                <w:sz w:val="20"/>
                <w:szCs w:val="20"/>
                <w:color w:val="auto"/>
              </w:rPr>
            </w:pPr>
            <w:r>
              <w:rPr>
                <w:rFonts w:ascii="Arial" w:cs="Arial" w:eastAsia="Arial" w:hAnsi="Arial"/>
                <w:sz w:val="13"/>
                <w:szCs w:val="13"/>
                <w:color w:val="auto"/>
              </w:rPr>
              <w:t>8/15/2021</w:t>
            </w:r>
          </w:p>
        </w:tc>
        <w:tc>
          <w:tcPr>
            <w:tcW w:w="1000" w:type="dxa"/>
            <w:vAlign w:val="bottom"/>
          </w:tcPr>
          <w:p>
            <w:pPr>
              <w:ind w:left="400"/>
              <w:spacing w:after="0"/>
              <w:rPr>
                <w:sz w:val="20"/>
                <w:szCs w:val="20"/>
                <w:color w:val="auto"/>
              </w:rPr>
            </w:pPr>
            <w:r>
              <w:rPr>
                <w:rFonts w:ascii="Arial" w:cs="Arial" w:eastAsia="Arial" w:hAnsi="Arial"/>
                <w:sz w:val="13"/>
                <w:szCs w:val="13"/>
                <w:color w:val="auto"/>
              </w:rPr>
              <w:t>—</w:t>
            </w:r>
          </w:p>
        </w:tc>
        <w:tc>
          <w:tcPr>
            <w:tcW w:w="880" w:type="dxa"/>
            <w:vAlign w:val="bottom"/>
          </w:tcPr>
          <w:p>
            <w:pPr>
              <w:ind w:left="440"/>
              <w:spacing w:after="0"/>
              <w:rPr>
                <w:sz w:val="20"/>
                <w:szCs w:val="20"/>
                <w:color w:val="auto"/>
              </w:rPr>
            </w:pPr>
            <w:r>
              <w:rPr>
                <w:rFonts w:ascii="Arial" w:cs="Arial" w:eastAsia="Arial" w:hAnsi="Arial"/>
                <w:sz w:val="13"/>
                <w:szCs w:val="13"/>
                <w:color w:val="auto"/>
              </w:rPr>
              <w:t>—</w:t>
            </w:r>
          </w:p>
        </w:tc>
        <w:tc>
          <w:tcPr>
            <w:tcW w:w="980" w:type="dxa"/>
            <w:vAlign w:val="bottom"/>
          </w:tcPr>
          <w:p>
            <w:pPr>
              <w:ind w:left="300"/>
              <w:spacing w:after="0"/>
              <w:rPr>
                <w:sz w:val="20"/>
                <w:szCs w:val="20"/>
                <w:color w:val="auto"/>
              </w:rPr>
            </w:pPr>
            <w:r>
              <w:rPr>
                <w:rFonts w:ascii="Arial" w:cs="Arial" w:eastAsia="Arial" w:hAnsi="Arial"/>
                <w:sz w:val="13"/>
                <w:szCs w:val="13"/>
                <w:color w:val="auto"/>
              </w:rPr>
              <w:t>—</w:t>
            </w:r>
          </w:p>
        </w:tc>
        <w:tc>
          <w:tcPr>
            <w:tcW w:w="1000" w:type="dxa"/>
            <w:vAlign w:val="bottom"/>
          </w:tcPr>
          <w:p>
            <w:pPr>
              <w:ind w:left="5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83"/>
              <w:spacing w:after="0" w:line="149" w:lineRule="exact"/>
              <w:rPr>
                <w:sz w:val="20"/>
                <w:szCs w:val="20"/>
                <w:color w:val="auto"/>
              </w:rPr>
            </w:pPr>
            <w:r>
              <w:rPr>
                <w:rFonts w:ascii="Arial" w:cs="Arial" w:eastAsia="Arial" w:hAnsi="Arial"/>
                <w:sz w:val="12"/>
                <w:szCs w:val="12"/>
                <w:color w:val="auto"/>
              </w:rPr>
              <w:t>607,500</w:t>
            </w:r>
            <w:r>
              <w:rPr>
                <w:rFonts w:ascii="Arial" w:cs="Arial" w:eastAsia="Arial" w:hAnsi="Arial"/>
                <w:sz w:val="17"/>
                <w:szCs w:val="17"/>
                <w:color w:val="auto"/>
                <w:vertAlign w:val="superscript"/>
              </w:rPr>
              <w:t>(4)</w:t>
            </w:r>
          </w:p>
        </w:tc>
        <w:tc>
          <w:tcPr>
            <w:tcW w:w="1080" w:type="dxa"/>
            <w:vAlign w:val="bottom"/>
          </w:tcPr>
          <w:p>
            <w:pPr>
              <w:jc w:val="right"/>
              <w:spacing w:after="0"/>
              <w:rPr>
                <w:sz w:val="20"/>
                <w:szCs w:val="20"/>
                <w:color w:val="auto"/>
              </w:rPr>
            </w:pPr>
            <w:r>
              <w:rPr>
                <w:rFonts w:ascii="Arial" w:cs="Arial" w:eastAsia="Arial" w:hAnsi="Arial"/>
                <w:sz w:val="13"/>
                <w:szCs w:val="13"/>
                <w:color w:val="auto"/>
              </w:rPr>
              <w:t>3,092,175.00</w:t>
            </w:r>
          </w:p>
        </w:tc>
      </w:tr>
      <w:tr>
        <w:trPr>
          <w:trHeight w:val="148"/>
        </w:trPr>
        <w:tc>
          <w:tcPr>
            <w:tcW w:w="23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8/29/2022</w:t>
            </w:r>
          </w:p>
        </w:tc>
        <w:tc>
          <w:tcPr>
            <w:tcW w:w="12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8/15/2022</w:t>
            </w:r>
          </w:p>
        </w:tc>
        <w:tc>
          <w:tcPr>
            <w:tcW w:w="1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83"/>
              <w:spacing w:after="0" w:line="149" w:lineRule="exact"/>
              <w:rPr>
                <w:sz w:val="20"/>
                <w:szCs w:val="20"/>
                <w:color w:val="auto"/>
              </w:rPr>
            </w:pPr>
            <w:r>
              <w:rPr>
                <w:rFonts w:ascii="Arial" w:cs="Arial" w:eastAsia="Arial" w:hAnsi="Arial"/>
                <w:sz w:val="12"/>
                <w:szCs w:val="12"/>
                <w:color w:val="auto"/>
              </w:rPr>
              <w:t>200,000</w:t>
            </w:r>
            <w:r>
              <w:rPr>
                <w:rFonts w:ascii="Arial" w:cs="Arial" w:eastAsia="Arial" w:hAnsi="Arial"/>
                <w:sz w:val="17"/>
                <w:szCs w:val="17"/>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1,018,000.00</w:t>
            </w:r>
          </w:p>
        </w:tc>
      </w:tr>
      <w:tr>
        <w:trPr>
          <w:trHeight w:val="148"/>
        </w:trPr>
        <w:tc>
          <w:tcPr>
            <w:tcW w:w="2320" w:type="dxa"/>
            <w:vAlign w:val="bottom"/>
            <w:shd w:val="clear" w:color="auto" w:fill="CCEEFF"/>
          </w:tcPr>
          <w:p>
            <w:pPr>
              <w:spacing w:after="0"/>
              <w:rPr>
                <w:sz w:val="12"/>
                <w:szCs w:val="12"/>
                <w:color w:val="auto"/>
              </w:rPr>
            </w:pPr>
          </w:p>
        </w:tc>
        <w:tc>
          <w:tcPr>
            <w:tcW w:w="1200" w:type="dxa"/>
            <w:vAlign w:val="bottom"/>
          </w:tcPr>
          <w:p>
            <w:pPr>
              <w:jc w:val="right"/>
              <w:ind w:right="213"/>
              <w:spacing w:after="0"/>
              <w:rPr>
                <w:sz w:val="20"/>
                <w:szCs w:val="20"/>
                <w:color w:val="auto"/>
              </w:rPr>
            </w:pPr>
            <w:r>
              <w:rPr>
                <w:rFonts w:ascii="Arial" w:cs="Arial" w:eastAsia="Arial" w:hAnsi="Arial"/>
                <w:sz w:val="13"/>
                <w:szCs w:val="13"/>
                <w:color w:val="auto"/>
              </w:rPr>
              <w:t>5/2/2023</w:t>
            </w:r>
          </w:p>
        </w:tc>
        <w:tc>
          <w:tcPr>
            <w:tcW w:w="1280" w:type="dxa"/>
            <w:vAlign w:val="bottom"/>
          </w:tcPr>
          <w:p>
            <w:pPr>
              <w:jc w:val="right"/>
              <w:ind w:right="333"/>
              <w:spacing w:after="0"/>
              <w:rPr>
                <w:sz w:val="20"/>
                <w:szCs w:val="20"/>
                <w:color w:val="auto"/>
              </w:rPr>
            </w:pPr>
            <w:r>
              <w:rPr>
                <w:rFonts w:ascii="Arial" w:cs="Arial" w:eastAsia="Arial" w:hAnsi="Arial"/>
                <w:sz w:val="13"/>
                <w:szCs w:val="13"/>
                <w:color w:val="auto"/>
              </w:rPr>
              <w:t>2/15/2023</w:t>
            </w:r>
          </w:p>
        </w:tc>
        <w:tc>
          <w:tcPr>
            <w:tcW w:w="1000" w:type="dxa"/>
            <w:vAlign w:val="bottom"/>
          </w:tcPr>
          <w:p>
            <w:pPr>
              <w:ind w:left="400"/>
              <w:spacing w:after="0"/>
              <w:rPr>
                <w:sz w:val="20"/>
                <w:szCs w:val="20"/>
                <w:color w:val="auto"/>
              </w:rPr>
            </w:pPr>
            <w:r>
              <w:rPr>
                <w:rFonts w:ascii="Arial" w:cs="Arial" w:eastAsia="Arial" w:hAnsi="Arial"/>
                <w:sz w:val="13"/>
                <w:szCs w:val="13"/>
                <w:color w:val="auto"/>
              </w:rPr>
              <w:t>—</w:t>
            </w:r>
          </w:p>
        </w:tc>
        <w:tc>
          <w:tcPr>
            <w:tcW w:w="880" w:type="dxa"/>
            <w:vAlign w:val="bottom"/>
          </w:tcPr>
          <w:p>
            <w:pPr>
              <w:ind w:left="440"/>
              <w:spacing w:after="0"/>
              <w:rPr>
                <w:sz w:val="20"/>
                <w:szCs w:val="20"/>
                <w:color w:val="auto"/>
              </w:rPr>
            </w:pPr>
            <w:r>
              <w:rPr>
                <w:rFonts w:ascii="Arial" w:cs="Arial" w:eastAsia="Arial" w:hAnsi="Arial"/>
                <w:sz w:val="13"/>
                <w:szCs w:val="13"/>
                <w:color w:val="auto"/>
              </w:rPr>
              <w:t>—</w:t>
            </w:r>
          </w:p>
        </w:tc>
        <w:tc>
          <w:tcPr>
            <w:tcW w:w="980" w:type="dxa"/>
            <w:vAlign w:val="bottom"/>
          </w:tcPr>
          <w:p>
            <w:pPr>
              <w:ind w:left="300"/>
              <w:spacing w:after="0"/>
              <w:rPr>
                <w:sz w:val="20"/>
                <w:szCs w:val="20"/>
                <w:color w:val="auto"/>
              </w:rPr>
            </w:pPr>
            <w:r>
              <w:rPr>
                <w:rFonts w:ascii="Arial" w:cs="Arial" w:eastAsia="Arial" w:hAnsi="Arial"/>
                <w:sz w:val="13"/>
                <w:szCs w:val="13"/>
                <w:color w:val="auto"/>
              </w:rPr>
              <w:t>—</w:t>
            </w:r>
          </w:p>
        </w:tc>
        <w:tc>
          <w:tcPr>
            <w:tcW w:w="1000" w:type="dxa"/>
            <w:vAlign w:val="bottom"/>
          </w:tcPr>
          <w:p>
            <w:pPr>
              <w:ind w:left="5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83"/>
              <w:spacing w:after="0" w:line="149" w:lineRule="exact"/>
              <w:rPr>
                <w:sz w:val="20"/>
                <w:szCs w:val="20"/>
                <w:color w:val="auto"/>
              </w:rPr>
            </w:pPr>
            <w:r>
              <w:rPr>
                <w:rFonts w:ascii="Arial" w:cs="Arial" w:eastAsia="Arial" w:hAnsi="Arial"/>
                <w:sz w:val="12"/>
                <w:szCs w:val="12"/>
                <w:color w:val="auto"/>
              </w:rPr>
              <w:t>792,500</w:t>
            </w:r>
            <w:r>
              <w:rPr>
                <w:rFonts w:ascii="Arial" w:cs="Arial" w:eastAsia="Arial" w:hAnsi="Arial"/>
                <w:sz w:val="17"/>
                <w:szCs w:val="17"/>
                <w:color w:val="auto"/>
                <w:vertAlign w:val="superscript"/>
              </w:rPr>
              <w:t>(3)</w:t>
            </w:r>
          </w:p>
        </w:tc>
        <w:tc>
          <w:tcPr>
            <w:tcW w:w="1080" w:type="dxa"/>
            <w:vAlign w:val="bottom"/>
          </w:tcPr>
          <w:p>
            <w:pPr>
              <w:jc w:val="right"/>
              <w:spacing w:after="0"/>
              <w:rPr>
                <w:sz w:val="20"/>
                <w:szCs w:val="20"/>
                <w:color w:val="auto"/>
              </w:rPr>
            </w:pPr>
            <w:r>
              <w:rPr>
                <w:rFonts w:ascii="Arial" w:cs="Arial" w:eastAsia="Arial" w:hAnsi="Arial"/>
                <w:sz w:val="13"/>
                <w:szCs w:val="13"/>
                <w:color w:val="auto"/>
              </w:rPr>
              <w:t>4,033,825.00</w:t>
            </w:r>
          </w:p>
        </w:tc>
      </w:tr>
      <w:tr>
        <w:trPr>
          <w:trHeight w:val="148"/>
        </w:trPr>
        <w:tc>
          <w:tcPr>
            <w:tcW w:w="23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11/2/2023</w:t>
            </w:r>
          </w:p>
        </w:tc>
        <w:tc>
          <w:tcPr>
            <w:tcW w:w="12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8/15/2023</w:t>
            </w:r>
          </w:p>
        </w:tc>
        <w:tc>
          <w:tcPr>
            <w:tcW w:w="1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83"/>
              <w:spacing w:after="0" w:line="149" w:lineRule="exact"/>
              <w:rPr>
                <w:sz w:val="20"/>
                <w:szCs w:val="20"/>
                <w:color w:val="auto"/>
              </w:rPr>
            </w:pPr>
            <w:r>
              <w:rPr>
                <w:rFonts w:ascii="Arial" w:cs="Arial" w:eastAsia="Arial" w:hAnsi="Arial"/>
                <w:sz w:val="12"/>
                <w:szCs w:val="12"/>
                <w:color w:val="auto"/>
              </w:rPr>
              <w:t>1,483,671</w:t>
            </w:r>
            <w:r>
              <w:rPr>
                <w:rFonts w:ascii="Arial" w:cs="Arial" w:eastAsia="Arial" w:hAnsi="Arial"/>
                <w:sz w:val="17"/>
                <w:szCs w:val="17"/>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7,551,885.39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660" w:right="20" w:hanging="54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equity awards listed in this table were granted pursuant to our 2016 Plan, the terms of which are described below under “— Employee Benefit and Stock Plans—2016 Equity Incentive Plan.” The equity awards are subject to acceleration upon certain events as described in the section titled “—Narrative to the Summary Compensation Table—Potential Payments and Benefits upon Termination or Change of Control.”</w:t>
      </w:r>
    </w:p>
    <w:p>
      <w:pPr>
        <w:ind w:left="660" w:right="120" w:hanging="544"/>
        <w:spacing w:after="0" w:line="23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reported represent the fair value of our common stock of $5.09 per share as of December 31, 2024 as determined by our compensation committee in good faith, pursuant to authority from our board of directors.</w:t>
      </w:r>
    </w:p>
    <w:p>
      <w:pPr>
        <w:spacing w:after="0" w:line="1" w:lineRule="exact"/>
        <w:rPr>
          <w:rFonts w:ascii="Arial" w:cs="Arial" w:eastAsia="Arial" w:hAnsi="Arial"/>
          <w:sz w:val="18"/>
          <w:szCs w:val="18"/>
          <w:color w:val="auto"/>
        </w:rPr>
      </w:pPr>
    </w:p>
    <w:p>
      <w:pPr>
        <w:ind w:left="660" w:right="240" w:hanging="544"/>
        <w:spacing w:after="0" w:line="23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RSUs vest on the first date upon which both a service-based condition and liquidity event-based condition are satisfied. The service-based condition is satisfied as to 6.25% of the RSUs on the three-month anniversary of the vesting commencement date, and the remaining RSUs vest in 15 equal quarterly installments thereafter, subject to the named executive officer’s continued service to us through each applicable vesting date. The liquidity event-based condition will be satisfied in connection with the closing of this offering.</w:t>
      </w:r>
    </w:p>
    <w:p>
      <w:pPr>
        <w:spacing w:after="0" w:line="3" w:lineRule="exact"/>
        <w:rPr>
          <w:rFonts w:ascii="Arial" w:cs="Arial" w:eastAsia="Arial" w:hAnsi="Arial"/>
          <w:sz w:val="18"/>
          <w:szCs w:val="18"/>
          <w:color w:val="auto"/>
        </w:rPr>
      </w:pPr>
    </w:p>
    <w:p>
      <w:pPr>
        <w:ind w:left="660" w:right="140" w:hanging="54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RSUs vest on the first date upon which both a service-based condition and a liquidity event-based condition are satisfied. The service-based condition is satisfied as to 25% of the RSUs, measured on August 15, 2022, and the remaining RSUs vest in 12 equal quarterly installments thereafter, subject to the named executive officer’s continued service to us through each applicable vesting date. The liquidity event-based condition will be satisfied in connection with the closing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jc w:val="both"/>
        <w:ind w:left="120" w:right="560" w:firstLine="551"/>
        <w:spacing w:after="0" w:line="275" w:lineRule="auto"/>
        <w:rPr>
          <w:sz w:val="20"/>
          <w:szCs w:val="20"/>
          <w:color w:val="auto"/>
        </w:rPr>
      </w:pPr>
      <w:r>
        <w:rPr>
          <w:rFonts w:ascii="Arial" w:cs="Arial" w:eastAsia="Arial" w:hAnsi="Arial"/>
          <w:sz w:val="17"/>
          <w:szCs w:val="17"/>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5" w:right="4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annual total compensation of all of our employees, each as required by the Investor Protection and Securities Reform Act of 2010, which is part of the Dodd-Frank Wall Street Reform and Consumer Protection Act.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and Benefits; Perquisites</w:t>
      </w:r>
    </w:p>
    <w:p>
      <w:pPr>
        <w:spacing w:after="0" w:line="10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All of our named executive officers are eligible to participate in our employee benefit plans, including our medical, dental, vision, life, disability, and accidental death and dismemberment insurance plans, in each case, on the same basis as all of our other employees. We do not provide perquisites or personal benefits to our named executive officers.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04" w:lineRule="exact"/>
        <w:rPr>
          <w:sz w:val="20"/>
          <w:szCs w:val="20"/>
          <w:color w:val="auto"/>
        </w:rPr>
      </w:pPr>
    </w:p>
    <w:p>
      <w:pPr>
        <w:ind w:left="120" w:right="700" w:firstLine="551"/>
        <w:spacing w:after="0" w:line="271"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year ended December 31,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4"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Our named executive officers did not participate in, or earn any benefits under, any nonqualified deferred compensation plan sponsored by us during the year ended December 31,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The 401(k) plan is intended to be qualified under Section 401(a) Internal Revenue Code of 1986, as amended, or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04"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color w:val="auto"/>
        </w:rPr>
        <w:t>In connection with this offering, we intend to adopt a compensation recovery policy that is compliant with the SEC rules and applicable stock exchange listing rules, as required by the Dodd-Frank Wall Street Reform and Consumer Protection Act of 2010, to be effective upon the closing of this offering.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Equity Incentive Plan</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 2025, our board of directors adopted, and our stockholders approved, our 2025 Plan. The 2025 Plan will become effective upon the execution of the underwriting agreement for this offering. Our 2025 Plan came into existence upon its adoption by our board of directors, but no grants will be made under our 2025 Plan prior to its effectiveness. Our 2025 Plan is a successor to and continuation of our 2016 Plan (referred to in the 2025 Plan as our Prior Plan). Once our 2025 Plan becomes effective, no further grants will be made under our 2016 Plan.</w:t>
      </w:r>
    </w:p>
    <w:p>
      <w:pPr>
        <w:spacing w:after="0" w:line="176"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2025 Plan provides for the grant of incentive stock options, or ISOs to employees, including employees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parent or subsidiary, and for the grant of nonstatutory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options, NSOs, stock appreciation rights, restricted stock awards, restricted stock unit awards, performance awards, and other forms of stock awards to employees, directors, and consultants, including employees and consultants of our affiliates.</w:t>
      </w:r>
    </w:p>
    <w:p>
      <w:pPr>
        <w:spacing w:after="0" w:line="15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common stock that may be issued under our 2025 Plan after it</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effective will not exceed         shares, which is the sum of (i)         new         shares, plus (ii) up to         shares of our common stock subject to outstanding stock awards granted under our 2016 Plan that, on or after the 2025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In addition, the number of shares of our common stock reserved for issuance under our 2025 Plan will automatically increase on        of each calendar year, starting on January 1, 2026 (assuming the 2025 Plan becomes effective in 2025) through        , 2035, in an amount equal to        %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2025 Plan is .</w:t>
      </w:r>
    </w:p>
    <w:p>
      <w:pPr>
        <w:spacing w:after="0" w:line="18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Shares subject to stock awards granted under our 2025 Plan that expire or terminate without being exercised in full, or that are paid out in cash rather than in shares, do not reduce the number of shares available for issuance under our 2025 Plan. Additionally, shares become available for future grant under our 2025 Plan if they were issued stock awards under our 202 Plan and we repurchase them or they are forfeited. This includes shares used to pay the exercise price of a stock award or to satisfy the tax withholding obligations related to a stock award.</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2025 Plan.</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may delegate concurrent authority to administer our 2025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nor any committee may delegate authority to any person or body (who is not a member of our board or such body that is not comprised solely of members of our board) the authority to determine the fair market value of our common stock for purposes of the 2025 Plan.</w:t>
      </w:r>
    </w:p>
    <w:p>
      <w:pPr>
        <w:spacing w:after="0" w:line="180"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2025 Plan.</w:t>
      </w:r>
    </w:p>
    <w:p>
      <w:pPr>
        <w:spacing w:after="0" w:line="17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In addition, subject to the terms of the 2025 Plan, the administrator also has the power to modify outstanding awards under our 2025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74"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administrator.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conditions of the 2025 Plan, provided that the exercise price of a stock option generally cannot be less than 100% of the fair market value of our common stock on the date of grant. Options granted under the 2025 Plan vest at the rate specified in the stock option agreement as determined by the administrator.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ISOs that are exercisable for the first time by an optionholder during any calendar year under all of our stock plans may not exceed</w:t>
      </w:r>
    </w:p>
    <w:p>
      <w:pPr>
        <w:ind w:left="120"/>
        <w:spacing w:after="0" w:line="234" w:lineRule="auto"/>
        <w:rPr>
          <w:sz w:val="20"/>
          <w:szCs w:val="20"/>
          <w:color w:val="auto"/>
        </w:rPr>
      </w:pPr>
      <w:r>
        <w:rPr>
          <w:rFonts w:ascii="Arial" w:cs="Arial" w:eastAsia="Arial" w:hAnsi="Arial"/>
          <w:sz w:val="18"/>
          <w:szCs w:val="18"/>
          <w:color w:val="auto"/>
        </w:rPr>
        <w:t>$100,000. Options or portions thereof that exceed such limit will generally be treated as NSOs. No ISO may be granted to any person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who, at the time of the grant, owns or is deemed to own stock possessing more than 10% of our total combined voting power or that of any</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affiliates unless (i) the option exercise price is at least 110% of the fair market value of the stock subject to the option on the date of</w:t>
      </w:r>
    </w:p>
    <w:p>
      <w:pPr>
        <w:ind w:left="120"/>
        <w:spacing w:after="0"/>
        <w:rPr>
          <w:sz w:val="20"/>
          <w:szCs w:val="20"/>
          <w:color w:val="auto"/>
        </w:rPr>
      </w:pPr>
      <w:r>
        <w:rPr>
          <w:rFonts w:ascii="Arial" w:cs="Arial" w:eastAsia="Arial" w:hAnsi="Arial"/>
          <w:sz w:val="18"/>
          <w:szCs w:val="18"/>
          <w:color w:val="auto"/>
        </w:rPr>
        <w:t>grant; and (ii) the option is not exercisable after the expiration of five years from the date of grant.</w:t>
      </w:r>
    </w:p>
    <w:p>
      <w:pPr>
        <w:spacing w:after="0" w:line="19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RSUs are granted under restricted stock unit award agreements adopted by the administrator. RSUs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granted in consideration for any form of legal consideration that may be acceptable to our board of directors and permissible under applicable law. An RSU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under restricted stock award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7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are granted under stock appreciation grant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administrator determines the purchase price or strike price for a stock appreciation right, which generally cannot be less than 100% of the fair market value of our common stock on the date of grant. A stock appreciation right granted under the 2025 Plan vests at the rate specified in the stock appreciation right agreement as determined by the administrator.</w:t>
      </w:r>
    </w:p>
    <w:p>
      <w:pPr>
        <w:spacing w:after="0" w:line="17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2025 Plan permits the grant of performance-based stock and cash awards.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administrator.</w:t>
      </w:r>
    </w:p>
    <w:p>
      <w:pPr>
        <w:spacing w:after="0" w:line="1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(e) to exclude the effects of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and (k)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spacing w:after="0" w:line="184"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administrator may grant other awards based in whole or in part by reference to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54"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to any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with respect to any calendar year that begins on or after the effective date of this offering, including stock awards granted and cash fees paid by us to such non-employee director, will not exceed        in total value, or in the event such non-employee director is first appointed or elected to the board during such calendar year,        in total value (in each case, calculating the value of any such stock awards based on the grant date fair value of such stock awards for financial reporting purposes).</w:t>
      </w:r>
    </w:p>
    <w:p>
      <w:pPr>
        <w:spacing w:after="0" w:line="176"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or recapitalization, appropriate adjustments will be made to (i) the class and maximum number of shares reserved for issuance under the 2025 Plan,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hanging="4"/>
        <w:spacing w:after="0" w:line="253" w:lineRule="auto"/>
        <w:tabs>
          <w:tab w:leader="none" w:pos="3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69"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2025 Plan in the event of a corporate transaction,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 participant’s stock award agreement or other written agreement with us or one of our affiliates or unless otherwise expressly provided by the administrator at the time of grant.</w:t>
      </w:r>
    </w:p>
    <w:p>
      <w:pPr>
        <w:spacing w:after="0" w:line="16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event of a corporate transaction, any stock awards outstanding under the 2025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spacing w:after="0" w:line="186" w:lineRule="exact"/>
        <w:rPr>
          <w:sz w:val="20"/>
          <w:szCs w:val="20"/>
          <w:color w:val="auto"/>
        </w:rPr>
      </w:pPr>
    </w:p>
    <w:p>
      <w:pPr>
        <w:jc w:val="both"/>
        <w:ind w:left="120" w:right="180" w:firstLine="551"/>
        <w:spacing w:after="0" w:line="247"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Under our 2025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179" w:lineRule="exact"/>
        <w:rPr>
          <w:sz w:val="20"/>
          <w:szCs w:val="20"/>
          <w:color w:val="auto"/>
        </w:rPr>
      </w:pPr>
    </w:p>
    <w:p>
      <w:pPr>
        <w:ind w:left="120" w:right="260" w:firstLine="551"/>
        <w:spacing w:after="0" w:line="30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a change in control, as defined under our 2025 Plan, awards granted under our 2025 Plan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receive automatic acceleration of vesting and exercisability, although this treatment may be provided for in an award agreement.</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 xml:space="preserve">Under the 2025 Plan, a change in control is defined to include:          </w:t>
      </w:r>
      <w:r>
        <w:rPr>
          <w:sz w:val="20"/>
          <w:szCs w:val="20"/>
          <w:color w:val="auto"/>
        </w:rPr>
        <w:tab/>
      </w:r>
      <w:r>
        <w:rPr>
          <w:rFonts w:ascii="Arial" w:cs="Arial" w:eastAsia="Arial" w:hAnsi="Arial"/>
          <w:sz w:val="13"/>
          <w:szCs w:val="13"/>
          <w:color w:val="auto"/>
        </w:rPr>
        <w:t>.</w:t>
      </w:r>
    </w:p>
    <w:p>
      <w:pPr>
        <w:spacing w:after="0" w:line="104" w:lineRule="exact"/>
        <w:rPr>
          <w:sz w:val="20"/>
          <w:szCs w:val="20"/>
          <w:color w:val="auto"/>
        </w:rPr>
      </w:pPr>
    </w:p>
    <w:p>
      <w:pPr>
        <w:ind w:left="120" w:right="740" w:firstLine="551"/>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2025 Plan other than by will,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as otherwise provided under our 2025 Plan.</w:t>
      </w:r>
    </w:p>
    <w:p>
      <w:pPr>
        <w:spacing w:after="0" w:line="15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i w:val="1"/>
          <w:iCs w:val="1"/>
          <w:color w:val="auto"/>
        </w:rPr>
        <w:t>2025 Plan Amendment or Termination</w:t>
      </w:r>
      <w:r>
        <w:rPr>
          <w:rFonts w:ascii="Arial" w:cs="Arial" w:eastAsia="Arial" w:hAnsi="Arial"/>
          <w:sz w:val="18"/>
          <w:szCs w:val="18"/>
          <w:color w:val="auto"/>
        </w:rPr>
        <w:t>. Our board of directors has the authority to amend, suspend, or terminate our 2025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2025 Plan. No stock awards may be granted under our 2025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board of directors adopted, and our stockholders approved, our 2025 ESPP in         . The 2025 ESPP will become effective immediately prior to the execution of the underwriting agreement for this offering. The purpose of the 2025 ESPP is to secure and retain the services of new employees, to retain the services of existing employees, and to provide incentives for such individuals to exert maximum efforts toward our success and that of our affiliates. Our 2025 ESPP will include two components. One component will be designed to allow eligible U.S. employees to purchase our shares of Class A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the closing of this offering, the 2025 ESPP authorizes the issuance of shares of 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under purchase rights granted to our employees or to employees of any of our designated affiliates. The number of shares of our Class A common stock reserved for issuance will automatically increase on      of each calendar year, beginning on      , 2026 (assuming the 2025 ESPP becomes effective in 2025) through      , 2035, by the lesser of (i)    % of the total number of shares of our capital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Class A common stock have been purchased under the 2025 ESPP.</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thereof, will administer our 2025 ESPP. Our board may</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 concurrent authority to administer the 2025 ESPP to our compensation committee under the terms of the compensation committee’s charter. The 2025 ESPP is implemented through a series of offerings under which eligible employees are granted purchase rights to purchase shares of our common stock on specified dates during such offerings. Under the 2025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2025 ESPP may be terminated under certain circumstances.</w:t>
      </w:r>
    </w:p>
    <w:p>
      <w:pPr>
        <w:spacing w:after="0" w:line="185"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will be eligible to participate in the 2025 ESPP and to contribute, normally through payroll deductions, up to a maximum percentage of their earnings (as defined in the 2025 ESPP) or up to a set dollar amount for the purchase of our common stock under the 2025 ESPP. Unless otherwise determined by our board of directors, common stock will be purchased for the accounts of employees participating in the 2025 ESPP at a price per share that is at least the lesser of (i) 85% of the fair market value of a share of our common stock on the first date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offering; or (ii) 85% of the fair market value of a share of our common stock on the date of purchase.</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 before participating in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2025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2025 ESPP if immediately after such rights are granted, such employee has voting power over 5% or more of our outstanding capital stock measured by vote or value under Section 424(d) of the Code.</w:t>
      </w:r>
    </w:p>
    <w:p>
      <w:pPr>
        <w:spacing w:after="0" w:line="180"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2025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the consummation, in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2025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spacing w:after="0" w:line="183"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i w:val="1"/>
          <w:iCs w:val="1"/>
          <w:color w:val="auto"/>
        </w:rPr>
        <w:t>2025 ESPP Amendment or Termination</w:t>
      </w:r>
      <w:r>
        <w:rPr>
          <w:rFonts w:ascii="Arial" w:cs="Arial" w:eastAsia="Arial" w:hAnsi="Arial"/>
          <w:sz w:val="18"/>
          <w:szCs w:val="18"/>
          <w:color w:val="auto"/>
        </w:rPr>
        <w:t>. Our board of directors has the authority to amend or terminate our 2025 ESPP,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except in certain circumstances such amendment or termination may not materially impair any outstanding purchase rights without the holder’s consent. We will obtain stockholder approval of any amendment to our 2025 ESPP as required by applicable law or listing requirements.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Our board of directors and stockholders adopted the 2016 Plan in July 2016. It was most recently amended in October 2023. The 2016 Plan provides for the grant of ISOs to employees, including employees of any parent or subsidiary, and for the grant of NSOs, stock appreciation rights, restricted stock awards, restricted stock unit awards, and other forms of stock awards to employees, directors and consultants, including employees and consultants of our affiliates. Once the 2025 Plan becomes effective, no further grants will be made under the 2016 Plan. Any outstanding stock awards granted under the 2016 Plan will remain subject to the terms of the 2016 Plan and applicable award agreements.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As of       , 2025, stock options to purchase       shares of our common stock remained outstanding under the 2016 Plan and       shares of our common stock remained available for future issuance under the 2016 Plan. In the event that an outstanding stock option or other stock award for any reason expires or is canceled, the shares allocable to such stock award will be added to the number of shares then available for issuance under the 2025 Plan. Further, we expect that any shares remaining available for issuance under the 2016 Plan when the 2025 Plan becomes effective will become available for issuance under the 2025 Plan.</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to which the board delegates</w:t>
      </w:r>
      <w:r>
        <w:rPr>
          <w:rFonts w:ascii="Arial" w:cs="Arial" w:eastAsia="Arial" w:hAnsi="Arial"/>
          <w:sz w:val="18"/>
          <w:szCs w:val="18"/>
          <w:i w:val="1"/>
          <w:iCs w:val="1"/>
          <w:color w:val="auto"/>
        </w:rPr>
        <w:t xml:space="preserve"> </w:t>
      </w:r>
      <w:r>
        <w:rPr>
          <w:rFonts w:ascii="Arial" w:cs="Arial" w:eastAsia="Arial" w:hAnsi="Arial"/>
          <w:sz w:val="18"/>
          <w:szCs w:val="18"/>
          <w:color w:val="auto"/>
        </w:rPr>
        <w:t>its administrative authority, administers the 2016 Plan and is referred to as the “plan administrator” herein. Under the 2016 Plan, the plan administrator has the authority to, among other things, determine who will be granted stock awards, to determine the terms and conditions of each stock award (including the number of shares subject to the stock award, when the stock award will vest and, as applicable, become exercisable), to accelerate the time(s) at which a stock award may vest or be exercised, and to construe and interpret the terms of the 2016 Plan and stock awards granted thereunder.</w:t>
      </w:r>
    </w:p>
    <w:p>
      <w:pPr>
        <w:spacing w:after="0" w:line="17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(i) the reduction of the exercise, purchase, or strike price of any outstanding stock award; (ii) the cancellation of any outstanding stock award and the grant in substitution therefor of a new stock award, cash, or other consideration; or (iii) any other action that is treated as a repricing under generally accepted accounting principles.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2016 Plan, provided that the exercise price of a stock option generally cannot be less than 100% of the fair market value of our common stock on the date of grant (or 110% of the fair market value for certain significant stockholders). Options granted under the 2016 Plan vest at the rate specified in the stock option agreement as determined by the plan administrator.</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ten years (or five years, for certain significant stockholders).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the sale of stock acquired upon exercise of the option would violate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0"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Acceptable consideration for the purchase of our Class A common stock issued upon the exercise of a stock option will be determined by the plan administrator and may include (i) cash, check, bank draft, or money order payable to us, (ii) a broker-assisted cashless exercise, (iii) by delivery to us (either by actual delivery or attestation) of shares of Class A common stock, (iv) a net exercise of the option if it is an NSO, (v) a deferred payment arrangement, or (vi) other legal consideration approved by the plan administrator and specified in the applicable stock option agreement.</w:t>
      </w:r>
    </w:p>
    <w:p>
      <w:pPr>
        <w:spacing w:after="0" w:line="176"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(i) an option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5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us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7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 awards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RSU awards may be granted in consideration for any form of legal consideration that may be acceptable to our board of directors and permissible under applicable law. An RSU award may be settled by cash, delivery of shares of our common stock, a combination of cash and shares of our common stock as determined by the plan administrator, and as set forth in the RSU agreement. Additionally, dividend equivalents may be credited in respect of shares covered by a RSU. Except as otherwise provided in the applicable award agreement, or other written agreement between us and the participant, restricted stock unit awards that have not vested will be forfeited once the participant’s continuous service ends for any reason.</w:t>
      </w:r>
    </w:p>
    <w:p>
      <w:pPr>
        <w:spacing w:after="0" w:line="185"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certain changes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and proportionate adjustments will be made to the class(es) and number of shares and exercise price, strike price, or purchase price, if applicable, of all outstanding stock awards.</w:t>
      </w:r>
    </w:p>
    <w:p>
      <w:pPr>
        <w:spacing w:after="0" w:line="169"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2016 Plan provides that in the event of a “corporate transaction,” unless otherwise provided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or other written agreement between us and the award holder or unless otherwise expressly provided by our board of directors at the time of grant of a stock award, our board of directors may take one or more of the following actions with respect to such stock awards:</w:t>
      </w:r>
    </w:p>
    <w:p>
      <w:pPr>
        <w:spacing w:after="0" w:line="79"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the surviving or acquiring corporation;</w:t>
      </w:r>
    </w:p>
    <w:p>
      <w:pPr>
        <w:spacing w:after="0" w:line="117"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corporate transaction;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corporate transaction, in exchange for such cash consideration (including no consideration) as our board of directors, in its sole discretion, may consider appropriate; and</w:t>
      </w:r>
    </w:p>
    <w:p>
      <w:pPr>
        <w:spacing w:after="0" w:line="74"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 payment equal to the excess, if any, of (i) the value of the property the participant would have received on exercise of the stock award immediately before the effective time of the corporate transaction, over (ii) any exercise price payable by the participant in connection with the exercise.</w:t>
      </w:r>
    </w:p>
    <w:p>
      <w:pPr>
        <w:spacing w:after="0" w:line="16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Under the 2016 Plan, a “corporate transaction” is generally defined as the consummation, in a single transaction or in a series of related transactions, of any one or more of the following events: (i) a sale or other disposition of all or substantially all of our assets, (ii) the sale or other disposition of more than 50% of our outstanding securities, (iii) a merger or consolidation or similar transaction where we do not survive the transaction, or (iv) a merger, consolidation or similar transaction where we do survive the transaction but the shares of our common stock outstanding immediately before such transaction are converted or exchanged into other property by virtue of the transaction.</w:t>
      </w:r>
    </w:p>
    <w:p>
      <w:pPr>
        <w:spacing w:after="0" w:line="17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i w:val="1"/>
          <w:iCs w:val="1"/>
          <w:color w:val="auto"/>
        </w:rPr>
        <w:t xml:space="preserve">2016 Plan Amendment or Termination. </w:t>
      </w:r>
      <w:r>
        <w:rPr>
          <w:rFonts w:ascii="Arial" w:cs="Arial" w:eastAsia="Arial" w:hAnsi="Arial"/>
          <w:sz w:val="18"/>
          <w:szCs w:val="18"/>
          <w:color w:val="auto"/>
        </w:rPr>
        <w:t>Our board of directors has the authority to amend, suspend, or terminate the 2016 Plan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provided that such action does not impair the existing rights of any participant without such participant’s written consent. Certain material amendments also require the approval of our stockholders. Unless terminated sooner, the 2016 Plan will automatically terminate on July 4, 2026. No stock awards may be granted under the 2016 Plan while it is suspended or after it is terminated. Once the 2025 Plan is effective, no further grants will be made under the 2016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04" w:lineRule="exact"/>
        <w:rPr>
          <w:sz w:val="20"/>
          <w:szCs w:val="20"/>
          <w:color w:val="auto"/>
        </w:rPr>
      </w:pPr>
    </w:p>
    <w:p>
      <w:pPr>
        <w:jc w:val="both"/>
        <w:ind w:left="120" w:right="240" w:firstLine="551"/>
        <w:spacing w:after="0" w:line="247" w:lineRule="auto"/>
        <w:rPr>
          <w:sz w:val="20"/>
          <w:szCs w:val="20"/>
          <w:color w:val="auto"/>
        </w:rPr>
      </w:pPr>
      <w:r>
        <w:rPr>
          <w:rFonts w:ascii="Arial" w:cs="Arial" w:eastAsia="Arial" w:hAnsi="Arial"/>
          <w:sz w:val="18"/>
          <w:szCs w:val="18"/>
          <w:color w:val="auto"/>
        </w:rPr>
        <w:t>Immediately prior to the closing of this offering, our amended and restated certificate of incorporation will contain provisions that limit the liability of our current and former directors for monetary damages to the fullest extent permitted by Delaware law. Delaware law allows a corporation to provide that its directors will not be personally liable for monetary damages for any breach of fiduciary duties as directors, except liability for:</w:t>
      </w:r>
    </w:p>
    <w:p>
      <w:pPr>
        <w:spacing w:after="0" w:line="7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5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authorize us to indemnify our directors, officers, employees, and other agents to the fullest extent permitted by Delaware law. Our amended and restated bylaws that will be in effect immediately prior to the closing of this offering will provide that we are required to indemnify our directors and officers to the fullest extent permitted by Delaware law and may indemnify our other employees and agents. Our amended and restated bylaws that will be in effect immediately prior to the closing of this offering will also provide that, on satisfaction of certain conditions, we will advance expenses incurred by a director or officer in advance of the final disposition of any action or proceeding, and permit us to secure insurance on behalf of any director, officer, employee, or other agent for any liability arising out of his or her actions in that capacity regardless of whether we would otherwise be permitted to indemnify him or her under the provisions of Delaware law. We have entered into, or will enter into in connection with this offering,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our amended and restated certificate of incorporation and these amended and restated bylaw provisions and indemnification agreements are necessary to attract and retain qualified persons as directors and officers. We also maintain customary directors’ and officers’ liability insurance.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2022 and each currently proposed transaction in which:</w:t>
      </w:r>
    </w:p>
    <w:p>
      <w:pPr>
        <w:spacing w:after="0" w:line="59"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880" w:right="60" w:hanging="224"/>
        <w:spacing w:after="0" w:line="25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69" w:lineRule="exact"/>
        <w:rPr>
          <w:sz w:val="20"/>
          <w:szCs w:val="20"/>
          <w:color w:val="auto"/>
        </w:rPr>
      </w:pPr>
    </w:p>
    <w:p>
      <w:pPr>
        <w:jc w:val="both"/>
        <w:ind w:left="120" w:right="740" w:firstLine="551"/>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104"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We facilitated a tender offer in March 2025, whereby certain of our employees sold shares of our common stock to a new investor, or the 2025 Tender Offer. Three of our executive officers, Erin Lantz, Kunal Mehta, and Vipul Sharma, each sold shares of our common stock in the 2025 Tender Offer for a purchase price of $3,316,440.96, $1,504,287.36, and $4,425,966.72, respectively.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party to an amended and restated investors’ rights agreement, or the IRA, which provides, among other things, that certain our redeemable convertible preferred stock, including entities affiliated with Accel Growth fund IV L.P., GV 2019, L.P., and Sequoia Capital U.S. Venture Fund XV, L.P., each of which hold more than 5% of our outstanding capital stock, have the right to demand that we file a registration statement or request that their shares of our capital stock be included on a registration statement that we are otherwise filing. The IRA also provides certain of these stockholders with information rights, which will terminate upon the closing of this offering, and a right of first refusal with regard to certain issuances of our capital stock, which will not apply to, and will terminate upon, the closing of this offering. See the section titled “Description of Capital Stock—Registration Rights” for additional information regarding these registration rights.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Pursuant to our equity compensation plans and certain agreements with our stockholders, including an amended and restated right of first refusal and co-sale agreement with certain holders of our capital stock, including entities affiliated with Accel Growth fund IV L.P., GV 2019, L.P., and Sequoia Capital U.S. Venture Fund XV, L.P., each of which hold more than 5% of our outstanding capital stock, Peter Colis, our Chief Executive Officer and member of our board of directors, and Lingke Wang, our President and member of our board of directors, we or our assignees have a right to purchase shares of our capital stock which certain stockholders propose to sell to other parties. This right under the right of first refusal and co-sale agreement will terminate upon the consummation of this offering.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0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Accel Growth fund IV L.P., GV 2019, L.P., and Sequoia Capital U.S. Venture Fund XV, L.P., each of which hold more than 5% of our outstanding capital stock,</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Peter Colis, our Chief Executive Officer and member of our board of directors, and Lingke Wang, our President and member of our board of directors, have agreed as to the manner in which they will vote their shares of our capital stock on certain matters, including with respect to the election of directors. The voting agreement will terminate upon the closing of this offering, and none of our stockholders will have any special rights regarding the election or designation of members of our board of directors.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intend to enter into confirmatory offer letters with each of our named executive officers, which provide for an annual base salary, bonus opportunity, and standard employee benefits generally available to our employees. For a description of these agreements, see the section titled “Executive Compensation—Narrative to the Summary Compensation Table—Agreements with Our Named Executive Officers.”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will enter into an indemnification agreement with each of our directors and executive officers, which requires us to indemnify them in certain circumstances. For more information regarding these agreements, see the section titled “Executive Compensation—Limitations of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4" w:lineRule="exact"/>
        <w:rPr>
          <w:sz w:val="20"/>
          <w:szCs w:val="20"/>
          <w:color w:val="auto"/>
        </w:rPr>
      </w:pPr>
    </w:p>
    <w:p>
      <w:pPr>
        <w:ind w:left="120" w:right="700" w:firstLine="551"/>
        <w:spacing w:after="0" w:line="271" w:lineRule="auto"/>
        <w:rPr>
          <w:sz w:val="20"/>
          <w:szCs w:val="20"/>
          <w:color w:val="auto"/>
        </w:rPr>
      </w:pPr>
      <w:r>
        <w:rPr>
          <w:rFonts w:ascii="Arial" w:cs="Arial" w:eastAsia="Arial" w:hAnsi="Arial"/>
          <w:sz w:val="18"/>
          <w:szCs w:val="18"/>
          <w:color w:val="auto"/>
        </w:rPr>
        <w:t>Our board of directors intends to adopt a related person transactions policy setting forth the policies and procedures for the identification, review, and approval or ratification of related person transactions.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12"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 2025, and as adjusted to reflect the sale of Class A common stock offered by us in this offering assuming no exercise of the underwriters’ option to purchase additional shares, for:</w:t>
      </w:r>
    </w:p>
    <w:p>
      <w:pPr>
        <w:spacing w:after="0" w:line="74"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and/or Class B common stock.</w:t>
      </w:r>
    </w:p>
    <w:p>
      <w:pPr>
        <w:spacing w:after="0" w:line="154" w:lineRule="exact"/>
        <w:rPr>
          <w:sz w:val="20"/>
          <w:szCs w:val="20"/>
          <w:color w:val="auto"/>
        </w:rPr>
      </w:pPr>
    </w:p>
    <w:p>
      <w:pPr>
        <w:ind w:left="120" w:right="380" w:firstLine="551"/>
        <w:spacing w:after="0" w:line="247"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percentage ownership before the offering is based on            shares of Class B common stock outstanding as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2025, assuming the automatic conversion of (i)            shares of our redeemable convertible preferred stock outstanding as of</w:t>
      </w:r>
    </w:p>
    <w:p>
      <w:pPr>
        <w:ind w:left="120" w:right="300" w:hanging="4"/>
        <w:spacing w:after="0" w:line="234"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 2025 into an equal number shares of our Class B common stock, and (ii) the vesting of        RSUs, for which the service-based condition or market-based condition, as applicable, was satisfied as of         , 2025 and for which the liquidity event-based condition, if applicable, will be satisfied in connection with this offering. Applicable percentage ownership after the offering is based</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on        shares of Class A common stock and        shares of Class B common stock outstanding immediately after the closing of this offering, assuming no exercise by the underwriters of their option to purchase additional shares and the RSU Net Settlement, after withholding         shares to satisfy estimated tax withholding and remittance obligations of $        million (based on the assumed initial offering price set forth on the cover page of this prospectus, and an assumed     % tax withholding rate).</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computing the number of shares beneficially owned by a person and the percentage ownership of such person, we deemed to be outstanding all shares subject to options held by the person that are currently exercisable, or exercisable within 60 days of         , 2025 or issuable pursuant to RSUs that are subject to vesting and settlement conditions expected to occur within 60 days of         , 2025, including the liquidity event-based condition, which will be satisfied upon the effectiveness of the registration statement of which this prospectus forms a part, and after giving effect to the RSU Net Settlement, after withholding         shares to satisfy estimated tax withholding and remittance obligations of $        million (based on the assumed initial offering price set forth on the cover page of this prospectus, and an assumed     % tax withholding rate). However, except as described above, we did not deem such shares outstanding for the purpose of computing the percentage ownership of any other person. In addition, the actual share withholding or repurchase and cancellation amounts, as applicable, and related tax withholding rates will fluctuate based on, among other things, the actual initial public offering price per share in this offering. As a result, the number of shares beneficially owned by any holder included in the table below, as well as the shares of common stock to be sold by certain of our selling stockholders who are offering shares underlying stock options and/or RSUs, may fluctuate based on the actual initial public offering price per share in this offering.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Unless otherwise indicated, the address of each beneficial owner listed below is c/o Ethos Technologies Inc., 90 New Montgomery Street, Suite 1500, San Francisco, CA 94105.</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of</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454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5% or greater stockholders:</w:t>
      </w:r>
    </w:p>
    <w:p>
      <w:pPr>
        <w:ind w:left="120"/>
        <w:spacing w:after="0" w:line="183" w:lineRule="auto"/>
        <w:rPr>
          <w:sz w:val="20"/>
          <w:szCs w:val="20"/>
          <w:color w:val="auto"/>
        </w:rPr>
      </w:pPr>
      <w:r>
        <w:rPr>
          <w:rFonts w:ascii="Arial" w:cs="Arial" w:eastAsia="Arial" w:hAnsi="Arial"/>
          <w:sz w:val="16"/>
          <w:szCs w:val="16"/>
          <w:color w:val="auto"/>
        </w:rPr>
        <w:t>Entities affiliated with Sequoia Capital</w:t>
      </w:r>
      <w:r>
        <w:rPr>
          <w:rFonts w:ascii="Arial" w:cs="Arial" w:eastAsia="Arial" w:hAnsi="Arial"/>
          <w:sz w:val="23"/>
          <w:szCs w:val="23"/>
          <w:color w:val="auto"/>
          <w:vertAlign w:val="superscript"/>
        </w:rPr>
        <w:t>(1)</w:t>
      </w:r>
    </w:p>
    <w:p>
      <w:pPr>
        <w:ind w:left="120"/>
        <w:spacing w:after="0" w:line="184" w:lineRule="auto"/>
        <w:rPr>
          <w:sz w:val="20"/>
          <w:szCs w:val="20"/>
          <w:color w:val="auto"/>
        </w:rPr>
      </w:pPr>
      <w:r>
        <w:rPr>
          <w:rFonts w:ascii="Arial" w:cs="Arial" w:eastAsia="Arial" w:hAnsi="Arial"/>
          <w:sz w:val="16"/>
          <w:szCs w:val="16"/>
          <w:color w:val="auto"/>
        </w:rPr>
        <w:t>Entities affiliated with Accel</w:t>
      </w:r>
      <w:r>
        <w:rPr>
          <w:rFonts w:ascii="Arial" w:cs="Arial" w:eastAsia="Arial" w:hAnsi="Arial"/>
          <w:sz w:val="23"/>
          <w:szCs w:val="23"/>
          <w:color w:val="auto"/>
          <w:vertAlign w:val="superscript"/>
        </w:rPr>
        <w:t>(2)</w:t>
      </w:r>
    </w:p>
    <w:p>
      <w:pPr>
        <w:ind w:left="120"/>
        <w:spacing w:after="0" w:line="184" w:lineRule="auto"/>
        <w:rPr>
          <w:sz w:val="20"/>
          <w:szCs w:val="20"/>
          <w:color w:val="auto"/>
        </w:rPr>
      </w:pPr>
      <w:r>
        <w:rPr>
          <w:rFonts w:ascii="Arial" w:cs="Arial" w:eastAsia="Arial" w:hAnsi="Arial"/>
          <w:sz w:val="16"/>
          <w:szCs w:val="16"/>
          <w:color w:val="auto"/>
        </w:rPr>
        <w:t>Peter Colis</w:t>
      </w:r>
      <w:r>
        <w:rPr>
          <w:rFonts w:ascii="Arial" w:cs="Arial" w:eastAsia="Arial" w:hAnsi="Arial"/>
          <w:sz w:val="23"/>
          <w:szCs w:val="23"/>
          <w:color w:val="auto"/>
          <w:vertAlign w:val="superscript"/>
        </w:rPr>
        <w:t>(3)</w:t>
      </w:r>
    </w:p>
    <w:p>
      <w:pPr>
        <w:ind w:left="120"/>
        <w:spacing w:after="0" w:line="184" w:lineRule="auto"/>
        <w:rPr>
          <w:sz w:val="20"/>
          <w:szCs w:val="20"/>
          <w:color w:val="auto"/>
        </w:rPr>
      </w:pPr>
      <w:r>
        <w:rPr>
          <w:rFonts w:ascii="Arial" w:cs="Arial" w:eastAsia="Arial" w:hAnsi="Arial"/>
          <w:sz w:val="16"/>
          <w:szCs w:val="16"/>
          <w:color w:val="auto"/>
        </w:rPr>
        <w:t>Entities affiliated with GV</w:t>
      </w:r>
      <w:r>
        <w:rPr>
          <w:rFonts w:ascii="Arial" w:cs="Arial" w:eastAsia="Arial" w:hAnsi="Arial"/>
          <w:sz w:val="23"/>
          <w:szCs w:val="23"/>
          <w:color w:val="auto"/>
          <w:vertAlign w:val="superscript"/>
        </w:rPr>
        <w:t>(4)</w:t>
      </w:r>
    </w:p>
    <w:p>
      <w:pPr>
        <w:ind w:left="120"/>
        <w:spacing w:after="0" w:line="183" w:lineRule="auto"/>
        <w:rPr>
          <w:sz w:val="20"/>
          <w:szCs w:val="20"/>
          <w:color w:val="auto"/>
        </w:rPr>
      </w:pPr>
      <w:r>
        <w:rPr>
          <w:rFonts w:ascii="Arial" w:cs="Arial" w:eastAsia="Arial" w:hAnsi="Arial"/>
          <w:sz w:val="16"/>
          <w:szCs w:val="16"/>
          <w:color w:val="auto"/>
        </w:rPr>
        <w:t>Lingke Wang</w:t>
      </w:r>
      <w:r>
        <w:rPr>
          <w:rFonts w:ascii="Arial" w:cs="Arial" w:eastAsia="Arial" w:hAnsi="Arial"/>
          <w:sz w:val="23"/>
          <w:szCs w:val="23"/>
          <w:color w:val="auto"/>
          <w:vertAlign w:val="superscript"/>
        </w:rPr>
        <w:t>(5)</w:t>
      </w:r>
    </w:p>
    <w:p>
      <w:pPr>
        <w:ind w:left="120"/>
        <w:spacing w:after="0" w:line="235" w:lineRule="auto"/>
        <w:rPr>
          <w:sz w:val="20"/>
          <w:szCs w:val="20"/>
          <w:color w:val="auto"/>
        </w:rPr>
      </w:pPr>
      <w:r>
        <w:rPr>
          <w:rFonts w:ascii="Arial" w:cs="Arial" w:eastAsia="Arial" w:hAnsi="Arial"/>
          <w:sz w:val="18"/>
          <w:szCs w:val="18"/>
          <w:b w:val="1"/>
          <w:bCs w:val="1"/>
          <w:color w:val="auto"/>
        </w:rPr>
        <w:t>Named executive officers and directors:</w:t>
      </w:r>
    </w:p>
    <w:p>
      <w:pPr>
        <w:ind w:left="120"/>
        <w:spacing w:after="0" w:line="184" w:lineRule="auto"/>
        <w:rPr>
          <w:sz w:val="20"/>
          <w:szCs w:val="20"/>
          <w:color w:val="auto"/>
        </w:rPr>
      </w:pPr>
      <w:r>
        <w:rPr>
          <w:rFonts w:ascii="Arial" w:cs="Arial" w:eastAsia="Arial" w:hAnsi="Arial"/>
          <w:sz w:val="16"/>
          <w:szCs w:val="16"/>
          <w:color w:val="auto"/>
        </w:rPr>
        <w:t>Peter Colis</w:t>
      </w:r>
      <w:r>
        <w:rPr>
          <w:rFonts w:ascii="Arial" w:cs="Arial" w:eastAsia="Arial" w:hAnsi="Arial"/>
          <w:sz w:val="23"/>
          <w:szCs w:val="23"/>
          <w:color w:val="auto"/>
          <w:vertAlign w:val="superscript"/>
        </w:rPr>
        <w:t>(3)</w:t>
      </w:r>
    </w:p>
    <w:p>
      <w:pPr>
        <w:ind w:left="120"/>
        <w:spacing w:after="0" w:line="184" w:lineRule="auto"/>
        <w:rPr>
          <w:sz w:val="20"/>
          <w:szCs w:val="20"/>
          <w:color w:val="auto"/>
        </w:rPr>
      </w:pPr>
      <w:r>
        <w:rPr>
          <w:rFonts w:ascii="Arial" w:cs="Arial" w:eastAsia="Arial" w:hAnsi="Arial"/>
          <w:sz w:val="16"/>
          <w:szCs w:val="16"/>
          <w:color w:val="auto"/>
        </w:rPr>
        <w:t>Erin Lantz</w:t>
      </w:r>
      <w:r>
        <w:rPr>
          <w:rFonts w:ascii="Arial" w:cs="Arial" w:eastAsia="Arial" w:hAnsi="Arial"/>
          <w:sz w:val="23"/>
          <w:szCs w:val="23"/>
          <w:color w:val="auto"/>
          <w:vertAlign w:val="superscript"/>
        </w:rPr>
        <w:t>(6)</w:t>
      </w:r>
    </w:p>
    <w:p>
      <w:pPr>
        <w:ind w:left="120"/>
        <w:spacing w:after="0" w:line="183" w:lineRule="auto"/>
        <w:rPr>
          <w:sz w:val="20"/>
          <w:szCs w:val="20"/>
          <w:color w:val="auto"/>
        </w:rPr>
      </w:pPr>
      <w:r>
        <w:rPr>
          <w:rFonts w:ascii="Arial" w:cs="Arial" w:eastAsia="Arial" w:hAnsi="Arial"/>
          <w:sz w:val="16"/>
          <w:szCs w:val="16"/>
          <w:color w:val="auto"/>
        </w:rPr>
        <w:t>Kunal Mehta</w:t>
      </w:r>
      <w:r>
        <w:rPr>
          <w:rFonts w:ascii="Arial" w:cs="Arial" w:eastAsia="Arial" w:hAnsi="Arial"/>
          <w:sz w:val="23"/>
          <w:szCs w:val="23"/>
          <w:color w:val="auto"/>
          <w:vertAlign w:val="superscript"/>
        </w:rPr>
        <w:t>(7)</w:t>
      </w:r>
    </w:p>
    <w:p>
      <w:pPr>
        <w:ind w:left="120"/>
        <w:spacing w:after="0" w:line="184" w:lineRule="auto"/>
        <w:rPr>
          <w:sz w:val="20"/>
          <w:szCs w:val="20"/>
          <w:color w:val="auto"/>
        </w:rPr>
      </w:pPr>
      <w:r>
        <w:rPr>
          <w:rFonts w:ascii="Arial" w:cs="Arial" w:eastAsia="Arial" w:hAnsi="Arial"/>
          <w:sz w:val="16"/>
          <w:szCs w:val="16"/>
          <w:color w:val="auto"/>
        </w:rPr>
        <w:t>Lingke Wang</w:t>
      </w:r>
      <w:r>
        <w:rPr>
          <w:rFonts w:ascii="Arial" w:cs="Arial" w:eastAsia="Arial" w:hAnsi="Arial"/>
          <w:sz w:val="23"/>
          <w:szCs w:val="23"/>
          <w:color w:val="auto"/>
          <w:vertAlign w:val="superscript"/>
        </w:rPr>
        <w:t>(5)</w:t>
      </w:r>
    </w:p>
    <w:p>
      <w:pPr>
        <w:ind w:left="120"/>
        <w:spacing w:after="0" w:line="184" w:lineRule="auto"/>
        <w:rPr>
          <w:sz w:val="20"/>
          <w:szCs w:val="20"/>
          <w:color w:val="auto"/>
        </w:rPr>
      </w:pPr>
      <w:r>
        <w:rPr>
          <w:rFonts w:ascii="Arial" w:cs="Arial" w:eastAsia="Arial" w:hAnsi="Arial"/>
          <w:sz w:val="16"/>
          <w:szCs w:val="16"/>
          <w:color w:val="auto"/>
        </w:rPr>
        <w:t>Roelof Botha</w:t>
      </w:r>
      <w:r>
        <w:rPr>
          <w:rFonts w:ascii="Arial" w:cs="Arial" w:eastAsia="Arial" w:hAnsi="Arial"/>
          <w:sz w:val="23"/>
          <w:szCs w:val="23"/>
          <w:color w:val="auto"/>
          <w:vertAlign w:val="superscript"/>
        </w:rPr>
        <w:t>(8)</w:t>
      </w:r>
    </w:p>
    <w:p>
      <w:pPr>
        <w:ind w:left="120"/>
        <w:spacing w:after="0" w:line="184" w:lineRule="auto"/>
        <w:rPr>
          <w:sz w:val="20"/>
          <w:szCs w:val="20"/>
          <w:color w:val="auto"/>
        </w:rPr>
      </w:pPr>
      <w:r>
        <w:rPr>
          <w:rFonts w:ascii="Arial" w:cs="Arial" w:eastAsia="Arial" w:hAnsi="Arial"/>
          <w:sz w:val="16"/>
          <w:szCs w:val="16"/>
          <w:color w:val="auto"/>
        </w:rPr>
        <w:t>Priscilla Hung</w:t>
      </w:r>
      <w:r>
        <w:rPr>
          <w:rFonts w:ascii="Arial" w:cs="Arial" w:eastAsia="Arial" w:hAnsi="Arial"/>
          <w:sz w:val="23"/>
          <w:szCs w:val="23"/>
          <w:color w:val="auto"/>
          <w:vertAlign w:val="superscript"/>
        </w:rPr>
        <w:t>(9)</w:t>
      </w:r>
    </w:p>
    <w:p>
      <w:pPr>
        <w:ind w:left="120"/>
        <w:spacing w:after="0" w:line="183" w:lineRule="auto"/>
        <w:rPr>
          <w:sz w:val="20"/>
          <w:szCs w:val="20"/>
          <w:color w:val="auto"/>
        </w:rPr>
      </w:pPr>
      <w:r>
        <w:rPr>
          <w:rFonts w:ascii="Arial" w:cs="Arial" w:eastAsia="Arial" w:hAnsi="Arial"/>
          <w:sz w:val="16"/>
          <w:szCs w:val="16"/>
          <w:color w:val="auto"/>
        </w:rPr>
        <w:t>John Kunze</w:t>
      </w:r>
      <w:r>
        <w:rPr>
          <w:rFonts w:ascii="Arial" w:cs="Arial" w:eastAsia="Arial" w:hAnsi="Arial"/>
          <w:sz w:val="23"/>
          <w:szCs w:val="23"/>
          <w:color w:val="auto"/>
          <w:vertAlign w:val="superscript"/>
        </w:rPr>
        <w:t>(10)</w:t>
      </w:r>
    </w:p>
    <w:p>
      <w:pPr>
        <w:ind w:left="120"/>
        <w:spacing w:after="0" w:line="184" w:lineRule="auto"/>
        <w:rPr>
          <w:sz w:val="20"/>
          <w:szCs w:val="20"/>
          <w:color w:val="auto"/>
        </w:rPr>
      </w:pPr>
      <w:r>
        <w:rPr>
          <w:rFonts w:ascii="Arial" w:cs="Arial" w:eastAsia="Arial" w:hAnsi="Arial"/>
          <w:sz w:val="16"/>
          <w:szCs w:val="16"/>
          <w:color w:val="auto"/>
        </w:rPr>
        <w:t>Nate J. Niparko</w:t>
      </w:r>
      <w:r>
        <w:rPr>
          <w:rFonts w:ascii="Arial" w:cs="Arial" w:eastAsia="Arial" w:hAnsi="Arial"/>
          <w:sz w:val="23"/>
          <w:szCs w:val="23"/>
          <w:color w:val="auto"/>
          <w:vertAlign w:val="superscript"/>
        </w:rPr>
        <w:t>(11)</w:t>
      </w:r>
    </w:p>
    <w:p>
      <w:pPr>
        <w:ind w:left="120"/>
        <w:spacing w:after="0" w:line="184" w:lineRule="auto"/>
        <w:rPr>
          <w:sz w:val="20"/>
          <w:szCs w:val="20"/>
          <w:color w:val="auto"/>
        </w:rPr>
      </w:pPr>
      <w:r>
        <w:rPr>
          <w:rFonts w:ascii="Arial" w:cs="Arial" w:eastAsia="Arial" w:hAnsi="Arial"/>
          <w:sz w:val="16"/>
          <w:szCs w:val="16"/>
          <w:color w:val="auto"/>
        </w:rPr>
        <w:t>Khozema Shipchandler</w:t>
      </w:r>
      <w:r>
        <w:rPr>
          <w:rFonts w:ascii="Arial" w:cs="Arial" w:eastAsia="Arial" w:hAnsi="Arial"/>
          <w:sz w:val="23"/>
          <w:szCs w:val="23"/>
          <w:color w:val="auto"/>
          <w:vertAlign w:val="superscript"/>
        </w:rPr>
        <w:t>(12)</w:t>
      </w:r>
    </w:p>
    <w:p>
      <w:pPr>
        <w:ind w:left="120"/>
        <w:spacing w:after="0" w:line="235" w:lineRule="auto"/>
        <w:rPr>
          <w:sz w:val="20"/>
          <w:szCs w:val="20"/>
          <w:color w:val="auto"/>
        </w:rPr>
      </w:pPr>
      <w:r>
        <w:rPr>
          <w:rFonts w:ascii="Arial" w:cs="Arial" w:eastAsia="Arial" w:hAnsi="Arial"/>
          <w:sz w:val="18"/>
          <w:szCs w:val="18"/>
          <w:color w:val="auto"/>
        </w:rPr>
        <w:t>William J. Wheeler</w:t>
      </w:r>
    </w:p>
    <w:p>
      <w:pPr>
        <w:ind w:left="300" w:hanging="179"/>
        <w:spacing w:after="0" w:line="273" w:lineRule="auto"/>
        <w:rPr>
          <w:sz w:val="20"/>
          <w:szCs w:val="20"/>
          <w:color w:val="auto"/>
        </w:rPr>
      </w:pPr>
      <w:r>
        <w:rPr>
          <w:rFonts w:ascii="Arial" w:cs="Arial" w:eastAsia="Arial" w:hAnsi="Arial"/>
          <w:sz w:val="18"/>
          <w:szCs w:val="18"/>
          <w:color w:val="auto"/>
        </w:rPr>
        <w:t>All current executive officer and directors as a group (12 persons)</w:t>
      </w:r>
      <w:r>
        <w:rPr>
          <w:rFonts w:ascii="Arial" w:cs="Arial" w:eastAsia="Arial" w:hAnsi="Arial"/>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771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9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rPr>
              <w:t>Shares Beneficially Owned</w:t>
            </w:r>
          </w:p>
        </w:tc>
        <w:tc>
          <w:tcPr>
            <w:tcW w:w="700" w:type="dxa"/>
            <w:vAlign w:val="bottom"/>
          </w:tcPr>
          <w:p>
            <w:pPr>
              <w:spacing w:after="0"/>
              <w:rPr>
                <w:sz w:val="14"/>
                <w:szCs w:val="14"/>
                <w:color w:val="auto"/>
              </w:rPr>
            </w:pPr>
          </w:p>
        </w:tc>
        <w:tc>
          <w:tcPr>
            <w:tcW w:w="2300" w:type="dxa"/>
            <w:vAlign w:val="bottom"/>
            <w:gridSpan w:val="7"/>
          </w:tcPr>
          <w:p>
            <w:pPr>
              <w:jc w:val="center"/>
              <w:ind w:left="388"/>
              <w:spacing w:after="0"/>
              <w:rPr>
                <w:sz w:val="20"/>
                <w:szCs w:val="20"/>
                <w:color w:val="auto"/>
              </w:rPr>
            </w:pPr>
            <w:r>
              <w:rPr>
                <w:rFonts w:ascii="Arial" w:cs="Arial" w:eastAsia="Arial" w:hAnsi="Arial"/>
                <w:sz w:val="14"/>
                <w:szCs w:val="14"/>
                <w:b w:val="1"/>
                <w:bCs w:val="1"/>
                <w:color w:val="auto"/>
              </w:rPr>
              <w:t>Shares Beneficially Owned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Prior to this Offering</w:t>
            </w: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Following this Offering</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6"/>
        </w:trPr>
        <w:tc>
          <w:tcPr>
            <w:tcW w:w="1260" w:type="dxa"/>
            <w:vAlign w:val="bottom"/>
            <w:gridSpan w:val="3"/>
          </w:tcPr>
          <w:p>
            <w:pPr>
              <w:jc w:val="center"/>
              <w:ind w:left="128"/>
              <w:spacing w:after="0" w:line="147" w:lineRule="exact"/>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rPr>
              <w:t>% of</w:t>
            </w:r>
          </w:p>
        </w:tc>
        <w:tc>
          <w:tcPr>
            <w:tcW w:w="1200" w:type="dxa"/>
            <w:vAlign w:val="bottom"/>
            <w:gridSpan w:val="3"/>
          </w:tcPr>
          <w:p>
            <w:pPr>
              <w:jc w:val="center"/>
              <w:ind w:left="88"/>
              <w:spacing w:after="0" w:line="147" w:lineRule="exact"/>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jc w:val="center"/>
              <w:ind w:left="108"/>
              <w:spacing w:after="0" w:line="147"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r>
      <w:tr>
        <w:trPr>
          <w:trHeight w:val="171"/>
        </w:trPr>
        <w:tc>
          <w:tcPr>
            <w:tcW w:w="126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Total</w:t>
            </w:r>
          </w:p>
        </w:tc>
        <w:tc>
          <w:tcPr>
            <w:tcW w:w="120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46"/>
        </w:trPr>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Voting</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Voting</w:t>
            </w:r>
          </w:p>
        </w:tc>
      </w:tr>
      <w:tr>
        <w:trPr>
          <w:trHeight w:val="171"/>
        </w:trPr>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Power†</w:t>
            </w:r>
          </w:p>
        </w:tc>
        <w:tc>
          <w:tcPr>
            <w:tcW w:w="440" w:type="dxa"/>
            <w:vAlign w:val="bottom"/>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-7620</wp:posOffset>
            </wp:positionV>
            <wp:extent cx="699516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248920</wp:posOffset>
            </wp:positionV>
            <wp:extent cx="699516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506095</wp:posOffset>
            </wp:positionV>
            <wp:extent cx="699516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763270</wp:posOffset>
            </wp:positionV>
            <wp:extent cx="699516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1020445</wp:posOffset>
            </wp:positionV>
            <wp:extent cx="699516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1277620</wp:posOffset>
            </wp:positionV>
            <wp:extent cx="699516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1534795</wp:posOffset>
            </wp:positionV>
            <wp:extent cx="699516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1791970</wp:posOffset>
            </wp:positionV>
            <wp:extent cx="699516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2049145</wp:posOffset>
            </wp:positionV>
            <wp:extent cx="699516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004" w:lineRule="exact"/>
        <w:rPr>
          <w:sz w:val="20"/>
          <w:szCs w:val="20"/>
          <w:color w:val="auto"/>
        </w:rPr>
      </w:pPr>
    </w:p>
    <w:p>
      <w:pPr>
        <w:sectPr>
          <w:pgSz w:w="11900" w:h="16838" w:orient="portrait"/>
          <w:cols w:equalWidth="0" w:num="2">
            <w:col w:w="3600" w:space="220"/>
            <w:col w:w="7260"/>
          </w:cols>
          <w:pgMar w:left="320" w:top="455" w:right="499" w:bottom="1440" w:gutter="0" w:footer="0" w:header="0"/>
          <w:type w:val="continuous"/>
        </w:sectPr>
      </w:pPr>
    </w:p>
    <w:p>
      <w:pPr>
        <w:ind w:left="660" w:hanging="54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 w:lineRule="exact"/>
        <w:rPr>
          <w:sz w:val="20"/>
          <w:szCs w:val="20"/>
          <w:color w:val="auto"/>
        </w:rPr>
      </w:pPr>
    </w:p>
    <w:p>
      <w:pPr>
        <w:ind w:left="660" w:hanging="544"/>
        <w:spacing w:after="0" w:line="23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 Common Stock—Voting Rights.”</w:t>
      </w:r>
    </w:p>
    <w:p>
      <w:pPr>
        <w:spacing w:after="0" w:line="3" w:lineRule="exact"/>
        <w:rPr>
          <w:sz w:val="20"/>
          <w:szCs w:val="20"/>
          <w:color w:val="auto"/>
        </w:rPr>
      </w:pPr>
    </w:p>
    <w:p>
      <w:pPr>
        <w:ind w:left="660" w:right="280" w:hanging="544"/>
        <w:spacing w:after="0" w:line="23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(i)        shares held of record by Sequoia Capital U.S. Venture Partners Fund XV, L.P.; (ii)        shares held of record by Sequoia Capital U.S. Growth Fund VIII, L.P., or GFVIII; (iii)        shares held of record by Sequoia Capital U.S.</w:t>
      </w:r>
    </w:p>
    <w:p>
      <w:pPr>
        <w:spacing w:after="0" w:line="1" w:lineRule="exact"/>
        <w:rPr>
          <w:sz w:val="20"/>
          <w:szCs w:val="20"/>
          <w:color w:val="auto"/>
        </w:rPr>
      </w:pPr>
    </w:p>
    <w:p>
      <w:pPr>
        <w:ind w:left="660" w:right="40"/>
        <w:spacing w:after="0" w:line="234" w:lineRule="auto"/>
        <w:rPr>
          <w:sz w:val="20"/>
          <w:szCs w:val="20"/>
          <w:color w:val="auto"/>
        </w:rPr>
      </w:pPr>
      <w:r>
        <w:rPr>
          <w:rFonts w:ascii="Arial" w:cs="Arial" w:eastAsia="Arial" w:hAnsi="Arial"/>
          <w:sz w:val="18"/>
          <w:szCs w:val="18"/>
          <w:color w:val="auto"/>
        </w:rPr>
        <w:t>Venture XV Principals Fund, L.P.; (iv)        shares held of record by Sequoia Capital U.S. Venture Partners Fund XV (Q), L.P.; (v)        shares held of record by Sequoia Capital U.S. Venture Fund XV, L.P.; (vi)        shares held of record by Spelunker Channel Holdings, LLC, or Spelunker; and (vii)        shares held of record by Nalrena, L.L.C, or Nalrena. SC US (TTGP), Ltd. is</w:t>
      </w:r>
    </w:p>
    <w:p>
      <w:pPr>
        <w:spacing w:after="0" w:line="2" w:lineRule="exact"/>
        <w:rPr>
          <w:sz w:val="20"/>
          <w:szCs w:val="20"/>
          <w:color w:val="auto"/>
        </w:rPr>
      </w:pPr>
    </w:p>
    <w:p>
      <w:pPr>
        <w:ind w:left="660" w:right="80" w:hanging="4"/>
        <w:spacing w:after="0" w:line="239" w:lineRule="auto"/>
        <w:tabs>
          <w:tab w:leader="none" w:pos="8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general partner of Sequoia Capital U.S. Venture XV Management, L.P., which is the general partner of Sequoia Capital U.S. Venture Fund XV, L.P., Sequoia Capital U.S. Venture Fund Partners Fund XV, L.P., Sequoia Capital U.S. Venture XV Principals Fund, L.P. and Sequoia Capital U.S. Venture Partners Fund XV (Q), L.P., or collectively, XV Funds, and (ii) the general partner of SC U.S. Growth VIII Management, L.P., which is the general partner of GFVIII. SC US SSF 2013 (TTGP), L.L.C. is the general partner of SC U.S. Scout Seed Fund</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5" w:right="4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140"/>
        <w:spacing w:after="0" w:line="238" w:lineRule="auto"/>
        <w:rPr>
          <w:sz w:val="20"/>
          <w:szCs w:val="20"/>
          <w:color w:val="auto"/>
        </w:rPr>
      </w:pPr>
      <w:r>
        <w:rPr>
          <w:rFonts w:ascii="Arial" w:cs="Arial" w:eastAsia="Arial" w:hAnsi="Arial"/>
          <w:sz w:val="18"/>
          <w:szCs w:val="18"/>
          <w:color w:val="auto"/>
        </w:rPr>
        <w:t>2013 Management, L.P., which is the general partner of Sequoia Capital U.S. Scout Seed Fund 2013, L.P., which is the managing member of Sequoia Capital U.S. Scout Fund IV, L.L.C., which is the sole member of Spelunker and Nalrena. Mr. Botha, one of our directors, is a managing member of SC US (TTGP), Ltd. and SC US SSF 2013 (TTGP), L.L.C., and as a result may be deemed to share beneficial ownership of the shares held by the XV Funds, GFVIII, Spelunker and Nalrena. Mr. Botha expressly disclaims beneficial ownership of the shares held by such Sequoia Capital entities. The address for each of the Sequoia Capital entities identified in this footnote is 2800 Sand Hill Rd., Suite 101, Menlo Park, CA 94025.</w:t>
      </w:r>
    </w:p>
    <w:p>
      <w:pPr>
        <w:spacing w:after="0" w:line="1" w:lineRule="exact"/>
        <w:rPr>
          <w:sz w:val="20"/>
          <w:szCs w:val="20"/>
          <w:color w:val="auto"/>
        </w:rPr>
      </w:pPr>
    </w:p>
    <w:p>
      <w:pPr>
        <w:ind w:left="660" w:right="60" w:hanging="544"/>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shares held of record by Accel Growth Fund IV L.P.; (ii)        shares held of record by Accel Growth Fund Investors 2016 L.L.C.; and (iii)        shares held of record by Accel Growth Fund IV L.P. Strategic Partners L.P. The managing members disclaim Section 16 beneficial ownership over the securities reported herein except to the extent of their pecuniary interest therein. The address for each of these entities is 500 University Ave., Palo Alto, CA 94301.</w:t>
      </w:r>
    </w:p>
    <w:p>
      <w:pPr>
        <w:ind w:left="120"/>
        <w:spacing w:after="0"/>
        <w:tabs>
          <w:tab w:leader="none" w:pos="640" w:val="left"/>
          <w:tab w:leader="none" w:pos="2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 xml:space="preserve">Consists of           </w:t>
      </w:r>
      <w:r>
        <w:rPr>
          <w:sz w:val="20"/>
          <w:szCs w:val="20"/>
          <w:color w:val="auto"/>
        </w:rPr>
        <w:tab/>
      </w:r>
      <w:r>
        <w:rPr>
          <w:rFonts w:ascii="Arial" w:cs="Arial" w:eastAsia="Arial" w:hAnsi="Arial"/>
          <w:sz w:val="17"/>
          <w:szCs w:val="17"/>
          <w:color w:val="auto"/>
        </w:rPr>
        <w:t>shares held of record by Mr. Colis.</w:t>
      </w:r>
    </w:p>
    <w:p>
      <w:pPr>
        <w:ind w:left="66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Consists of (i)            shares held of record by GV 2017, L.P.; (ii)            shares held of record by GV 2019, L.P.; and (iii)          </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shares held of record by GV 2021, L.P. Regarding GV 2017, L.P.: GV 2017 GP, L.P. (the general partner of GV 2017, L.P.), GV 2017 GP, L.L.C. (the general partner of GV 2017 GP, L.P.), Alphabet Holdings LLC (the sole member of GV 2017 GP, L.L.C.), XXVI Holdings Inc. (the sole member of Alphabet Holdings LLC), and Alphabet Inc. (the controlling stockholder of XXVI Holdings Inc.) may each be deemed to share power to vote or dispose of the shares held directly by GV 2017, L.P. Regarding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share power to vote or dispose of the shares held directly by GV 2019, L.P. Regarding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 to share power to vote or dispose of the shares held directly by GV 2021, L.P. The address for each of these entities is 1600 Amphitheatre Parkway, Mountain View, CA 94043.</w:t>
      </w:r>
    </w:p>
    <w:p>
      <w:pPr>
        <w:spacing w:after="0" w:line="8"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shares held of record by Mr. Wang.</w:t>
      </w:r>
    </w:p>
    <w:p>
      <w:pPr>
        <w:ind w:left="660" w:right="4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shares held of record by Ms. Lantz; (ii)        shares subject to stock options that are exercisable within 60 days of        , 2025; and (iii)        shares issuable pursuant to RSUs for which the service-based vesting condition will be satisfied within 60 days of        ,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right="2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shares held of record by Mr. Mehta; (ii)        shares subject to stock options that are exercisable within 60 days of        , 2025; and (iii)        shares issuable pursuant to RSUs for which the service-based vesting condition will be satisfied within 60 days of        ,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right="58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held of record by entities affiliated with Sequoia Capital. Mr. Botha disclaims beneficial ownership of the shares held by the Sequoia Capital entities.</w:t>
      </w:r>
    </w:p>
    <w:p>
      <w:pPr>
        <w:spacing w:after="0" w:line="1" w:lineRule="exact"/>
        <w:rPr>
          <w:rFonts w:ascii="Arial" w:cs="Arial" w:eastAsia="Arial" w:hAnsi="Arial"/>
          <w:sz w:val="18"/>
          <w:szCs w:val="18"/>
          <w:color w:val="auto"/>
        </w:rPr>
      </w:pPr>
    </w:p>
    <w:p>
      <w:pPr>
        <w:ind w:left="660" w:right="60" w:hanging="54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shares subject to stock options that are exercisable within 60 days of        , 2025; and (ii)        shares issuable pursuant to RSUs for which the service-based vesting condition will be satisfied within 60 days of        , 2025 and the liquidity event-based vesting condition will be satisfied upon the effectiveness of the registration statement of which this prospectus forms a part.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shares subject to stock options that are exercisable within 60 days of        , 2025; and (ii)        shares issuable pursuant to RSUs for which the service-based vesting condition will be satisfied within 60 days of        , 2025 and the liquidity event-based vesting condition will be satisfied upon the effectiveness of the registration statement of which this prospectus forms a part.</w:t>
      </w:r>
    </w:p>
    <w:p>
      <w:pPr>
        <w:ind w:left="660" w:hanging="544"/>
        <w:spacing w:after="0" w:line="23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the shares listed in footnote 2 above held of record by entities affiliated with Accel.</w:t>
      </w:r>
    </w:p>
    <w:p>
      <w:pPr>
        <w:ind w:left="660" w:hanging="544"/>
        <w:spacing w:after="0" w:line="23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shares subject to stock options that are exercisable within 60 days of        , 2025; and (ii)        shares issuable pursuant to RSUs for which the service-based vesting condition will be satisfied within 60 days of        ,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right="20" w:hanging="544"/>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more information on our current directors and executive officers, see the sections titled “Management—Executive Officers” and “Management—Non-Employee Directors.”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The following is a summary of the rights of our capital stock and some of the provisions of our amended and restated certificate of incorporation and amended and restated bylaws, which will each become effective immediately prior to the closing of this offering, our amended and restated investor rights agreement and relevant provisions of Delaware General Corporation Law. The descriptions herein are qualified in their entirety by our amended and restated certificate of incorporation, amended and restated bylaws, and investor rights agreement, copies of which have been filed as exhibits to the registration statement of which this prospectus is a part, as well as the relevant provisions of Delaware General Corporation Law.</w:t>
      </w:r>
    </w:p>
    <w:p>
      <w:pPr>
        <w:spacing w:after="0" w:line="179"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Immediately prior to the closing of this offering, our authorized capital stock will consist of        shares, all with a par value of $0.0001 per share, of which:</w:t>
      </w:r>
    </w:p>
    <w:p>
      <w:pPr>
        <w:spacing w:after="0" w:line="5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Class A common stock;</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Class B common stock; and</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preferred stock.</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of         , 2025, we had no shares of Class A common stock,         shares of Class B common stock and         shares of redeemable convertible preferred stock outstanding. After giving effect to (i) the automatic conversion of all outstanding shares of redeemable convertible preferred stock outstanding as of         , 2025 into shares of Class B common stock immediately prior to the closing of this offering and (ii) RSU Net Settlement, after withholding         shares to satisfy estimated tax withholding and remittance obligations of $        million (based on the assumed initial offering price set forth on the cover page of this prospectus, and an assumed     % tax withholding rate) there would have been        shares of Class B common stock outstanding on date of this prospectus held by stockholders of record.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issued and outstanding shares of our Class A common stock and Class B common stock will be duly authorized, validly issued,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fully paid, and non-assessable. All authorized but unissued shares of our Class A common stock and Class B common stock will be</w:t>
      </w:r>
    </w:p>
    <w:p>
      <w:pPr>
        <w:ind w:left="120"/>
        <w:spacing w:after="0" w:line="234" w:lineRule="auto"/>
        <w:rPr>
          <w:sz w:val="20"/>
          <w:szCs w:val="20"/>
          <w:color w:val="auto"/>
        </w:rPr>
      </w:pPr>
      <w:r>
        <w:rPr>
          <w:rFonts w:ascii="Arial" w:cs="Arial" w:eastAsia="Arial" w:hAnsi="Arial"/>
          <w:sz w:val="18"/>
          <w:szCs w:val="18"/>
          <w:color w:val="auto"/>
        </w:rPr>
        <w:t>available for issuance by our board of directors without any further stockholder action, except as required by the listing standards of</w:t>
      </w:r>
    </w:p>
    <w:p>
      <w:pPr>
        <w:ind w:left="120"/>
        <w:spacing w:after="0" w:line="235" w:lineRule="auto"/>
        <w:rPr>
          <w:sz w:val="20"/>
          <w:szCs w:val="20"/>
          <w:color w:val="auto"/>
        </w:rPr>
      </w:pPr>
      <w:r>
        <w:rPr>
          <w:rFonts w:ascii="Arial" w:cs="Arial" w:eastAsia="Arial" w:hAnsi="Arial"/>
          <w:sz w:val="18"/>
          <w:szCs w:val="18"/>
          <w:color w:val="auto"/>
        </w:rPr>
        <w:t>the            . The rights of our Class A common stock and Class B common stock are identical, except with respect to voting, conversion,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transfer rights.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jc w:val="both"/>
        <w:ind w:left="120" w:right="140" w:firstLine="551"/>
        <w:spacing w:after="0" w:line="247" w:lineRule="auto"/>
        <w:rPr>
          <w:sz w:val="20"/>
          <w:szCs w:val="20"/>
          <w:color w:val="auto"/>
        </w:rPr>
      </w:pPr>
      <w:r>
        <w:rPr>
          <w:rFonts w:ascii="Arial" w:cs="Arial" w:eastAsia="Arial" w:hAnsi="Arial"/>
          <w:sz w:val="18"/>
          <w:szCs w:val="18"/>
          <w:color w:val="auto"/>
        </w:rPr>
        <w:t>The Class A common stock is entitled to one vote per share on any matter that is submitted to a vote of our stockholders. Holders of our Class B common stock are entitled to         votes per share on any matter submitted to our stockholders. Holders of shares of Class A common stock and Class B common stock will vote together as a single class on all matters (including the election of directors) submitted to a vote of stockholders, unless otherwise required by Delaware law.</w:t>
      </w:r>
    </w:p>
    <w:p>
      <w:pPr>
        <w:spacing w:after="0" w:line="17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179"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not provide for cumulative voting for the election of directors.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02" w:lineRule="exact"/>
        <w:rPr>
          <w:sz w:val="20"/>
          <w:szCs w:val="20"/>
          <w:color w:val="auto"/>
        </w:rPr>
      </w:pPr>
    </w:p>
    <w:p>
      <w:pPr>
        <w:ind w:left="120" w:right="320" w:firstLine="551"/>
        <w:spacing w:after="0" w:line="247" w:lineRule="auto"/>
        <w:rPr>
          <w:sz w:val="20"/>
          <w:szCs w:val="20"/>
          <w:color w:val="auto"/>
        </w:rPr>
      </w:pPr>
      <w:r>
        <w:rPr>
          <w:rFonts w:ascii="Arial" w:cs="Arial" w:eastAsia="Arial" w:hAnsi="Arial"/>
          <w:sz w:val="18"/>
          <w:szCs w:val="18"/>
          <w:color w:val="auto"/>
        </w:rPr>
        <w:t>Except as otherwise will be expressly provided in our amended and restated certificate of incorporation that will be in effect immediately prior to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102"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7"/>
          <w:szCs w:val="17"/>
          <w:color w:val="auto"/>
        </w:rPr>
        <w:t>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w:t>
      </w:r>
    </w:p>
    <w:p>
      <w:pPr>
        <w:spacing w:after="0" w:line="2" w:lineRule="exact"/>
        <w:rPr>
          <w:sz w:val="20"/>
          <w:szCs w:val="20"/>
          <w:color w:val="auto"/>
        </w:rPr>
      </w:pPr>
    </w:p>
    <w:p>
      <w:pPr>
        <w:ind w:left="120" w:right="300" w:hanging="4"/>
        <w:spacing w:after="0" w:line="254" w:lineRule="auto"/>
        <w:tabs>
          <w:tab w:leader="none" w:pos="3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power of the company (or the surviving or acquiring entity). However, consideration to be paid or received by a holder of common stock in connection with any such assets sale, consolidation, merger, or reorganization under any employment, consulting, severance, or other compensatory arrangement will be disregarded for the purposes of determining whether holders of common stock are treated equally and identically.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0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proportion and manner.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02" w:lineRule="exact"/>
        <w:rPr>
          <w:sz w:val="20"/>
          <w:szCs w:val="20"/>
          <w:color w:val="auto"/>
        </w:rPr>
      </w:pPr>
    </w:p>
    <w:p>
      <w:pPr>
        <w:ind w:left="120" w:right="240" w:firstLine="551"/>
        <w:spacing w:after="0" w:line="301" w:lineRule="auto"/>
        <w:rPr>
          <w:sz w:val="20"/>
          <w:szCs w:val="20"/>
          <w:color w:val="auto"/>
        </w:rPr>
      </w:pPr>
      <w:r>
        <w:rPr>
          <w:rFonts w:ascii="Arial" w:cs="Arial" w:eastAsia="Arial" w:hAnsi="Arial"/>
          <w:sz w:val="17"/>
          <w:szCs w:val="17"/>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completion of this offering, except for certain permitted transfers set forth in our amended and restated certificate of incorporation, including transfers to certain trusts for estate planning purposes and entities under common control with or controlled by such holder of our Class B common stock. Once converted into Class A common stock, the Class B common stock will not be reissued.</w:t>
      </w:r>
    </w:p>
    <w:p>
      <w:pPr>
        <w:spacing w:after="0" w:line="179"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All of the outstanding shares of Class B common stock will convert automatically into shares of Class A common stock upon the earliest to occur following this offering:         .</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Effects of Delaware Law and Our Certificate of Incorporation and Bylaws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02"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Our amended and restated bylaws will provide that a special meeting of stockholders may be called by our chairperson, chief executive officer, by a resolution adopted by a majority of our board of directors, or by the holders of shares entitled to cast not less than 20% of the votes at the meeting.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2"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by a plurality of the votes cast. For more information on the classified board, see the section titled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2"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at least 66 2/3% of the total voting power of all of our outstanding voting stock then entitled to vote in the election of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0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(if any) may be entitled to elect.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2"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(1) any derivative action or proceeding brought on our behalf; (2) any action or proceeding asserting a breach of fiduciary duty; (3) any action or proceeding asserting a claim against us under the Delaware General Corporation Law; (4) any action or proceeding regarding our amended and restated certificate of incorporation or our amended and restated bylaws; (5) any action or proceeding as to which the Delaware General Corporation Law confers jurisdiction to the Court of Chancery of the State of Delaware; or</w:t>
      </w:r>
    </w:p>
    <w:p>
      <w:pPr>
        <w:spacing w:after="0" w:line="3" w:lineRule="exact"/>
        <w:rPr>
          <w:sz w:val="20"/>
          <w:szCs w:val="20"/>
          <w:color w:val="auto"/>
        </w:rPr>
      </w:pPr>
    </w:p>
    <w:p>
      <w:pPr>
        <w:ind w:left="5480" w:right="2700" w:hanging="5364"/>
        <w:spacing w:after="0" w:line="423" w:lineRule="auto"/>
        <w:tabs>
          <w:tab w:leader="none" w:pos="3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that is governed by the internal affairs doctrine. 158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choice of forum provision would not apply to claims brought to enforce a duty or liability created by the Securities Act, the Exchange Act or any other claim for which the federal courts have exclusive jurisdiction. Our amended and restated certificate of incorporation to be effective immediately prior to the closing of this offering will further provide that, unless we consent in writing to the selection of an alternative forum, to the fullest extent permitted by law, the federal district courts of the United States of America will be the exclusive forum for resolving any complaint asserting a cause or causes of action arising under the Securities Act In addition, our amended and restated certificate of incorporation to be effective immediately prior to the closing of this offering will provide that any person or entity holding, owning or otherwise acquiring any interest in any of our securities shall be deemed to have notice of and consented to these provisions.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02" w:lineRule="exact"/>
        <w:rPr>
          <w:sz w:val="20"/>
          <w:szCs w:val="20"/>
          <w:color w:val="auto"/>
        </w:rPr>
      </w:pPr>
    </w:p>
    <w:p>
      <w:pPr>
        <w:jc w:val="both"/>
        <w:ind w:left="120" w:right="560" w:firstLine="551"/>
        <w:spacing w:after="0" w:line="301"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66 2/3% of the total voting power of all of our outstanding voting stock.</w:t>
      </w:r>
    </w:p>
    <w:p>
      <w:pPr>
        <w:spacing w:after="0" w:line="13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jc w:val="both"/>
        <w:ind w:left="120" w:right="300" w:firstLine="551"/>
        <w:spacing w:after="0" w:line="253" w:lineRule="auto"/>
        <w:rPr>
          <w:sz w:val="20"/>
          <w:szCs w:val="20"/>
          <w:color w:val="auto"/>
        </w:rPr>
      </w:pPr>
      <w:r>
        <w:rPr>
          <w:rFonts w:ascii="Arial" w:cs="Arial" w:eastAsia="Arial" w:hAnsi="Arial"/>
          <w:sz w:val="18"/>
          <w:szCs w:val="18"/>
          <w:color w:val="auto"/>
        </w:rPr>
        <w:t>Pursuant to the provisions of our amended and restated certificate of incorporation,         outstanding shares of redeemable convertible preferred stock will automatically be converted into        of shares of our Class B common stock immediately prior to the completion of this offering.</w:t>
      </w:r>
    </w:p>
    <w:p>
      <w:pPr>
        <w:spacing w:after="0" w:line="16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Upon the closing of this offering, our board of directors 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140"/>
          </w:cols>
          <w:pgMar w:left="320" w:top="455" w:right="439" w:bottom="1440" w:gutter="0" w:footer="0" w:header="0"/>
        </w:sectPr>
      </w:pP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 xml:space="preserve">As of         , 2025, there were options to purchase an aggregate of     under our equity compensation plans, with a weighted-average exercise price of $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      shares of Class B common stock outstanding</w:t>
      </w:r>
    </w:p>
    <w:p>
      <w:pPr>
        <w:spacing w:after="0" w:line="25"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per share.</w:t>
      </w:r>
    </w:p>
    <w:p>
      <w:pPr>
        <w:spacing w:after="0" w:line="125" w:lineRule="exact"/>
        <w:rPr>
          <w:sz w:val="20"/>
          <w:szCs w:val="20"/>
          <w:color w:val="auto"/>
        </w:rPr>
      </w:pPr>
    </w:p>
    <w:p>
      <w:pPr>
        <w:sectPr>
          <w:pgSz w:w="11900" w:h="16838" w:orient="portrait"/>
          <w:cols w:equalWidth="0" w:num="2">
            <w:col w:w="6680" w:space="0"/>
            <w:col w:w="4460"/>
          </w:cols>
          <w:pgMar w:left="320" w:top="455" w:right="43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140"/>
          </w:cols>
          <w:pgMar w:left="320" w:top="455" w:right="4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of         , 2025, there were         RSUs for shares of Class B common stock outstanding. In connection with this offering, we will issue a number of new shares of Class B common stock in connection with the vesting and settlement of certain outstanding RSUs subject to service-based and liquidity event-based conditions for which the service-based condition was or will be fully or partially satisfied prior to this offering and the liquidity event-based condition will be satisfied upon the effectiveness of the registration statement of which this prospectus forms a part, after giving effect to the net issuance of        shares of our Class B common stock in connection with the</w:t>
      </w:r>
    </w:p>
    <w:tbl>
      <w:tblPr>
        <w:tblLayout w:type="fixed"/>
        <w:tblInd w:w="120" w:type="dxa"/>
        <w:tblCellMar>
          <w:top w:w="0" w:type="dxa"/>
          <w:left w:w="0" w:type="dxa"/>
          <w:bottom w:w="0" w:type="dxa"/>
          <w:right w:w="0" w:type="dxa"/>
        </w:tblCellMar>
      </w:tblP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w w:val="99"/>
              </w:rPr>
              <w:t>RSU Net Settlement, after withholding </w:t>
            </w:r>
          </w:p>
        </w:tc>
        <w:tc>
          <w:tcPr>
            <w:tcW w:w="300" w:type="dxa"/>
            <w:vAlign w:val="bottom"/>
          </w:tcPr>
          <w:p>
            <w:pPr>
              <w:spacing w:after="0" w:line="189" w:lineRule="exact"/>
              <w:rPr>
                <w:sz w:val="20"/>
                <w:szCs w:val="20"/>
                <w:color w:val="auto"/>
              </w:rPr>
            </w:pPr>
            <w:r>
              <w:rPr>
                <w:rFonts w:ascii="Arial" w:cs="Arial" w:eastAsia="Arial" w:hAnsi="Arial"/>
                <w:sz w:val="18"/>
                <w:szCs w:val="18"/>
                <w:color w:val="auto"/>
              </w:rPr>
              <w:t xml:space="preserve">    </w:t>
            </w:r>
          </w:p>
        </w:tc>
        <w:tc>
          <w:tcPr>
            <w:tcW w:w="240" w:type="dxa"/>
            <w:vAlign w:val="bottom"/>
          </w:tcPr>
          <w:p>
            <w:pPr>
              <w:ind w:left="60"/>
              <w:spacing w:after="0" w:line="189" w:lineRule="exact"/>
              <w:rPr>
                <w:sz w:val="20"/>
                <w:szCs w:val="20"/>
                <w:color w:val="auto"/>
              </w:rPr>
            </w:pPr>
            <w:r>
              <w:rPr>
                <w:rFonts w:ascii="Arial" w:cs="Arial" w:eastAsia="Arial" w:hAnsi="Arial"/>
                <w:sz w:val="18"/>
                <w:szCs w:val="18"/>
                <w:color w:val="auto"/>
                <w:w w:val="88"/>
              </w:rPr>
              <w:t> </w:t>
            </w:r>
          </w:p>
        </w:tc>
        <w:tc>
          <w:tcPr>
            <w:tcW w:w="7160" w:type="dxa"/>
            <w:vAlign w:val="bottom"/>
          </w:tcPr>
          <w:p>
            <w:pPr>
              <w:spacing w:after="0" w:line="189" w:lineRule="exact"/>
              <w:rPr>
                <w:sz w:val="20"/>
                <w:szCs w:val="20"/>
                <w:color w:val="auto"/>
              </w:rPr>
            </w:pPr>
            <w:r>
              <w:rPr>
                <w:rFonts w:ascii="Arial" w:cs="Arial" w:eastAsia="Arial" w:hAnsi="Arial"/>
                <w:sz w:val="18"/>
                <w:szCs w:val="18"/>
                <w:color w:val="auto"/>
              </w:rPr>
              <w:t>shares to satisfy estimated tax withholding and remittance obligations (based on the</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assumed initial public offering price of $ </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w w:val="88"/>
              </w:rPr>
              <w:t> </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 xml:space="preserve">    </w:t>
            </w:r>
          </w:p>
        </w:tc>
        <w:tc>
          <w:tcPr>
            <w:tcW w:w="7160" w:type="dxa"/>
            <w:vAlign w:val="bottom"/>
          </w:tcPr>
          <w:p>
            <w:pPr>
              <w:ind w:left="120"/>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 prospectus,</w:t>
            </w: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 xml:space="preserve">and an assumed    </w:t>
            </w:r>
          </w:p>
        </w:tc>
        <w:tc>
          <w:tcPr>
            <w:tcW w:w="92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      % tax withholding rate). All remaining RSUs will become an equivalent number of shares of Class B common</w:t>
            </w:r>
          </w:p>
        </w:tc>
      </w:tr>
      <w:tr>
        <w:trPr>
          <w:trHeight w:val="239"/>
        </w:trPr>
        <w:tc>
          <w:tcPr>
            <w:tcW w:w="10900" w:type="dxa"/>
            <w:vAlign w:val="bottom"/>
            <w:gridSpan w:val="5"/>
          </w:tcPr>
          <w:p>
            <w:pPr>
              <w:spacing w:after="0"/>
              <w:rPr>
                <w:sz w:val="20"/>
                <w:szCs w:val="20"/>
                <w:color w:val="auto"/>
              </w:rPr>
            </w:pPr>
            <w:r>
              <w:rPr>
                <w:rFonts w:ascii="Arial" w:cs="Arial" w:eastAsia="Arial" w:hAnsi="Arial"/>
                <w:sz w:val="18"/>
                <w:szCs w:val="18"/>
                <w:color w:val="auto"/>
              </w:rPr>
              <w:t>stock subject to outstanding RSUs under our 2016 Plan immediately prior to the closing of this offering.</w:t>
            </w:r>
          </w:p>
        </w:tc>
      </w:tr>
      <w:tr>
        <w:trPr>
          <w:trHeight w:val="534"/>
        </w:trPr>
        <w:tc>
          <w:tcPr>
            <w:tcW w:w="164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66"/>
        </w:trPr>
        <w:tc>
          <w:tcPr>
            <w:tcW w:w="1640" w:type="dxa"/>
            <w:vAlign w:val="bottom"/>
          </w:tcPr>
          <w:p>
            <w:pPr>
              <w:ind w:left="540"/>
              <w:spacing w:after="0"/>
              <w:rPr>
                <w:sz w:val="20"/>
                <w:szCs w:val="20"/>
                <w:color w:val="auto"/>
              </w:rPr>
            </w:pPr>
            <w:r>
              <w:rPr>
                <w:rFonts w:ascii="Arial" w:cs="Arial" w:eastAsia="Arial" w:hAnsi="Arial"/>
                <w:sz w:val="18"/>
                <w:szCs w:val="18"/>
                <w:color w:val="auto"/>
              </w:rPr>
              <w:t xml:space="preserve">As of           </w:t>
            </w:r>
          </w:p>
        </w:tc>
        <w:tc>
          <w:tcPr>
            <w:tcW w:w="9260" w:type="dxa"/>
            <w:vAlign w:val="bottom"/>
            <w:gridSpan w:val="4"/>
          </w:tcPr>
          <w:p>
            <w:pPr>
              <w:ind w:left="140"/>
              <w:spacing w:after="0"/>
              <w:rPr>
                <w:sz w:val="20"/>
                <w:szCs w:val="20"/>
                <w:color w:val="auto"/>
              </w:rPr>
            </w:pPr>
            <w:r>
              <w:rPr>
                <w:rFonts w:ascii="Arial" w:cs="Arial" w:eastAsia="Arial" w:hAnsi="Arial"/>
                <w:sz w:val="18"/>
                <w:szCs w:val="18"/>
                <w:color w:val="auto"/>
                <w:w w:val="99"/>
              </w:rPr>
              <w:t>, 2025, we had outstanding warrants to purchase an aggregate             shares of our Class B common stock, with</w:t>
            </w:r>
          </w:p>
        </w:tc>
      </w:tr>
      <w:tr>
        <w:trPr>
          <w:trHeight w:val="239"/>
        </w:trPr>
        <w:tc>
          <w:tcPr>
            <w:tcW w:w="3200" w:type="dxa"/>
            <w:vAlign w:val="bottom"/>
            <w:gridSpan w:val="2"/>
          </w:tcPr>
          <w:p>
            <w:pPr>
              <w:spacing w:after="0"/>
              <w:rPr>
                <w:sz w:val="20"/>
                <w:szCs w:val="20"/>
                <w:color w:val="auto"/>
              </w:rPr>
            </w:pPr>
            <w:r>
              <w:rPr>
                <w:rFonts w:ascii="Arial" w:cs="Arial" w:eastAsia="Arial" w:hAnsi="Arial"/>
                <w:sz w:val="18"/>
                <w:szCs w:val="18"/>
                <w:color w:val="auto"/>
              </w:rPr>
              <w:t xml:space="preserve">a weighted-average exercise price of $ </w:t>
            </w:r>
          </w:p>
        </w:tc>
        <w:tc>
          <w:tcPr>
            <w:tcW w:w="30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240" w:type="dxa"/>
            <w:vAlign w:val="bottom"/>
          </w:tcPr>
          <w:p>
            <w:pPr>
              <w:ind w:left="120"/>
              <w:spacing w:after="0"/>
              <w:rPr>
                <w:sz w:val="20"/>
                <w:szCs w:val="20"/>
                <w:color w:val="auto"/>
              </w:rPr>
            </w:pPr>
            <w:r>
              <w:rPr>
                <w:rFonts w:ascii="Arial" w:cs="Arial" w:eastAsia="Arial" w:hAnsi="Arial"/>
                <w:sz w:val="13"/>
                <w:szCs w:val="13"/>
                <w:color w:val="auto"/>
                <w:w w:val="76"/>
              </w:rPr>
              <w:t> </w:t>
            </w:r>
          </w:p>
        </w:tc>
        <w:tc>
          <w:tcPr>
            <w:tcW w:w="7160" w:type="dxa"/>
            <w:vAlign w:val="bottom"/>
          </w:tcPr>
          <w:p>
            <w:pPr>
              <w:ind w:left="60"/>
              <w:spacing w:after="0"/>
              <w:rPr>
                <w:sz w:val="20"/>
                <w:szCs w:val="20"/>
                <w:color w:val="auto"/>
              </w:rPr>
            </w:pPr>
            <w:r>
              <w:rPr>
                <w:rFonts w:ascii="Arial" w:cs="Arial" w:eastAsia="Arial" w:hAnsi="Arial"/>
                <w:sz w:val="18"/>
                <w:szCs w:val="18"/>
                <w:color w:val="auto"/>
              </w:rPr>
              <w:t>per share.</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Our amended and restated investors’ rights agreement provides that certain holders of our redeemable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and not to exceed $50,000, of one counsel for the selling holders of the shares registered by the demand, piggyback, and Form S-3 registrations described below.</w:t>
      </w:r>
    </w:p>
    <w:p>
      <w:pPr>
        <w:spacing w:after="0" w:line="179" w:lineRule="exact"/>
        <w:rPr>
          <w:sz w:val="20"/>
          <w:szCs w:val="20"/>
          <w:color w:val="auto"/>
        </w:rPr>
      </w:pPr>
    </w:p>
    <w:p>
      <w:pPr>
        <w:jc w:val="both"/>
        <w:ind w:left="120" w:right="360" w:firstLine="551"/>
        <w:spacing w:after="0" w:line="24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closing of this offering, or with respect to any particular stockholder, such time after the closing of this offering that such stockholder can sell all of its shares entitled to registration rights under Rule 144 of the Securities Act during any 90-day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holders of an aggregate of        shares of our Class B common stock will be entitled to certain demand registration rights. At any time beginning six months after the effective date of the registration statement of which this prospectus forms a part, certain holders of these shares may request that we register all or a portion of the registrable shares. We are obligated to effect only two such registrations. Such request for registration must cover at least that number of registrable shares as would have an anticipated aggregate offering price of at least $7.5 million.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In connection with this offering, the holders of an aggregate of        shares of our Class B common stock were entitled to, and the necessary percentage of holders waived, their rights to notice of this offering and to include their shares of registrable securities in this offering. After this offering,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4" w:lineRule="auto"/>
        <w:rPr>
          <w:sz w:val="20"/>
          <w:szCs w:val="20"/>
          <w:color w:val="auto"/>
        </w:rPr>
      </w:pPr>
      <w:r>
        <w:rPr>
          <w:rFonts w:ascii="Arial" w:cs="Arial" w:eastAsia="Arial" w:hAnsi="Arial"/>
          <w:sz w:val="17"/>
          <w:szCs w:val="17"/>
          <w:color w:val="auto"/>
        </w:rPr>
        <w:t>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to the demand registration rights set forth above,</w:t>
      </w:r>
    </w:p>
    <w:p>
      <w:pPr>
        <w:ind w:left="120" w:right="40" w:hanging="4"/>
        <w:spacing w:after="0" w:line="237" w:lineRule="auto"/>
        <w:tabs>
          <w:tab w:leader="none" w:pos="3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registration relating solely to the issuance of securities by us or a subsidiary pursuant to a stock option, stock purchase, or similar plan, (iii) a registration relating to a corporate reorganization or transaction under Rule 145 of the Securities Act, (iv) a registration on any form that does not include substantially the same information as would be required to be included in a registration statement covering the sale of the shares held by the holders, or (v) a registration in which the only common stock being registered is common stock issued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holders of an aggregate of        shares of Class B common stock will be entitled to certain Form S-3 registration rights. At any time after the effective date of the registration statement of which this prospectus forms a part, the holders of these shares can make a request that we register their shares on Form S-3 if we are qualified to file a registration statement on Form S-3 and if the anticipated aggregate price of the shares offered would be at least $1.0 million, subject to exceptions set forth in the amended and restated investors’ rights agreement. We will not be required to effect more than two registrations on Form S-3 within any 12-month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The transfer agent and registrar for our Class A common stock and Class B common stock will be        . The transfer agent and registrar’s address is        .</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04"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Our common stock is currently not listed on any securities exchange. We intend to apply to list our Class A common stock on the        under the symbol “LIFE.”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12" w:lineRule="exact"/>
        <w:rPr>
          <w:sz w:val="20"/>
          <w:szCs w:val="20"/>
          <w:color w:val="auto"/>
        </w:rPr>
      </w:pPr>
    </w:p>
    <w:p>
      <w:pPr>
        <w:ind w:left="120" w:right="320" w:firstLine="551"/>
        <w:spacing w:after="0" w:line="247"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intend to apply list our Class A common stock on the        , we cannot assure you an active public market for our Class A common stock will develop.</w:t>
      </w:r>
    </w:p>
    <w:p>
      <w:pPr>
        <w:spacing w:after="0" w:line="174"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 xml:space="preserve">Following the closing of this offering, based on the number of shares of our Class B common stock outstanding as of         , 2025 and assuming (i) the issuance of        shares of Class A common stock in this offering, (ii) the automatic conversion of        </w:t>
      </w:r>
    </w:p>
    <w:p>
      <w:pPr>
        <w:ind w:left="120" w:right="120"/>
        <w:spacing w:after="0"/>
        <w:rPr>
          <w:sz w:val="20"/>
          <w:szCs w:val="20"/>
          <w:color w:val="auto"/>
        </w:rPr>
      </w:pPr>
      <w:r>
        <w:rPr>
          <w:rFonts w:ascii="Arial" w:cs="Arial" w:eastAsia="Arial" w:hAnsi="Arial"/>
          <w:sz w:val="18"/>
          <w:szCs w:val="18"/>
          <w:color w:val="auto"/>
        </w:rPr>
        <w:t>shares of our redeemable convertible preferred stock outstanding as of         , 2025 into an equal number of shares of Class B common stock immediately prior to the closing of this offering, (iii) the net issuance of        shares of Class B common stock in connection with the RSU Net Settlement, after withholding        shares to satisfy estimated tax withholding and remittance obligations (based on the assumed initial public offering price of $        per share, the midpoint of the price range set forth on the cover page of this prospectus, and an assumed        % tax withholding rate); and (iv) no exercise of the underwriters’ option to purchase additional shares, we will have outstanding an aggregate of approximately        shares of Class A common stock and        shares of Class B common stock.</w:t>
      </w:r>
    </w:p>
    <w:p>
      <w:pPr>
        <w:spacing w:after="0" w:line="374" w:lineRule="exact"/>
        <w:rPr>
          <w:sz w:val="20"/>
          <w:szCs w:val="20"/>
          <w:color w:val="auto"/>
        </w:rPr>
      </w:pPr>
    </w:p>
    <w:p>
      <w:pPr>
        <w:ind w:left="120" w:right="420" w:firstLine="551"/>
        <w:spacing w:after="0" w:line="247" w:lineRule="auto"/>
        <w:rPr>
          <w:sz w:val="20"/>
          <w:szCs w:val="20"/>
          <w:color w:val="auto"/>
        </w:rPr>
      </w:pPr>
      <w:r>
        <w:rPr>
          <w:rFonts w:ascii="Arial" w:cs="Arial" w:eastAsia="Arial" w:hAnsi="Arial"/>
          <w:sz w:val="18"/>
          <w:szCs w:val="18"/>
          <w:color w:val="auto"/>
        </w:rPr>
        <w:t>Of these shares, all shares of Class A common stock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7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remaining outstanding shares of Class A common stock and Class B common stock will be, and shares underlying outstanding RSUs and shares subject to stock options and RSUs will be upon issuance, deemed “restricted securities” as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Substantially all of these shares will be subject to a lock-up period under the lock-up agreements and market stand-off agreements described below.</w:t>
      </w:r>
    </w:p>
    <w:p>
      <w:pPr>
        <w:spacing w:after="0" w:line="17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In addition, after this offering, up to        shares of Class B common stock may be issued upon exercise of outstanding stock options or vesting and settlement of outstanding RSUs as of the date of this prospectus, and        shares of Class A common stock are available for future issuance under our 2025 Plan and our 2025 ESPP.</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04" w:lineRule="exact"/>
        <w:rPr>
          <w:sz w:val="20"/>
          <w:szCs w:val="20"/>
          <w:color w:val="auto"/>
        </w:rPr>
      </w:pPr>
    </w:p>
    <w:p>
      <w:pPr>
        <w:ind w:left="120" w:right="220" w:firstLine="551"/>
        <w:spacing w:after="0" w:line="259"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common stock outstanding immediately prior to the completion of this offering, have agreed, or will agree, with</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the underwriters that, until        days after the date of this prospectus, subject to certain exceptions, we and they will not, without the prior written consent of        , offer, sell, contract to sell, pledge, grant any option to purchase, lend, or otherwise dispose of any shares of our common stock, or any options or warrants to purchase any shares of our common stock, or any securities convertible into,</w:t>
      </w:r>
    </w:p>
    <w:p>
      <w:pPr>
        <w:spacing w:after="0" w:line="2"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color w:val="auto"/>
        </w:rPr>
        <w:t>exchangeable for or that represent the right to receive shares of our common stock. These agreements are described in the section titled “Underwriting.”        may, in its sole discretion, release any of the securities subject to these lock-up agreements at any time.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our amended and restated investors’ rights agreement, with certain of our security holders that contain market stand-off provisions imposing restrictions on the ability of such security holders to offer, sell, or transfer our equity securities for a period of 180 days following the date of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0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82" w:lineRule="exact"/>
        <w:rPr>
          <w:sz w:val="20"/>
          <w:szCs w:val="20"/>
          <w:color w:val="auto"/>
        </w:rPr>
      </w:pPr>
    </w:p>
    <w:p>
      <w:pPr>
        <w:ind w:left="880" w:right="800" w:hanging="224"/>
        <w:spacing w:after="0" w:line="271"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 of the number of shares of Class A common stock then outstanding, which will equal approximately        shares immediately after this offering; or</w:t>
      </w:r>
    </w:p>
    <w:p>
      <w:pPr>
        <w:spacing w:after="0" w:line="59" w:lineRule="exact"/>
        <w:rPr>
          <w:sz w:val="20"/>
          <w:szCs w:val="20"/>
          <w:color w:val="auto"/>
        </w:rPr>
      </w:pPr>
    </w:p>
    <w:p>
      <w:pPr>
        <w:ind w:left="880" w:right="120" w:hanging="219"/>
        <w:spacing w:after="0" w:line="271" w:lineRule="auto"/>
        <w:tabs>
          <w:tab w:leader="none" w:pos="860" w:val="left"/>
        </w:tabs>
        <w:rPr>
          <w:sz w:val="20"/>
          <w:szCs w:val="20"/>
          <w:color w:val="auto"/>
        </w:rPr>
      </w:pPr>
      <w:r>
        <w:rPr>
          <w:rFonts w:ascii="Arial" w:cs="Arial" w:eastAsia="Arial" w:hAnsi="Arial"/>
          <w:sz w:val="18"/>
          <w:szCs w:val="18"/>
          <w:color w:val="auto"/>
        </w:rPr>
        <w:t>•</w:t>
        <w:tab/>
        <w:t>the average weekly trading volume in Class A common stock on the        during the four calendar weeks preceding the filing of a notice on Form 144 with respect to such sale.</w:t>
      </w:r>
    </w:p>
    <w:p>
      <w:pPr>
        <w:spacing w:after="0" w:line="154" w:lineRule="exact"/>
        <w:rPr>
          <w:sz w:val="20"/>
          <w:szCs w:val="20"/>
          <w:color w:val="auto"/>
        </w:rPr>
      </w:pPr>
    </w:p>
    <w:p>
      <w:pPr>
        <w:jc w:val="both"/>
        <w:ind w:left="120" w:right="60" w:firstLine="551"/>
        <w:spacing w:after="0" w:line="247"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shares or has an aggregate sale price in excess of $        , the seller must file a notice on Form 144 with the SEC concurrently with either the placing of a sale order with the broker or the execution of a sale directly with a market maker.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04"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above.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A common stock and Class B common stock subject to outstanding stock options and RSUs and common stock issued or issuable under our 2025 Plan, 2025 ESPP, and our 2016 Plan, as applicable.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As of         , 2025, holders of up to         shares of our Class B common stock, which includes all of the shares of Class B common stock issuable upon the automatic conversion of our redeemable convertible preferred stock immediately prior to the closing of this offering, or their transferees, will be entitled to various rights with respect to the registration of these shares under the Securities Act upon the closing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 consequences. For example, it does not address estate and gift taxes, the alternative minimum tax, the Medicare contribution tax on net investment income, or the application of special tax accounting rules under Section 451(b) of the Internal Revenue Code of 1986, as amended, or the Code. Special rules different from those described below may apply to certain Non-U.S. Holders that are subject to special treatment under the Code, such as banks, financial institutions, investment funds,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w:t>
      </w:r>
    </w:p>
    <w:p>
      <w:pPr>
        <w:spacing w:after="0" w:line="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Section 897(l)(2) of the Code and entities all of the interests of which are held by qualified foreign pension funds, partnerships, and other pass-through entities or arrangements and investors in such pass-through entities or arrangements, persons that own, or have owned, actually or constructively, more than 5% of our common stock at any time; persons deemed to sell our Class A common stock under the constructive sale provisions of the Code, and persons that own, or are deemed to own, our Class B common stock. Such Non-U.S. Holders are urged to consult their own tax advisors to determine the U.S. federal, state, local, and other tax consequences that may be relevant to them. Furthermore, the discussion below is based upon the provisions of the Code and Treasury Regulations promulgated thereunder, published rulings and administrative pronouncements or the Internal Revenue Service, or IRS, and judicial decisions, each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186"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CIRCUMSTANCES AS WELL AS ANY CONSEQUENCES ARISING UNDER THE LAWS OF ANY OTHER TAXING JURISDICTION, INCLUDING ANY STATE, LOCAL, OR NON-U.S. TAX CONSEQUENCES, OR UNDER ANY APPLICABLE INCOME TAX TREATY.</w:t>
      </w:r>
    </w:p>
    <w:p>
      <w:pPr>
        <w:spacing w:after="0" w:line="168"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For the purposes of this discussion, a “Non-U.S. Holder” is a beneficial owner of our Class A common stock that is neither a U.S. Holder (as defined below) nor a partnership (or other entity treated as a partnership for U.S. federal income tax purposes regardless of its place of organization 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formation). A “U.S. Holder” means a beneficial owner of our Class A common stock that is for U.S. federal income tax purposes any of the following:</w:t>
      </w:r>
    </w:p>
    <w:p>
      <w:pPr>
        <w:spacing w:after="0" w:line="59"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right="360" w:hanging="224"/>
        <w:spacing w:after="0" w:line="259"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our Class A common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8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our Class A common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our Class A common stock as described in the next section.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04"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become a “United States real property holding corporation” within the meaning of Section 897(c)</w:t>
      </w:r>
    </w:p>
    <w:p>
      <w:pPr>
        <w:spacing w:after="0" w:line="2" w:lineRule="exact"/>
        <w:rPr>
          <w:sz w:val="20"/>
          <w:szCs w:val="20"/>
          <w:color w:val="auto"/>
        </w:rPr>
      </w:pPr>
    </w:p>
    <w:p>
      <w:pPr>
        <w:ind w:left="120" w:hanging="4"/>
        <w:spacing w:after="0" w:line="236" w:lineRule="auto"/>
        <w:tabs>
          <w:tab w:leader="none" w:pos="3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Code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are not currently,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for purposes of these rules.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8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Information returns are required to be filed with the IRS and provided to Non-U.S. Holders in connection with payments of distributions on our Class A common stock. This information also may be made available under an applicable treaty or agreement with the tax authorities in the country in which the non-U.S. holder resides or is established. You may be subject to backup withholding on payments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 Under certain circumstances, a non-U.S. holder might be eligible for refunds or credits of such taxes.</w:t>
      </w:r>
    </w:p>
    <w:p>
      <w:pPr>
        <w:spacing w:after="0" w:line="180" w:lineRule="exact"/>
        <w:rPr>
          <w:sz w:val="20"/>
          <w:szCs w:val="20"/>
          <w:color w:val="auto"/>
        </w:rPr>
      </w:pPr>
    </w:p>
    <w:p>
      <w:pPr>
        <w:ind w:left="120" w:right="140" w:firstLine="551"/>
        <w:spacing w:after="0" w:line="261" w:lineRule="auto"/>
        <w:rPr>
          <w:sz w:val="20"/>
          <w:szCs w:val="20"/>
          <w:color w:val="auto"/>
        </w:rPr>
      </w:pPr>
      <w:r>
        <w:rPr>
          <w:rFonts w:ascii="Arial" w:cs="Arial" w:eastAsia="Arial" w:hAnsi="Arial"/>
          <w:sz w:val="17"/>
          <w:szCs w:val="17"/>
          <w:color w:val="auto"/>
        </w:rPr>
        <w:t>FATCA withholding currently applies to payments of dividends. The U.S. Treasury Department has released proposed regulations which, if finalized in their present form, would eliminate the federal withholding tax of 30% that would be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66" w:lineRule="exact"/>
        <w:rPr>
          <w:sz w:val="20"/>
          <w:szCs w:val="20"/>
          <w:color w:val="auto"/>
        </w:rPr>
      </w:pPr>
    </w:p>
    <w:p>
      <w:pPr>
        <w:ind w:left="120" w:firstLine="551"/>
        <w:spacing w:after="0" w:line="257"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120" w:right="320" w:firstLine="551"/>
        <w:spacing w:after="0" w:line="275"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6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838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7"/>
        </w:trPr>
        <w:tc>
          <w:tcPr>
            <w:tcW w:w="880" w:type="dxa"/>
            <w:vAlign w:val="bottom"/>
            <w:tcBorders>
              <w:top w:val="single" w:sz="8" w:color="auto"/>
            </w:tcBorders>
          </w:tcPr>
          <w:p>
            <w:pPr>
              <w:spacing w:after="0" w:line="157" w:lineRule="exact"/>
              <w:rPr>
                <w:sz w:val="20"/>
                <w:szCs w:val="20"/>
                <w:color w:val="auto"/>
              </w:rPr>
            </w:pPr>
            <w:r>
              <w:rPr>
                <w:rFonts w:ascii="Arial" w:cs="Arial" w:eastAsia="Arial" w:hAnsi="Arial"/>
                <w:sz w:val="18"/>
                <w:szCs w:val="18"/>
                <w:color w:val="auto"/>
              </w:rPr>
              <w:t>Goldman</w:t>
            </w:r>
          </w:p>
        </w:tc>
        <w:tc>
          <w:tcPr>
            <w:tcW w:w="7500" w:type="dxa"/>
            <w:vAlign w:val="bottom"/>
          </w:tcPr>
          <w:p>
            <w:pPr>
              <w:spacing w:after="0" w:line="157" w:lineRule="exact"/>
              <w:rPr>
                <w:sz w:val="20"/>
                <w:szCs w:val="20"/>
                <w:color w:val="auto"/>
              </w:rPr>
            </w:pPr>
            <w:r>
              <w:rPr>
                <w:rFonts w:ascii="Arial" w:cs="Arial" w:eastAsia="Arial" w:hAnsi="Arial"/>
                <w:sz w:val="18"/>
                <w:szCs w:val="18"/>
                <w:color w:val="auto"/>
              </w:rPr>
              <w:t>..............................................................................................Sachs&amp;Co.LLC</w:t>
            </w:r>
          </w:p>
        </w:tc>
        <w:tc>
          <w:tcPr>
            <w:tcW w:w="16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640" w:type="dxa"/>
            <w:vAlign w:val="bottom"/>
            <w:gridSpan w:val="2"/>
          </w:tcPr>
          <w:p>
            <w:pPr>
              <w:ind w:left="1520"/>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gridSpan w:val="2"/>
            <w:shd w:val="clear" w:color="auto" w:fill="CCEEFF"/>
          </w:tcPr>
          <w:p>
            <w:pPr>
              <w:ind w:left="360"/>
              <w:spacing w:after="0" w:line="182" w:lineRule="exact"/>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of our Class A common stock being offered, if any are taken, other than the shares covered by the option described below unless and until this option is exercised.</w:t>
      </w:r>
    </w:p>
    <w:p>
      <w:pPr>
        <w:spacing w:after="0" w:line="154"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additional shares of our Class A common stock.</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Paid by the Company</w:t>
            </w:r>
          </w:p>
        </w:tc>
        <w:tc>
          <w:tcPr>
            <w:tcW w:w="77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7720" w:type="dxa"/>
            <w:vAlign w:val="bottom"/>
          </w:tcPr>
          <w:p>
            <w:pPr>
              <w:spacing w:after="0"/>
              <w:rPr>
                <w:sz w:val="15"/>
                <w:szCs w:val="15"/>
                <w:color w:val="auto"/>
              </w:rPr>
            </w:pPr>
          </w:p>
        </w:tc>
        <w:tc>
          <w:tcPr>
            <w:tcW w:w="10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Exercise</w:t>
            </w: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14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77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xml:space="preserve">$       </w:t>
            </w: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Total</w:t>
            </w:r>
          </w:p>
        </w:tc>
        <w:tc>
          <w:tcPr>
            <w:tcW w:w="8420" w:type="dxa"/>
            <w:vAlign w:val="bottom"/>
            <w:gridSpan w:val="2"/>
          </w:tcPr>
          <w:p>
            <w:pPr>
              <w:ind w:left="77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60" w:firstLine="551"/>
        <w:spacing w:after="0" w:line="242" w:lineRule="auto"/>
        <w:rPr>
          <w:sz w:val="20"/>
          <w:szCs w:val="20"/>
          <w:color w:val="auto"/>
        </w:rPr>
      </w:pPr>
      <w:r>
        <w:rPr>
          <w:rFonts w:ascii="Arial" w:cs="Arial" w:eastAsia="Arial" w:hAnsi="Arial"/>
          <w:sz w:val="18"/>
          <w:szCs w:val="18"/>
          <w:color w:val="auto"/>
        </w:rPr>
        <w:t>Shares of our Class A common stock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All of our directors, executive officers, and the holders of substantially all of our common stock outstanding and securities exercisable for or convertible into our common stock.</w:t>
      </w:r>
    </w:p>
    <w:p>
      <w:pPr>
        <w:spacing w:after="0" w:line="179"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We and our executive officers, directors, and the holders of substantially all of our common stock and securities exercisable for or convertible into our common stock have agreed with the underwriters, subject to certain exceptions, not to dispose of or hedge any of our Class A common stock or securities convertible into or exchangeable for shares of Class A common stock during the period from the date of this prospectus continuing through the date          days after the date of this prospectus, except with the prior written consent</w:t>
      </w:r>
    </w:p>
    <w:p>
      <w:pPr>
        <w:jc w:val="both"/>
        <w:ind w:left="120" w:right="100"/>
        <w:spacing w:after="0" w:line="242" w:lineRule="auto"/>
        <w:rPr>
          <w:sz w:val="20"/>
          <w:szCs w:val="20"/>
          <w:color w:val="auto"/>
        </w:rPr>
      </w:pPr>
      <w:r>
        <w:rPr>
          <w:rFonts w:ascii="Arial" w:cs="Arial" w:eastAsia="Arial" w:hAnsi="Arial"/>
          <w:sz w:val="18"/>
          <w:szCs w:val="18"/>
          <w:color w:val="auto"/>
        </w:rPr>
        <w:t>of        . This agreement does not apply to any existing employee benefit plans. See the section titled “Shares Eligible for Future Sale” for a discussion of certain transfer restrictions, including the lock-up agreements with the underwriters and the market standoff provisions with us, and certain exceptions to these restrictions.</w:t>
      </w:r>
    </w:p>
    <w:p>
      <w:pPr>
        <w:spacing w:after="0" w:line="179"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Prior to the offering, there has been no public market for the shares of our Class A common stock. The initial public offering price has been negotiated among us and the representatives. Among</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47" w:lineRule="auto"/>
        <w:rPr>
          <w:sz w:val="20"/>
          <w:szCs w:val="20"/>
          <w:color w:val="auto"/>
        </w:rPr>
      </w:pPr>
      <w:r>
        <w:rPr>
          <w:rFonts w:ascii="Arial" w:cs="Arial" w:eastAsia="Arial" w:hAnsi="Arial"/>
          <w:sz w:val="18"/>
          <w:szCs w:val="18"/>
          <w:color w:val="auto"/>
        </w:rPr>
        <w:t>the factors to be considered in determining the initial public offering price of the shares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apply to list the common stock on the               under the symbol “LIFE.”</w:t>
      </w:r>
    </w:p>
    <w:p>
      <w:pPr>
        <w:spacing w:after="0" w:line="21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 in the over-the-counter market or otherwise.</w:t>
      </w:r>
    </w:p>
    <w:p>
      <w:pPr>
        <w:spacing w:after="0" w:line="179" w:lineRule="exact"/>
        <w:rPr>
          <w:sz w:val="20"/>
          <w:szCs w:val="20"/>
          <w:color w:val="auto"/>
        </w:rPr>
      </w:pPr>
    </w:p>
    <w:p>
      <w:pPr>
        <w:ind w:left="120" w:right="660" w:firstLine="551"/>
        <w:spacing w:after="0" w:line="271"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5" w:right="5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and to persons and entities with relationships with us, for which they received or will receive customary fees and expenses. In addition, the underwriters and their respective affiliates may also provide risk management products to us or any parties related to us or them in connection with the offering for which they could receive payment(s), earn a profit and/or suffer or avoid a loss contingent on the closing of the offering (and the quantum of such amounts may potentially be significantly in excess of the fees earned by the relevant underwriter for its services acting as underwriter in connection with the offering).</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of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10"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or a Relevant Member State,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all in accordance with the EU Prospectus Regulation, except that the shares of Class A common stock may be offered to the public in that Relevant Member State at any time:</w:t>
      </w:r>
    </w:p>
    <w:p>
      <w:pPr>
        <w:spacing w:after="0" w:line="82"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provided that no such offer of the shares of Class A common stock shall result in a requirement for us or any underwriter to publish a prospectus pursuant to Article 3 of the EU Prospectus Regulation or a supplemental prospectus pursuant to Article 23 of the EU Prospectus Regulation and each person who initially acquires any shares of Class A common stock or to whom any offer is made will be deemed to have represented, warranted, and agreed to and with each of the underwriters and us that it is a qualified investor within the meaning of Article 2 of the EU Prospectus Regulation.</w:t>
      </w:r>
    </w:p>
    <w:p>
      <w:pPr>
        <w:spacing w:after="0" w:line="17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1(4) of the EU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Relevant Member State to qualified investors as so defined or in circumstances in which the prior consent of the underwriters has been obtained to each such proposed offer or resale.</w:t>
      </w:r>
    </w:p>
    <w:p>
      <w:pPr>
        <w:spacing w:after="0" w:line="154"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spacing w:after="0" w:line="169"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“EU Prospectus Regulation” means Regulation (EU) 2017/1129, as amended, and includes any relevant implementing measure in Relevant Member State.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right="300" w:firstLine="551"/>
        <w:spacing w:after="0" w:line="253" w:lineRule="auto"/>
        <w:rPr>
          <w:sz w:val="20"/>
          <w:szCs w:val="20"/>
          <w:color w:val="auto"/>
        </w:rPr>
      </w:pPr>
      <w:r>
        <w:rPr>
          <w:rFonts w:ascii="Arial" w:cs="Arial" w:eastAsia="Arial" w:hAnsi="Arial"/>
          <w:sz w:val="18"/>
          <w:szCs w:val="18"/>
          <w:color w:val="auto"/>
        </w:rPr>
        <w:t>No shares of Class A common stock have been offered or will be offered pursuant to the offering to the public in the U.K. prior to the publication of a prospectus in relation to the shares of Class A common stock which has been approved by the Financial Conduct Authority, or FCA, except that the shares of Class A common stock may be offered to the public in the U.K. at any time:</w:t>
      </w:r>
    </w:p>
    <w:p>
      <w:pPr>
        <w:spacing w:after="0" w:line="74"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212"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provided that no such offer of shares of Class A common stock shall require us or any underwriter to publish a prospectus pursuant to section 85 of the FSMA or supplement a prospectus pursuant to Article 23 of the U.K. Prospectus Regulation and each person who initially acquires any shares of Class A common stock or to whom any offer is made will be deemed to have represented, warranted, and agreed to and with each of us and the underwriters that it is a qualified investor within the meaning of Article 2 of the U.K. Prospectus Regulation.</w:t>
      </w:r>
    </w:p>
    <w:p>
      <w:pPr>
        <w:spacing w:after="0" w:line="15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1(4) of the U.K.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the U.K. to qualified investors as so defined or in circumstances in which the prior consent of the underwriters has been obtained to each such proposed offer or resale.</w:t>
      </w:r>
    </w:p>
    <w:p>
      <w:pPr>
        <w:spacing w:after="0" w:line="17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spacing w:after="0" w:line="169"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the U.K. means the communication in any form and by any means of</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the domestic law by virtue of the European Union (Withdrawal) Act 2018.</w:t>
      </w:r>
    </w:p>
    <w:p>
      <w:pPr>
        <w:spacing w:after="0" w:line="16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This prospectus is only being distributed to and is only directed at: (a) persons who are outside the U.K.; or (b) qualified investors (as defined in the U.K. Prospectus Regulation) who are also (i) investment professionals falling within Article 19(5) of the Financial Services and Markets Act 2000 (Financial Promotion) Order 2005, or the Order, (ii) high net worth companies, unincorporated associations, etc. falling within Article 49(2)(a) to (d) of the Order, or (iii) other persons to whom it may lawfully be communicated (all such persons falling within (B)(i) to (iii) together being referred to as relevant persons). In the U.K., the shares of Class A common stock are only available to, and any invitation, offer, or agreement to subscribe, purchase, or otherwise acquire the shares of Class A common stock will be engaged in only with, relevant persons. Any person who is not a relevant person should not act or rely on this prospectus or any of its contents.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02" w:lineRule="exact"/>
        <w:rPr>
          <w:sz w:val="20"/>
          <w:szCs w:val="20"/>
          <w:color w:val="auto"/>
        </w:rPr>
      </w:pPr>
    </w:p>
    <w:p>
      <w:pPr>
        <w:ind w:left="120" w:right="220" w:firstLine="551"/>
        <w:spacing w:after="0" w:line="244" w:lineRule="auto"/>
        <w:rPr>
          <w:sz w:val="20"/>
          <w:szCs w:val="20"/>
          <w:color w:val="auto"/>
        </w:rPr>
      </w:pPr>
      <w:r>
        <w:rPr>
          <w:rFonts w:ascii="Arial" w:cs="Arial" w:eastAsia="Arial" w:hAnsi="Arial"/>
          <w:sz w:val="18"/>
          <w:szCs w:val="18"/>
          <w:color w:val="auto"/>
        </w:rPr>
        <w:t>The Class A common stock may be sold in Canada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jc w:val="both"/>
        <w:ind w:left="120" w:right="480" w:firstLine="551"/>
        <w:spacing w:after="0" w:line="25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the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to persons outside Hong Kong or only to “professional investors” in Hong Kong as defined in the Securities and Futures Ordinance and any rules made thereunder.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7"/>
          <w:szCs w:val="17"/>
          <w:color w:val="auto"/>
        </w:rPr>
        <w:t>This prospectus has not and will not be lodged or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left="120" w:right="400" w:hanging="4"/>
        <w:spacing w:after="0" w:line="250" w:lineRule="auto"/>
        <w:tabs>
          <w:tab w:leader="none" w:pos="4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83"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ind w:left="120" w:right="180" w:hanging="4"/>
        <w:spacing w:after="0" w:line="234" w:lineRule="auto"/>
        <w:tabs>
          <w:tab w:leader="none" w:pos="3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w:t>
      </w:r>
    </w:p>
    <w:p>
      <w:pPr>
        <w:spacing w:after="0" w:line="2" w:lineRule="exact"/>
        <w:rPr>
          <w:rFonts w:ascii="Arial" w:cs="Arial" w:eastAsia="Arial" w:hAnsi="Arial"/>
          <w:sz w:val="18"/>
          <w:szCs w:val="18"/>
          <w:color w:val="auto"/>
        </w:rPr>
      </w:pPr>
    </w:p>
    <w:p>
      <w:pPr>
        <w:ind w:left="380" w:hanging="264"/>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Class A common stock have not been and will not be registered under the Financial Instruments and Exchange Act of Japan (Act No. 25 of 1948 of Japan, as amended), or the FIEA. The Class A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pursuant to an exemption from the registration requirements of, and otherwise in compliance with, the FIFA and any other applicable laws, regulations, and ministerial guidelines of Japan.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Brazil</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offer and sale of the Class A common stock have not been and will not be registered with the Brazilian Securities Commission (</w:t>
      </w:r>
      <w:r>
        <w:rPr>
          <w:rFonts w:ascii="Arial" w:cs="Arial" w:eastAsia="Arial" w:hAnsi="Arial"/>
          <w:sz w:val="18"/>
          <w:szCs w:val="18"/>
          <w:i w:val="1"/>
          <w:iCs w:val="1"/>
          <w:color w:val="auto"/>
        </w:rPr>
        <w:t>Comissão de Valores Mobiliários</w:t>
      </w:r>
      <w:r>
        <w:rPr>
          <w:rFonts w:ascii="Arial" w:cs="Arial" w:eastAsia="Arial" w:hAnsi="Arial"/>
          <w:sz w:val="18"/>
          <w:szCs w:val="18"/>
          <w:color w:val="auto"/>
        </w:rPr>
        <w:t>, or CVM), and, therefore, will not be carried out by any means that would constitute a public offering in Brazil under CVM Resolution No 160, dated July 13, 2022, as amended, or unauthorized distribution under Brazilian laws and regulations. The Class A common stock will be authorized for trading on organized non-Brazilian securities markets and may only be offered to Brazilian professional investors (as defined by the applicable CVM regulation), who may only acquire the Class A common stock through a non-Brazilian account, with settlement outside Brazil in non-Brazilian currency. The trading of the Class A common stock on regulated securities markets in Brazil is prohibited.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The validity of the shares of Class A common stock being offered by this prospectus will be passed upon for us by Cooley LLP, Palo Alto, California. The underwriters have been represented by Simpson Thacher &amp; Bartlett LLP, Palo Alto, California and New York, New York.</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jc w:val="both"/>
        <w:ind w:left="120" w:right="40" w:firstLine="551"/>
        <w:spacing w:after="0" w:line="247" w:lineRule="auto"/>
        <w:rPr>
          <w:sz w:val="20"/>
          <w:szCs w:val="20"/>
          <w:color w:val="auto"/>
        </w:rPr>
      </w:pPr>
      <w:r>
        <w:rPr>
          <w:rFonts w:ascii="Arial" w:cs="Arial" w:eastAsia="Arial" w:hAnsi="Arial"/>
          <w:sz w:val="18"/>
          <w:szCs w:val="18"/>
          <w:color w:val="auto"/>
        </w:rPr>
        <w:t>The consolidated financial statements of Ethos Technologies Inc. at December 31, 2023 and 2024, and for each of the two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1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www.ethos.com,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only as an inactive textual reference.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20" w:type="dxa"/>
            <w:vAlign w:val="bottom"/>
          </w:tcPr>
          <w:p>
            <w:pPr>
              <w:spacing w:after="0"/>
              <w:rPr>
                <w:sz w:val="17"/>
                <w:szCs w:val="17"/>
                <w:color w:val="auto"/>
              </w:rPr>
            </w:pPr>
          </w:p>
        </w:tc>
      </w:tr>
      <w:tr>
        <w:trPr>
          <w:trHeight w:val="559"/>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393"/>
        </w:trPr>
        <w:tc>
          <w:tcPr>
            <w:tcW w:w="1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Arial" w:cs="Arial" w:eastAsia="Arial" w:hAnsi="Arial"/>
                <w:sz w:val="18"/>
                <w:szCs w:val="18"/>
                <w:color w:val="0000EE"/>
              </w:rPr>
              <w:t>Report of Independent Registered Accounting Firm</w:t>
            </w:r>
          </w:p>
        </w:tc>
        <w:tc>
          <w:tcPr>
            <w:tcW w:w="1720" w:type="dxa"/>
            <w:vAlign w:val="bottom"/>
          </w:tcPr>
          <w:p>
            <w:pPr>
              <w:ind w:left="1440"/>
              <w:spacing w:after="0"/>
              <w:rPr>
                <w:sz w:val="20"/>
                <w:szCs w:val="20"/>
                <w:color w:val="auto"/>
              </w:rPr>
            </w:pPr>
            <w:r>
              <w:rPr>
                <w:rFonts w:ascii="Arial" w:cs="Arial" w:eastAsia="Arial" w:hAnsi="Arial"/>
                <w:sz w:val="18"/>
                <w:szCs w:val="18"/>
                <w:color w:val="auto"/>
                <w:w w:val="96"/>
              </w:rPr>
              <w:t>F-2</w:t>
            </w:r>
          </w:p>
        </w:tc>
      </w:tr>
      <w:tr>
        <w:trPr>
          <w:trHeight w:val="183"/>
        </w:trPr>
        <w:tc>
          <w:tcPr>
            <w:tcW w:w="120" w:type="dxa"/>
            <w:vAlign w:val="bottom"/>
          </w:tcPr>
          <w:p>
            <w:pPr>
              <w:spacing w:after="0"/>
              <w:rPr>
                <w:sz w:val="15"/>
                <w:szCs w:val="15"/>
                <w:color w:val="auto"/>
              </w:rPr>
            </w:pPr>
          </w:p>
        </w:tc>
        <w:tc>
          <w:tcPr>
            <w:tcW w:w="40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1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F-3</w:t>
            </w: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688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F-4</w:t>
            </w:r>
          </w:p>
        </w:tc>
      </w:tr>
      <w:tr>
        <w:trPr>
          <w:trHeight w:val="183"/>
        </w:trPr>
        <w:tc>
          <w:tcPr>
            <w:tcW w:w="120" w:type="dxa"/>
            <w:vAlign w:val="bottom"/>
          </w:tcPr>
          <w:p>
            <w:pPr>
              <w:spacing w:after="0"/>
              <w:rPr>
                <w:sz w:val="15"/>
                <w:szCs w:val="15"/>
                <w:color w:val="auto"/>
              </w:rPr>
            </w:pPr>
          </w:p>
        </w:tc>
        <w:tc>
          <w:tcPr>
            <w:tcW w:w="59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Statements of Redeemable Convertible Preferred Stock and</w:t>
            </w:r>
          </w:p>
        </w:tc>
        <w:tc>
          <w:tcPr>
            <w:tcW w:w="3260" w:type="dxa"/>
            <w:vAlign w:val="bottom"/>
            <w:gridSpan w:val="2"/>
          </w:tcPr>
          <w:p>
            <w:pPr>
              <w:spacing w:after="0" w:line="182" w:lineRule="exact"/>
              <w:rPr>
                <w:sz w:val="20"/>
                <w:szCs w:val="20"/>
                <w:color w:val="auto"/>
              </w:rPr>
            </w:pPr>
            <w:r>
              <w:rPr>
                <w:rFonts w:ascii="Arial" w:cs="Arial" w:eastAsia="Arial" w:hAnsi="Arial"/>
                <w:sz w:val="18"/>
                <w:szCs w:val="18"/>
                <w:color w:val="0000EE"/>
              </w:rPr>
              <w:t>Stockholders’ Deficit</w:t>
            </w: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F-5</w:t>
            </w: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4360" w:type="dxa"/>
            <w:vAlign w:val="bottom"/>
            <w:tcBorders>
              <w:top w:val="single" w:sz="8" w:color="0000EE"/>
            </w:tcBorders>
            <w:gridSpan w:val="4"/>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F-6</w:t>
            </w: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Notes to Consolidated Financial Statements</w:t>
            </w:r>
          </w:p>
        </w:tc>
        <w:tc>
          <w:tcPr>
            <w:tcW w:w="5740" w:type="dxa"/>
            <w:vAlign w:val="bottom"/>
            <w:gridSpan w:val="4"/>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F-7</w:t>
            </w:r>
          </w:p>
        </w:tc>
      </w:tr>
    </w:tbl>
    <w:p>
      <w:pPr>
        <w:ind w:left="1440"/>
        <w:spacing w:after="0" w:line="182"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Ethos Technologies Inc.</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audited the accompanying consolidated balance sheets of Ethos Technologies Inc. and subsidiaries (the Company) as of December 31, 2024 and 2023, the related consolidated statements of operations and comprehensive income (loss), redeemable convertible preferred stock and stockholders’ deficit and cash flows for each of the two years in the period ended December 31, 2024, and the related notes and financial statement schedules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ind w:left="120"/>
        <w:spacing w:after="0"/>
        <w:rPr>
          <w:sz w:val="20"/>
          <w:szCs w:val="20"/>
          <w:color w:val="auto"/>
        </w:rPr>
      </w:pPr>
      <w:r>
        <w:rPr>
          <w:rFonts w:ascii="Arial" w:cs="Arial" w:eastAsia="Arial" w:hAnsi="Arial"/>
          <w:sz w:val="18"/>
          <w:szCs w:val="18"/>
          <w:color w:val="auto"/>
        </w:rPr>
        <w:t>June 11, 2025</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9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As of December 31,</w:t>
            </w:r>
          </w:p>
        </w:tc>
      </w:tr>
      <w:tr>
        <w:trPr>
          <w:trHeight w:val="155"/>
        </w:trPr>
        <w:tc>
          <w:tcPr>
            <w:tcW w:w="9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42"/>
        </w:trPr>
        <w:tc>
          <w:tcPr>
            <w:tcW w:w="9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379"/>
              <w:spacing w:after="0" w:line="14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2"/>
                <w:szCs w:val="12"/>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10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25,020</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35,075</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103,957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68,279</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30,303</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Commissions receivable-current, net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5,913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15,079</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and other assets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26,070</w:t>
            </w:r>
          </w:p>
        </w:tc>
      </w:tr>
      <w:tr>
        <w:trPr>
          <w:trHeight w:val="208"/>
        </w:trPr>
        <w:tc>
          <w:tcPr>
            <w:tcW w:w="9100" w:type="dxa"/>
            <w:vAlign w:val="bottom"/>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174,806</w:t>
            </w:r>
          </w:p>
        </w:tc>
        <w:tc>
          <w:tcPr>
            <w:tcW w:w="120" w:type="dxa"/>
            <w:vAlign w:val="bottom"/>
          </w:tcPr>
          <w:p>
            <w:pPr>
              <w:spacing w:after="0"/>
              <w:rPr>
                <w:sz w:val="18"/>
                <w:szCs w:val="18"/>
                <w:color w:val="auto"/>
              </w:rPr>
            </w:pPr>
          </w:p>
        </w:tc>
      </w:tr>
      <w:tr>
        <w:trPr>
          <w:trHeight w:val="96"/>
        </w:trPr>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Long-term 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Commissions receivable, net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119,245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173,096</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7,424</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759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2,536</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2,238</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Acquired intangible assets, net of amortization</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221</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35,002</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558</w:t>
            </w: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221,075</w:t>
            </w:r>
          </w:p>
        </w:tc>
      </w:tr>
      <w:tr>
        <w:trPr>
          <w:trHeight w:val="196"/>
        </w:trPr>
        <w:tc>
          <w:tcPr>
            <w:tcW w:w="9100" w:type="dxa"/>
            <w:vAlign w:val="bottom"/>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395,881</w:t>
            </w:r>
          </w:p>
        </w:tc>
        <w:tc>
          <w:tcPr>
            <w:tcW w:w="120" w:type="dxa"/>
            <w:vAlign w:val="bottom"/>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preferred stock and stockholders’ deficit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10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24,303</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19,217</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Liabilities related to sale of commissions receivable-current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9,382</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Operating lease liabilities-current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753</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13,945</w:t>
            </w:r>
          </w:p>
        </w:tc>
      </w:tr>
      <w:tr>
        <w:trPr>
          <w:trHeight w:val="208"/>
        </w:trPr>
        <w:tc>
          <w:tcPr>
            <w:tcW w:w="91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67,600</w:t>
            </w:r>
          </w:p>
        </w:tc>
        <w:tc>
          <w:tcPr>
            <w:tcW w:w="120" w:type="dxa"/>
            <w:vAlign w:val="bottom"/>
          </w:tcPr>
          <w:p>
            <w:pPr>
              <w:spacing w:after="0"/>
              <w:rPr>
                <w:sz w:val="18"/>
                <w:szCs w:val="18"/>
                <w:color w:val="auto"/>
              </w:rPr>
            </w:pPr>
          </w:p>
        </w:tc>
      </w:tr>
      <w:tr>
        <w:trPr>
          <w:trHeight w:val="96"/>
        </w:trPr>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Liabilities related to sale of commissions receivable-non-current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4,995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24,163</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liabilities-non-current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1,864</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Deferred tax liability</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3,907</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w:t>
            </w:r>
          </w:p>
        </w:tc>
      </w:tr>
      <w:tr>
        <w:trPr>
          <w:trHeight w:val="203"/>
        </w:trPr>
        <w:tc>
          <w:tcPr>
            <w:tcW w:w="9100" w:type="dxa"/>
            <w:vAlign w:val="bottom"/>
          </w:tcPr>
          <w:p>
            <w:pPr>
              <w:ind w:left="320"/>
              <w:spacing w:after="0"/>
              <w:rPr>
                <w:sz w:val="20"/>
                <w:szCs w:val="20"/>
                <w:color w:val="auto"/>
              </w:rPr>
            </w:pPr>
            <w:r>
              <w:rPr>
                <w:rFonts w:ascii="Arial" w:cs="Arial" w:eastAsia="Arial" w:hAnsi="Arial"/>
                <w:sz w:val="16"/>
                <w:szCs w:val="16"/>
                <w:color w:val="auto"/>
              </w:rPr>
              <w:t>Total long-term liabilities</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31,434</w:t>
            </w:r>
          </w:p>
        </w:tc>
        <w:tc>
          <w:tcPr>
            <w:tcW w:w="120" w:type="dxa"/>
            <w:vAlign w:val="bottom"/>
          </w:tcPr>
          <w:p>
            <w:pPr>
              <w:spacing w:after="0"/>
              <w:rPr>
                <w:sz w:val="17"/>
                <w:szCs w:val="17"/>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99,034</w:t>
            </w:r>
          </w:p>
        </w:tc>
      </w:tr>
      <w:tr>
        <w:trPr>
          <w:trHeight w:val="308"/>
        </w:trPr>
        <w:tc>
          <w:tcPr>
            <w:tcW w:w="91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
        </w:trPr>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75"/>
        </w:trPr>
        <w:tc>
          <w:tcPr>
            <w:tcW w:w="91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Redeemable convertible preferred stock, par value $0.0001 – 260,596 shares authorized, issued, and outstanding</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(liquidation preference of $404,801) as of December 31, 2023 and 2024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403,997</w:t>
            </w:r>
          </w:p>
        </w:tc>
      </w:tr>
      <w:tr>
        <w:trPr>
          <w:trHeight w:val="297"/>
        </w:trPr>
        <w:tc>
          <w:tcPr>
            <w:tcW w:w="9100" w:type="dxa"/>
            <w:vAlign w:val="bottom"/>
          </w:tcPr>
          <w:p>
            <w:pPr>
              <w:spacing w:after="0"/>
              <w:rPr>
                <w:sz w:val="20"/>
                <w:szCs w:val="20"/>
                <w:color w:val="auto"/>
              </w:rPr>
            </w:pPr>
            <w:r>
              <w:rPr>
                <w:rFonts w:ascii="Arial" w:cs="Arial" w:eastAsia="Arial" w:hAnsi="Arial"/>
                <w:sz w:val="16"/>
                <w:szCs w:val="16"/>
                <w:color w:val="auto"/>
              </w:rPr>
              <w:t>Stockholders’ deficit: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910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Common stock, $0.0001 par value, 436,731 and 436,731 shares authorized, 111,703 and 112,210 issued and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 at December 31, 2023 and 2024, respectively</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63,464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66,982</w:t>
            </w:r>
          </w:p>
        </w:tc>
      </w:tr>
      <w:tr>
        <w:trPr>
          <w:trHeight w:val="189"/>
        </w:trPr>
        <w:tc>
          <w:tcPr>
            <w:tcW w:w="9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w:t>
            </w:r>
          </w:p>
        </w:tc>
      </w:tr>
      <w:tr>
        <w:trPr>
          <w:trHeight w:val="189"/>
        </w:trPr>
        <w:tc>
          <w:tcPr>
            <w:tcW w:w="910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(222,497)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(173,665)</w:t>
            </w: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91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(159,180)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(107,150)</w:t>
            </w:r>
          </w:p>
        </w:tc>
      </w:tr>
      <w:tr>
        <w:trPr>
          <w:trHeight w:val="196"/>
        </w:trPr>
        <w:tc>
          <w:tcPr>
            <w:tcW w:w="9100" w:type="dxa"/>
            <w:vAlign w:val="bottom"/>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395,881</w:t>
            </w:r>
          </w:p>
        </w:tc>
        <w:tc>
          <w:tcPr>
            <w:tcW w:w="120" w:type="dxa"/>
            <w:vAlign w:val="bottom"/>
          </w:tcPr>
          <w:p>
            <w:pPr>
              <w:spacing w:after="0"/>
              <w:rPr>
                <w:sz w:val="17"/>
                <w:szCs w:val="17"/>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96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ETHOS TECHNOLOGIES INC.</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320" w:type="dxa"/>
            <w:vAlign w:val="bottom"/>
            <w:gridSpan w:val="4"/>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60" w:type="dxa"/>
            <w:vAlign w:val="bottom"/>
          </w:tcPr>
          <w:p>
            <w:pPr>
              <w:jc w:val="center"/>
              <w:ind w:left="1470"/>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70"/>
              </w:rPr>
              <w:t> </w:t>
            </w:r>
          </w:p>
        </w:tc>
        <w:tc>
          <w:tcPr>
            <w:tcW w:w="1160" w:type="dxa"/>
            <w:vAlign w:val="bottom"/>
            <w:tcBorders>
              <w:top w:val="single" w:sz="8" w:color="auto"/>
              <w:bottom w:val="single" w:sz="8" w:color="auto"/>
            </w:tcBorders>
            <w:gridSpan w:val="2"/>
          </w:tcPr>
          <w:p>
            <w:pPr>
              <w:jc w:val="right"/>
              <w:ind w:right="640"/>
              <w:spacing w:after="0" w:line="196" w:lineRule="exact"/>
              <w:rPr>
                <w:sz w:val="20"/>
                <w:szCs w:val="20"/>
                <w:color w:val="auto"/>
              </w:rPr>
            </w:pPr>
            <w:r>
              <w:rPr>
                <w:rFonts w:ascii="Arial" w:cs="Arial" w:eastAsia="Arial" w:hAnsi="Arial"/>
                <w:sz w:val="18"/>
                <w:szCs w:val="18"/>
                <w:b w:val="1"/>
                <w:bCs w:val="1"/>
                <w:color w:val="auto"/>
                <w:w w:val="86"/>
              </w:rPr>
              <w:t>2023 </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7"/>
              </w:rPr>
              <w:t> </w:t>
            </w:r>
          </w:p>
        </w:tc>
        <w:tc>
          <w:tcPr>
            <w:tcW w:w="72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2024 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Commission</w:t>
            </w:r>
          </w:p>
        </w:tc>
        <w:tc>
          <w:tcPr>
            <w:tcW w:w="200" w:type="dxa"/>
            <w:vAlign w:val="bottom"/>
          </w:tcPr>
          <w:p>
            <w:pPr>
              <w:jc w:val="right"/>
              <w:ind w:right="13"/>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159,754</w:t>
            </w:r>
          </w:p>
        </w:tc>
        <w:tc>
          <w:tcPr>
            <w:tcW w:w="6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254,926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159,754</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254,926</w:t>
            </w: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107,531</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148,664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21,231</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22,417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22,288</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5,902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5,713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162,665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(2,911)</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48,747</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5,792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2,275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53,936</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(586)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1,689</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 w:type="dxa"/>
            <w:vAlign w:val="bottom"/>
          </w:tcPr>
          <w:p>
            <w:pPr>
              <w:spacing w:after="0"/>
              <w:rPr>
                <w:sz w:val="24"/>
                <w:szCs w:val="24"/>
                <w:color w:val="auto"/>
              </w:rPr>
            </w:pPr>
          </w:p>
        </w:tc>
        <w:tc>
          <w:tcPr>
            <w:tcW w:w="8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 (loss) on marketable securities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955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Unrealized foreign currency translation loss</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comprehensive income (loss)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Net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used in computing basic net income per share</w:t>
            </w:r>
          </w:p>
        </w:tc>
        <w:tc>
          <w:tcPr>
            <w:tcW w:w="200" w:type="dxa"/>
            <w:vAlign w:val="bottom"/>
          </w:tcPr>
          <w:p>
            <w:pPr>
              <w:spacing w:after="0"/>
              <w:rPr>
                <w:sz w:val="17"/>
                <w:szCs w:val="17"/>
                <w:color w:val="auto"/>
              </w:rPr>
            </w:pPr>
          </w:p>
        </w:tc>
        <w:tc>
          <w:tcPr>
            <w:tcW w:w="11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111,479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112,051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2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computing diluted net income per share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383,063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403,207</w:t>
            </w:r>
          </w:p>
        </w:tc>
        <w:tc>
          <w:tcPr>
            <w:tcW w:w="0" w:type="dxa"/>
            <w:vAlign w:val="bottom"/>
          </w:tcPr>
          <w:p>
            <w:pPr>
              <w:spacing w:after="0"/>
              <w:rPr>
                <w:sz w:val="1"/>
                <w:szCs w:val="1"/>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4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Redeemable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4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40" w:type="dxa"/>
            <w:vAlign w:val="bottom"/>
            <w:gridSpan w:val="6"/>
          </w:tcPr>
          <w:p>
            <w:pPr>
              <w:ind w:left="1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38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3"/>
                <w:szCs w:val="13"/>
                <w:color w:val="auto"/>
              </w:rPr>
            </w:pP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10"/>
          </w:tcPr>
          <w:p>
            <w:pPr>
              <w:jc w:val="right"/>
              <w:ind w:right="54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260,596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$403,997</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110,914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59,298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(224,186)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(165,902)</w:t>
            </w:r>
          </w:p>
        </w:tc>
        <w:tc>
          <w:tcPr>
            <w:tcW w:w="0" w:type="dxa"/>
            <w:vAlign w:val="bottom"/>
          </w:tcPr>
          <w:p>
            <w:pPr>
              <w:spacing w:after="0"/>
              <w:rPr>
                <w:sz w:val="1"/>
                <w:szCs w:val="1"/>
                <w:color w:val="auto"/>
              </w:rPr>
            </w:pPr>
          </w:p>
        </w:tc>
      </w:tr>
      <w:tr>
        <w:trPr>
          <w:trHeight w:val="162"/>
        </w:trPr>
        <w:tc>
          <w:tcPr>
            <w:tcW w:w="3260" w:type="dxa"/>
            <w:vAlign w:val="bottom"/>
          </w:tcPr>
          <w:p>
            <w:pPr>
              <w:ind w:left="280"/>
              <w:spacing w:after="0"/>
              <w:rPr>
                <w:sz w:val="20"/>
                <w:szCs w:val="20"/>
                <w:color w:val="auto"/>
              </w:rPr>
            </w:pPr>
            <w:r>
              <w:rPr>
                <w:rFonts w:ascii="Arial" w:cs="Arial" w:eastAsia="Arial" w:hAnsi="Arial"/>
                <w:sz w:val="14"/>
                <w:szCs w:val="14"/>
                <w:color w:val="auto"/>
              </w:rPr>
              <w:t>Issuance of common stock</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3,835</w:t>
            </w:r>
          </w:p>
        </w:tc>
        <w:tc>
          <w:tcPr>
            <w:tcW w:w="0" w:type="dxa"/>
            <w:vAlign w:val="bottom"/>
          </w:tcPr>
          <w:p>
            <w:pPr>
              <w:spacing w:after="0"/>
              <w:rPr>
                <w:sz w:val="1"/>
                <w:szCs w:val="1"/>
                <w:color w:val="auto"/>
              </w:rPr>
            </w:pPr>
          </w:p>
        </w:tc>
      </w:tr>
      <w:tr>
        <w:trPr>
          <w:trHeight w:val="162"/>
        </w:trPr>
        <w:tc>
          <w:tcPr>
            <w:tcW w:w="3260" w:type="dxa"/>
            <w:vAlign w:val="bottom"/>
          </w:tcPr>
          <w:p>
            <w:pPr>
              <w:ind w:left="280"/>
              <w:spacing w:after="0"/>
              <w:rPr>
                <w:sz w:val="20"/>
                <w:szCs w:val="20"/>
                <w:color w:val="auto"/>
              </w:rPr>
            </w:pPr>
            <w:r>
              <w:rPr>
                <w:rFonts w:ascii="Arial" w:cs="Arial" w:eastAsia="Arial" w:hAnsi="Arial"/>
                <w:sz w:val="14"/>
                <w:szCs w:val="14"/>
                <w:color w:val="auto"/>
              </w:rPr>
              <w:t>Comprehensive income</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867</w:t>
            </w:r>
          </w:p>
        </w:tc>
        <w:tc>
          <w:tcPr>
            <w:tcW w:w="1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1,689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4"/>
                <w:szCs w:val="14"/>
                <w:color w:val="auto"/>
              </w:rPr>
              <w:t>Balance, December 31, 2023</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60" w:type="dxa"/>
            <w:vAlign w:val="bottom"/>
            <w:vMerge w:val="continue"/>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260,596</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9"/>
              </w:rPr>
              <w:t>$403,997</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111,703</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63,464</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(158)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(222,497)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(159,180)</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2"/>
        </w:trPr>
        <w:tc>
          <w:tcPr>
            <w:tcW w:w="32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3,309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62"/>
        </w:trPr>
        <w:tc>
          <w:tcPr>
            <w:tcW w:w="32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48,832</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48,832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260,596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403,997</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112,210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66,982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(173,665)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(107,150)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7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0"/>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5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1,689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48,832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used in operating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Loss on disposal of fixed assets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5,713</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Accretion (amortization) of discounts and premium, investments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(3,602)</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3,607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right-of-use asset amortization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foreign currency translation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and other assets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(23,902)</w:t>
            </w:r>
          </w:p>
        </w:tc>
        <w:tc>
          <w:tcPr>
            <w:tcW w:w="0" w:type="dxa"/>
            <w:vAlign w:val="bottom"/>
          </w:tcPr>
          <w:p>
            <w:pPr>
              <w:spacing w:after="0"/>
              <w:rPr>
                <w:sz w:val="1"/>
                <w:szCs w:val="1"/>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Other long-term assets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(3,617)</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Commissions receivable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(3,772)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(9,166)</w:t>
            </w:r>
          </w:p>
        </w:tc>
        <w:tc>
          <w:tcPr>
            <w:tcW w:w="0" w:type="dxa"/>
            <w:vAlign w:val="bottom"/>
          </w:tcPr>
          <w:p>
            <w:pPr>
              <w:spacing w:after="0"/>
              <w:rPr>
                <w:sz w:val="1"/>
                <w:szCs w:val="1"/>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Long-term commissions receivable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(29,055)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(53,851)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(8,344)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long-term liabilities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(37,124)</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7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(323)</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domain name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Purchase of investments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5"/>
              </w:rPr>
              <w:t>(154,196)</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(154,675)</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maturity of investments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140,008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145,003</w:t>
            </w: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Sales of investments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9,937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13,360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 software development costs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(4,585)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7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Proceeds from liabilities related to sale of commissions receivable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(47,925)</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72,947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year</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25,020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35,075</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items:</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Capitalized property and equipment costs in accounts payable at year end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taxes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liabilities arising from obtaining operating lease right-of-use assets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39"/>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capitalized as software development costs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Ethos Technologies Inc., a Delaware corporation, and its wholly owned subsidiaries (collectively referred to as the Company) is a technology-driven, direct-to-consumer platform that makes life insurance accessible and easy to apply for. 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0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The Company’s consolidated financial statements were prepared in conformity with accounting principles generally accepted in the United States of America (GAAP). The accompanying consolidated financial statements include the wholly owned subsidiary, Ethos Singapore Pte Ltd (Ethos SGP), the wholly owned subsidiary, Ethos Estate Planning, LLC, and the wholly owned subsidiary, Ethos Life Technologies (India) Pvt. Ltd (Ethos India). All intercompany accounts and transactions have been eliminated.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preparation of consolidated financial statements in conformity with GAAP requires management to make certain estimates, judgments, and assumptions that affect the reported amounts of assets and liabilities and the related disclosures at the date of the financial statements, as well as the reported amounts of revenue and expenses during the periods presented. These estimates, judgments and assumptions take into account historical and forward-looking factors that the Company believes are reasonable. Significant items subject to such estimates, judgments, and assumptions include revenue recognition, commissions receivable, liabilities related to sale of commissions receivable, website and software development costs, stock-based compensation, and income taxes. To the extent there are material differences between these estimates, judgments, or assumptions and actual results, the Company’s consolidated financial statements will be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Cash includes demand deposits with banks or financial institutions. Cash equivalents include short-term, highly liquid investments that are both readily convertible to known amounts of cash, and that are so near their maturity that they present minimal risk of changes in value because of changes in interest rates. The Company’s cash equivalents include only investments with original maturities of three months or less. The Company regularly maintains cash in excess of federally insured limits at financial institutions.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04"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Marketable securities consist primarily of commercial paper and investment grade debt securities. The Company invests in a diversified portfolio of marketable securities and limits the concentration of its investment in any particular security. Marketable securities with original maturities of three months or less are included in cash and cash equivalents, marketable securities with original maturities greater than three months, but less than one year, are included in short term investments, and marketable securities with maturities greater than one year, are included in long term investments in the consolidated balance sheets.</w:t>
      </w:r>
    </w:p>
    <w:p>
      <w:pPr>
        <w:spacing w:after="0" w:line="176" w:lineRule="exact"/>
        <w:rPr>
          <w:sz w:val="20"/>
          <w:szCs w:val="20"/>
          <w:color w:val="auto"/>
        </w:rPr>
      </w:pPr>
    </w:p>
    <w:p>
      <w:pPr>
        <w:ind w:left="120" w:right="420" w:firstLine="551"/>
        <w:spacing w:after="0" w:line="244" w:lineRule="auto"/>
        <w:rPr>
          <w:sz w:val="20"/>
          <w:szCs w:val="20"/>
          <w:color w:val="auto"/>
        </w:rPr>
      </w:pPr>
      <w:r>
        <w:rPr>
          <w:rFonts w:ascii="Arial" w:cs="Arial" w:eastAsia="Arial" w:hAnsi="Arial"/>
          <w:sz w:val="18"/>
          <w:szCs w:val="18"/>
          <w:color w:val="auto"/>
        </w:rPr>
        <w:t>The Company determines the appropriate classification of its investments in marketable securities at the time of purchase and reevaluates such designation at each balance sheet date. The Company has classified and accounted for its marketable securities as available-for-sale. The investments are adjusted for amortization of premiums and discounts to maturity. After consideration of the Company’s capital preservation objectives, as well as its liquidity requirements, the Company may sell securities prior to their stated maturities.</w:t>
      </w:r>
    </w:p>
    <w:p>
      <w:pPr>
        <w:spacing w:after="0" w:line="176"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allowance for credit loss on the security. If neither condition is met, the Company evaluates whether the decline is the result of credit-related factors, in which case the Company records the credit-related portion of the allowance for credit loss. There was no allowance for credit loss for the years ended December 31, 2023 and 2024.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04"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Accumulated other comprehensive loss consists of foreign currency translation adjustments and unrealized gain (loss) on marketable securities. The financial statements of the Company’s foreign subsidiaries are translated from their functional currency into U.S. dollars. Assets and liabilities are translated at period end rates of exchange, and revenue and expenses are translated using average rates of exchange. The resulting gain or loss is included in accumulated other comprehensive loss in the consolidated balance sheets.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04"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related assets. The useful lives are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4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 years</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Developed software</w:t>
            </w:r>
          </w:p>
        </w:tc>
        <w:tc>
          <w:tcPr>
            <w:tcW w:w="466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4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 years</w:t>
            </w:r>
          </w:p>
        </w:tc>
      </w:tr>
      <w:tr>
        <w:trPr>
          <w:trHeight w:val="239"/>
        </w:trPr>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660" w:type="dxa"/>
            <w:vAlign w:val="bottom"/>
          </w:tcPr>
          <w:p>
            <w:pPr>
              <w:jc w:val="center"/>
              <w:spacing w:after="0"/>
              <w:rPr>
                <w:sz w:val="20"/>
                <w:szCs w:val="20"/>
                <w:color w:val="auto"/>
              </w:rPr>
            </w:pPr>
            <w:r>
              <w:rPr>
                <w:rFonts w:ascii="Arial" w:cs="Arial" w:eastAsia="Arial" w:hAnsi="Arial"/>
                <w:sz w:val="18"/>
                <w:szCs w:val="18"/>
                <w:color w:val="auto"/>
              </w:rPr>
              <w:t>Shorter of expected useful life or lease term</w:t>
            </w:r>
          </w:p>
        </w:tc>
      </w:tr>
    </w:tbl>
    <w:p>
      <w:pPr>
        <w:spacing w:after="0" w:line="161"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Maintenance and repair costs are charged to expenses as incurred. Major improvements, which extend the useful life of the related asset, are capitalized. Upon disposal of a fixed asset, the Company records a gain or loss based on the difference between the proceeds received and the net book value of the disposed asset.</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Commissions Receivable, Net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Revenue</w:t>
      </w:r>
      <w:r>
        <w:rPr>
          <w:rFonts w:ascii="Arial" w:cs="Arial" w:eastAsia="Arial" w:hAnsi="Arial"/>
          <w:sz w:val="18"/>
          <w:szCs w:val="18"/>
          <w:color w:val="auto"/>
        </w:rPr>
        <w:t>, below for a description of the Company’s accounts and commissions receivable accounting policy.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Costs</w:t>
      </w:r>
    </w:p>
    <w:p>
      <w:pPr>
        <w:spacing w:after="0" w:line="10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Advertising costs are generally expensed as incurred in connection with the requisite service period. Certain advertising production costs are capitalized and expensed when the advertisement first takes place. For the years ended December 31, 2023 and 2024, expenses attributable to advertising totaled approximately $55,933 and $63,366, respectively. Advertising costs are recorded in sales and marketing expense in the Company’s consolidated statements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04"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Stock-based compensation expense is recognized on a straight-line basis over the period during which an employee is required to provide services in exchange for the award (generally the vesting period of the award).</w:t>
      </w:r>
    </w:p>
    <w:p>
      <w:pPr>
        <w:spacing w:after="0" w:line="159"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variables are summarized as follows:</w:t>
      </w:r>
    </w:p>
    <w:p>
      <w:pPr>
        <w:spacing w:after="0" w:line="117" w:lineRule="exact"/>
        <w:rPr>
          <w:sz w:val="20"/>
          <w:szCs w:val="20"/>
          <w:color w:val="auto"/>
        </w:rPr>
      </w:pPr>
    </w:p>
    <w:p>
      <w:pPr>
        <w:ind w:left="880" w:hanging="224"/>
        <w:spacing w:after="0" w:line="23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Due to the absence of an active market for the Company’s common stock,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underlying the Company’s share-based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 traded companies and transactions of comparable companies, developments and milestones within the Company, the rights, preferences, and privileges of the Company’s common and redeemable convertible preferred stock, and the likelihood and timing of achieving a liquidity event. 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880" w:right="320"/>
        <w:spacing w:after="0" w:line="271" w:lineRule="auto"/>
        <w:rPr>
          <w:sz w:val="20"/>
          <w:szCs w:val="20"/>
          <w:color w:val="auto"/>
        </w:rPr>
      </w:pPr>
      <w:r>
        <w:rPr>
          <w:rFonts w:ascii="Arial" w:cs="Arial" w:eastAsia="Arial" w:hAnsi="Arial"/>
          <w:sz w:val="18"/>
          <w:szCs w:val="18"/>
          <w:color w:val="auto"/>
        </w:rPr>
        <w:t>forecasted revenue and costs. The market approach estimates value based on a comparison of the Company to comparable public companies in a similar line of business.</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From the comparable companies, a representative market-value multiple was determined, which was applied to the Company’s operating results to estimate the enterprise value of the Company. Once the enterprise value was determined under the market approach, the Company derived the equity value of the Company and used the option-pricing model to allocate that value across the various classes of securities to arrive at the fair value of the common stock.</w:t>
      </w:r>
    </w:p>
    <w:p>
      <w:pPr>
        <w:spacing w:after="0" w:line="79" w:lineRule="exact"/>
        <w:rPr>
          <w:sz w:val="20"/>
          <w:szCs w:val="20"/>
          <w:color w:val="auto"/>
        </w:rPr>
      </w:pPr>
    </w:p>
    <w:p>
      <w:pPr>
        <w:ind w:left="880" w:right="200" w:hanging="224"/>
        <w:spacing w:after="0" w:line="24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Expected volatility is a measure of the amount by which the stock price is expected to fluctuate.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spacing w:after="0" w:line="79" w:lineRule="exact"/>
        <w:rPr>
          <w:rFonts w:ascii="Arial" w:cs="Arial" w:eastAsia="Arial" w:hAnsi="Arial"/>
          <w:sz w:val="18"/>
          <w:szCs w:val="18"/>
          <w:color w:val="auto"/>
        </w:rPr>
      </w:pPr>
    </w:p>
    <w:p>
      <w:pPr>
        <w:ind w:left="880" w:right="40" w:hanging="224"/>
        <w:spacing w:after="0" w:line="242"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over which the Company anticipates share-based awards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For awards with 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spacing w:after="0" w:line="84"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used is based on the implied yield in effect at the time of grant of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securities with maturities similar to the expected term of the stock options.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dividend yield is zero as the Company has not declared or paid any dividends to date and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currently expect to do so in the future.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forfeitures when they occur.</w:t>
      </w:r>
    </w:p>
    <w:p>
      <w:pPr>
        <w:spacing w:after="0" w:line="21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the weighted-average assumptions used to estimate the fair value of options granted during the years ended December 31, 2023 and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Warrants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Arial" w:cs="Arial" w:eastAsia="Arial" w:hAnsi="Arial"/>
          <w:sz w:val="18"/>
          <w:szCs w:val="18"/>
          <w:i w:val="1"/>
          <w:iCs w:val="1"/>
          <w:color w:val="auto"/>
        </w:rPr>
        <w:t>Distinguishing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Equity</w:t>
      </w:r>
      <w:r>
        <w:rPr>
          <w:rFonts w:ascii="Arial" w:cs="Arial" w:eastAsia="Arial" w:hAnsi="Arial"/>
          <w:sz w:val="18"/>
          <w:szCs w:val="18"/>
          <w:color w:val="auto"/>
        </w:rPr>
        <w:t>, 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issued common stock warrants which are equity classified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at fair value upon the issuance. The Company uses the Black-Scholes option-pricing model, which incorporates assumptions and estimates, to value the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jc w:val="both"/>
        <w:ind w:left="120" w:right="200" w:firstLine="551"/>
        <w:spacing w:after="0" w:line="242" w:lineRule="auto"/>
        <w:rPr>
          <w:sz w:val="20"/>
          <w:szCs w:val="20"/>
          <w:color w:val="auto"/>
        </w:rPr>
      </w:pPr>
      <w:r>
        <w:rPr>
          <w:rFonts w:ascii="Arial" w:cs="Arial" w:eastAsia="Arial" w:hAnsi="Arial"/>
          <w:sz w:val="18"/>
          <w:szCs w:val="18"/>
          <w:color w:val="auto"/>
        </w:rPr>
        <w:t>Income tax expense is determined using the liability method. Under this method, deferred tax assets and liabilities are calculated based upon the temporary differences between the financial statement and income tax bases of assets and liabilities using the enacted tax rates that are applicable in a given year.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Company records a valuation allowance to reduce deferred tax assets to the amount management believes is more likely than not to be realized.</w:t>
      </w:r>
    </w:p>
    <w:p>
      <w:pPr>
        <w:spacing w:after="0" w:line="179"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color w:val="auto"/>
        </w:rPr>
        <w:t xml:space="preserve">As of December 31, 2023 and 2024, a valuation allowance of $(50,302) and $(39,699), respectively, was recorded in the Company’s consolidated balance sheets.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Adjustments to the valuation allowance are recognized as benefit (expense) in the period in which such determination is made. The calculation of income tax liabilities involves judgment in estimating the impact of uncertainties and complex tax laws. In addition, the Company’s tax returns are subject to audit by various U.S. and foreign tax authorities. Resolution of these uncertainties in a manner inconsistent with our expectations could have a material impact on the Company’s financial position and results of operations.</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Company utilizes a two-step approach to recognizing and measuring uncertain tax positions (tax contingencies).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which is more than 50% likely to be realized upon ultimate settlement. The Company considers many factors when evaluating and estimating its tax positions and tax benefits, which may require periodic adjustments, and which may not accurately forecast actual outcomes.</w:t>
      </w:r>
    </w:p>
    <w:p>
      <w:pPr>
        <w:spacing w:after="0" w:line="179"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The Company includes interest and penalties related to tax contingencies in the provision for income taxes in the consolidated statements of operations. There was no such expense recorded during 2023 and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Intangible assets with finite useful lives are amortized using the straight-line method over their useful lives and are reviewed for impairment. The Company evaluates intangible assets with finite and indefinite useful lives and other long-lived assets for impairment whenever events or circumstances indicate that they may not be recoverable, or at least annually. Recoverability of finite and other long-lived assets is measured by comparing the carrying amount of an asset group to the future undiscounted net cash flows expected to be generated by that asset group. The amount of impairment to be recognized for finite and indefinite-lived intangible assets and other long-lived assets is calculated as the difference between the carrying value and the fair value of the asset group, generally measured by discounting estimated future cash flows. There were no impairment indicators present during the years ended December 31, 2023 and 2024.</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Software Development Costs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costs incurred in the preliminary stages of website and software development are expensed as incurred. Once an application has reached the development stage, internal and external costs, if direct and incremental and deemed by management to be significant, are capitalized and amortized on a straight-line basis over the estimated useful life of the application. Capitalized website and software development costs are included in property and equipment, net in the consolidated balance sheets. Maintenance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remaining useful lives. Amortization expense related to capitalized website and software development costs is included in depreciation and amortization in the consolidated statements of operations. The Company capitalized $4,585 and $3,558 of website and software development costs during the years ended December 31, 2023 and 2024,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w:t>
      </w:r>
    </w:p>
    <w:p>
      <w:pPr>
        <w:spacing w:after="0" w:line="104"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 xml:space="preserve">Accounting standards define fair value as the price that would be received to sell an asset or paid to transfer a liability (an exit price) in the principal or most advantageous market in an orderly transaction between market participants on the measurement date. The standards also establish a fair value hierarchy, which requires an entity to maximize the use of observable inputs and minimize the use of unobservable inputs when measuring fair value. See Note 5,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details of the fair value hierarchy and the related inputs used by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and commissions receivable. The Company believes the potential for collection issues with any of its customers is minimal as of December 31, 2023 and 2024 based on the lack of collection issues in the past and high financial standards the Company requires of its customers. The Company does not require collateral to secure trade receivable balances. For the year ended December 31, 2023, two insurance carrier customers accounted for 60% and 24% of total revenue. As of December 31, 2023, two insurance carrier customers accounted for 76% and 16% of total accounts and commissions receivable. For the year ended December 31, 2024, three insurance carrier customers accounted for 54%, 25%, and 19% of total revenue. As of December 31, 2024, three insurance carrier customers accounted for 63%, 19%, and 11% of total accounts and commissions receivable.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4"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color w:val="auto"/>
        </w:rPr>
        <w:t xml:space="preserve">The Company applied the guidance in ASC Topic 480-10 -S99-3A, </w:t>
      </w:r>
      <w:r>
        <w:rPr>
          <w:rFonts w:ascii="Arial" w:cs="Arial" w:eastAsia="Arial" w:hAnsi="Arial"/>
          <w:sz w:val="18"/>
          <w:szCs w:val="18"/>
          <w:i w:val="1"/>
          <w:iCs w:val="1"/>
          <w:color w:val="auto"/>
        </w:rPr>
        <w:t>SEC Staff Announcement: Classification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Redeemable Securities </w:t>
      </w:r>
      <w:r>
        <w:rPr>
          <w:rFonts w:ascii="Arial" w:cs="Arial" w:eastAsia="Arial" w:hAnsi="Arial"/>
          <w:sz w:val="18"/>
          <w:szCs w:val="18"/>
          <w:color w:val="auto"/>
        </w:rPr>
        <w:t>and therefore classified the redeemable convertible preferred stock (Note 12), as temporary equity.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was recorded outside of stockholders’ deficit because it includes a redemption provision upon a change of control, which is a deemed liquidation event that is considered outside the Company’s control. The redeemable convertible preferred stock was recorded at its original issue price, net of issuance costs. The Company did not adjust the carrying values to the liquidation price associated with a change of control because a change of control of the Company was not considered probable at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measurement dates. Subsequent adjustments to increase or decrease the carrying values to their respective liquidation prices were to be made only if and when it became probable that such a change of control will occur.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 xml:space="preserve">Goodwill represents the future economic benefits arising from assets acquired in a business combination that are not individually identified and separately recognized. Goodwill is tested for impairment at the reporting unit level, which is defined as an operating segment or one level below, and the test is performed annually, or more frequently if circumstances indicate an impairment may have occurred. See Note 16,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about the Company’s goodwill.</w:t>
      </w:r>
    </w:p>
    <w:p>
      <w:pPr>
        <w:spacing w:after="0" w:line="174"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7"/>
          <w:szCs w:val="17"/>
          <w:color w:val="auto"/>
        </w:rPr>
        <w:t>The impairment assessment involves an option to first assess qualitative factors to determine whether events or circumstances exist that lead to a determination that it is more likely than not that the fair value of a reporting unit is less than its carrying amount. If the qualitative assessment is not performed, or after assessing the totality of the events or circumstances, we determine it is more likely than not that the fair value of a reporting unit is less than its carrying amount, a quantitative assessment for potential impairment is performed.</w:t>
      </w:r>
    </w:p>
    <w:p>
      <w:pPr>
        <w:spacing w:after="0" w:line="159"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In reviewing goodwill, the Company performed the qualitative assessment, and determined that it is not necessary to perform a more detailed assessment, as it is more likely than not that the fair value of the reporting unit is greater than its carrying amount.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below for a description of the Company’s revenue recognition policy.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Related to Sale of Commissions Receivable</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The Company accounts for the sale of future rights to commissions from insurance carriers as debt under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amortized under the effective interest method as discussed further in Note 11, </w:t>
      </w:r>
      <w:r>
        <w:rPr>
          <w:rFonts w:ascii="Arial" w:cs="Arial" w:eastAsia="Arial" w:hAnsi="Arial"/>
          <w:sz w:val="18"/>
          <w:szCs w:val="18"/>
          <w:i w:val="1"/>
          <w:iCs w:val="1"/>
          <w:color w:val="auto"/>
        </w:rPr>
        <w:t>Liabilities Related to Sale of Commissions Receivable</w:t>
      </w:r>
      <w:r>
        <w:rPr>
          <w:rFonts w:ascii="Arial" w:cs="Arial" w:eastAsia="Arial" w:hAnsi="Arial"/>
          <w:sz w:val="18"/>
          <w:szCs w:val="18"/>
          <w:color w:val="auto"/>
        </w:rPr>
        <w:t>. The Company has elected to use the prospective method in its calculation of its effective interest rate and will update this calculation quarterly when there are changes in the projected cash flows. The amortization of the liabilities related to the future rights to commissions is based on our current estimates of future commission payments. Payments made will be recorded as a reduction of the liabilities when paid. The debt is allocated on the balance sheet as current and non-current, and the current portion represents amounts estimated to be paid over the next twelve months.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Prepaids and Other Assets</w:t>
      </w:r>
    </w:p>
    <w:p>
      <w:pPr>
        <w:spacing w:after="0" w:line="104"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Prepaids and other current assets consist of prepayments on consulting services, prepaid insurance expenses, and amounts expected to be recovered from agent advances.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Obligations</w:t>
      </w:r>
    </w:p>
    <w:p>
      <w:pPr>
        <w:spacing w:after="0" w:line="104"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Under ASC Topic 842 Leases, the Company determines if an arrangement is a lease at inception of a contract. Leases with an initial term of 12 months or less are not recorded in the balance sheet.</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320" w:top="455" w:right="5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Non-lease components associated with lease components in the Company’s lease contracts are treated as a single lease component. Operating lease right-of-use assets and liabilities are recognized at commencement date based on the present value of lease payments over the lease term. The operating lease right-of-use assets also include any lease payments made prior to commencement and are recorded net of any lease incentives received. Because the rate implicit in each lease is not readily determinable, the Company uses its incremental borrowing rate to determine the present value of the lease payments. To determine the incremental borrowing rate, the Company uses information including the risk-free interest rate for the remaining lease term, the Company’s implied credit rating, and interest rates of similar debt instruments of entities with comparable credit ratings. The Company recognizes rent expense on a straight-line basis over the lease term, which is allocated on a headcount basis to sales and marketing, technology (exclusive of amortization), and general and administrative costs and expenses in the consolidated statements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0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Company has one reportable segment, which has been identified based on how the chief operating decision maker (CODM), manages the business, makes operating decisions and evaluates operating performance. The Company’s CODM is the Chief Executive Officer. The CODM reviews the Company’s revenue, expenses and net income as reported under GAAP, which is the primary measure of segment profit or loss. While the Company’s CODM also reviews the revenue streams attributable to individual products, operations are managed, resources are allocated, and financial performance is evaluated on a consolidated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Adopted</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is intended to improve reportable segment disclosure requirements, primarily through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ASU 2023-07 is effective for fiscal years beginning after December 15, 2023, and interim periods within fiscal years beginning after December 15, 2024. The Company adopted this guidance beginning January 1, 2024, and the adoption did not have a significant impact to the Company’s required disclosures.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ASU 2016-13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For trade receivables, loans, and other financial instruments, the ASU requires a forward-looking expected loss model rather than the incurred loss model for recognizing credit losses which reflects losses that are probable. Credit losses relating to available-for-sale debt securities will also be recorded through an allowance for credit losses, with the amount of the allowance limited to the amount by which fair value is below amortized cost. The Company adopted ASU 2016-13 on January 1, 2023, which resulted in immaterial impact to the consolidated financial statements.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04"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Revenue is recognized when control of the promised goods or services is transferred to the customer, in the amount that reflects the consideration the Company expects to receive in exchange for those goods or services.</w:t>
      </w:r>
    </w:p>
    <w:p>
      <w:pPr>
        <w:spacing w:after="0" w:line="154" w:lineRule="exact"/>
        <w:rPr>
          <w:sz w:val="20"/>
          <w:szCs w:val="20"/>
          <w:color w:val="auto"/>
        </w:rPr>
      </w:pPr>
    </w:p>
    <w:p>
      <w:pPr>
        <w:ind w:left="120" w:right="400" w:firstLine="551"/>
        <w:spacing w:after="0" w:line="254" w:lineRule="auto"/>
        <w:rPr>
          <w:sz w:val="20"/>
          <w:szCs w:val="20"/>
          <w:color w:val="auto"/>
        </w:rPr>
      </w:pPr>
      <w:r>
        <w:rPr>
          <w:rFonts w:ascii="Arial" w:cs="Arial" w:eastAsia="Arial" w:hAnsi="Arial"/>
          <w:sz w:val="17"/>
          <w:szCs w:val="17"/>
          <w:color w:val="auto"/>
        </w:rPr>
        <w:t>The Company’s revenue comes in the form of commissions paid to the Company by insurance carriers for the provision of placement and TPA services. The Company recognizes revenue when a customer obtains control of promised goods or services and recognizes an amount that reflects the consideration that an entity expects to receive in exchange for those goods or services. The Company applies the following five-step model in order to determine this amount: (i) identification of the contract with a customer;</w:t>
      </w:r>
    </w:p>
    <w:p>
      <w:pPr>
        <w:ind w:left="360" w:hanging="244"/>
        <w:spacing w:after="0" w:line="235" w:lineRule="auto"/>
        <w:tabs>
          <w:tab w:leader="none" w:pos="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including whether they are distinct in the context of the contract;</w:t>
      </w:r>
    </w:p>
    <w:p>
      <w:pPr>
        <w:ind w:left="120" w:right="180" w:hanging="4"/>
        <w:spacing w:after="0" w:line="250" w:lineRule="auto"/>
        <w:tabs>
          <w:tab w:leader="none" w:pos="4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7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Company’s primary customers are the insurance carriers that it contracts with to provide placement and/or TPA services through direct and indirect sales channels, related to consumers and partnerships with insurance agencies, respectively. The Company earns commissions for first year and renewal policies from the insurance carriers for both placement and TPA services. The contracts with the insurance carriers are non-exclusive and can typically be terminated unilaterally by either party. The Company reviews individual contracts to determine the Company’s legal and enforceable rights to renewal commissions upon contract termination when determining variable consideration.</w:t>
      </w:r>
    </w:p>
    <w:p>
      <w:pPr>
        <w:spacing w:after="0" w:line="179"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The Company reviews each contract with customers to determine what promises the Company must deliver and which of these promises are capable of being distinct and are distinct in the context of the contract. The delivery of new policyholders to the insurance carriers is the only material promise specified within the contracts. After a policy is sold, the Company has no material additional or recurring obligations to the policyholder or the insurance carrier.</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Company’s contracts do not include downstream policyholder activities such as claims support or payment collection services. While the primary promise is the sale of policies, some contracts include the promise to provide TPA services to policyholders on behalf of the insurance carrier such as responding to policyholder inquiries regarding coverage or providing proof of insurance. The Company has reviewed and does not have any material ongoing costs for the provision of insurance placement or TPA services. As a result, for a given policy, the Company’s performance obligation to insurance carriers is met upon the issuance and activation of an insurance policy.</w:t>
      </w:r>
    </w:p>
    <w:p>
      <w:pPr>
        <w:spacing w:after="0" w:line="176"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transaction price is the amount of consideration the Company expects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w:t>
      </w:r>
    </w:p>
    <w:p>
      <w:pPr>
        <w:spacing w:after="0" w:line="176"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For renewal commissions, the Company utilizes the expected value approach. This approach incorporates a combination of historical lapse and performance of the placed policy, available insurance carrier experience data, historical payment data by distribution channel and insurance carrier</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5"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auto"/>
        </w:rPr>
        <w:t>to estimate forecasted renewal consideration and constrain revenue recognized to the extent that it is probable that a significant reversal in the amount of cumulative revenue recognized will not occur. The uncertainty associated with the variable consideration related to each periodic policy renewal is subsequently resolved when the policy renews, and adjustments in variable consideration are recognized in the period incurred.</w:t>
      </w:r>
    </w:p>
    <w:p>
      <w:pPr>
        <w:spacing w:after="0" w:line="17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Company recognizes all commissions expected to be received over the expected life of the insurance policy at the policy effective date which is when it has completed its performance obligation for both placement and TPA services. At the policy effective date, the Company applies its management estimate of policyholder persistency; the attrition rate of policy holders who cease to maintain their insurance policy, due to cancellation or mortality, and accrues a persistency reserve based on industry data and our experience in the industry and with different carriers.</w:t>
      </w:r>
    </w:p>
    <w:p>
      <w:pPr>
        <w:spacing w:after="0" w:line="176"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The Company continuously evaluates the assumptions and inputs into its calculation of renewal commissions. As a result of these continuous evaluations, the Company recognizes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revenue disaggregated by product: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9020" w:type="dxa"/>
            <w:vAlign w:val="bottom"/>
          </w:tcPr>
          <w:p>
            <w:pPr>
              <w:spacing w:after="0"/>
              <w:rPr>
                <w:sz w:val="13"/>
                <w:szCs w:val="13"/>
                <w:color w:val="auto"/>
              </w:rPr>
            </w:pPr>
          </w:p>
        </w:tc>
        <w:tc>
          <w:tcPr>
            <w:tcW w:w="84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  2023 </w:t>
            </w: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w w:val="95"/>
              </w:rPr>
              <w:t>  2024 </w:t>
            </w:r>
          </w:p>
        </w:tc>
        <w:tc>
          <w:tcPr>
            <w:tcW w:w="80" w:type="dxa"/>
            <w:vAlign w:val="bottom"/>
          </w:tcPr>
          <w:p>
            <w:pPr>
              <w:spacing w:after="0"/>
              <w:rPr>
                <w:sz w:val="13"/>
                <w:szCs w:val="13"/>
                <w:color w:val="auto"/>
              </w:rPr>
            </w:pPr>
          </w:p>
        </w:tc>
      </w:tr>
      <w:tr>
        <w:trPr>
          <w:trHeight w:val="155"/>
        </w:trPr>
        <w:tc>
          <w:tcPr>
            <w:tcW w:w="9020" w:type="dxa"/>
            <w:vAlign w:val="bottom"/>
          </w:tcPr>
          <w:p>
            <w:pPr>
              <w:spacing w:after="0"/>
              <w:rPr>
                <w:sz w:val="13"/>
                <w:szCs w:val="13"/>
                <w:color w:val="auto"/>
              </w:rPr>
            </w:pPr>
          </w:p>
        </w:tc>
        <w:tc>
          <w:tcPr>
            <w:tcW w:w="1920" w:type="dxa"/>
            <w:vAlign w:val="bottom"/>
            <w:gridSpan w:val="4"/>
          </w:tcPr>
          <w:p>
            <w:pPr>
              <w:jc w:val="right"/>
              <w:ind w:right="379"/>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 revenue</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Term life Insurance</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$ 147,490</w:t>
            </w:r>
          </w:p>
        </w:tc>
        <w:tc>
          <w:tcPr>
            <w:tcW w:w="11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$ 204,301</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products</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12,264</w:t>
            </w: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50,625</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$ 159,754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$ 254,926</w:t>
            </w:r>
          </w:p>
        </w:tc>
        <w:tc>
          <w:tcPr>
            <w:tcW w:w="8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Accounts receivable represents either first year or renewal commissions expected to be received on policies that have already been sold or renewed that has been earned but not received from the insurance carrier. Typically, the Company receives commission payments as the insurance carriers receive payments from the underlying policyholders. As these can be on various payment terms such as monthly or quarterly, a receivable is recorded to account for the commission payments where the company has an unconditional right to cash, but has yet to be received from the insurance carriers. The balances of allowance for credit losses were not material as of December 31, 2023 and 2024, and the changes in allowance for credit losses were not material for the years ended December 31, 2023 and 2024.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Receivable, Net</w:t>
      </w:r>
    </w:p>
    <w:p>
      <w:pPr>
        <w:spacing w:after="0" w:line="104"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Commissions receivable are contract assets that represent estimated variable consideration for performance obligations that have been satisfied but payment is not due as the underlying policy has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auto"/>
        </w:rPr>
        <w:t>not renewed yet. The current portion of commissions receivable are future renewal commissions expected to be renewed within one year, while the non-current portion of commissions receivable are expected to be renewed beyond one year. Contract assets are reclassified as accounts receivable when the rights to the renewal commissions become unconditional, which is primarily upon renewal of the underlying policy.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receivable activities (current and long-term) are summarized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92,332</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Commission revenue from activated policies during the period</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149,100</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Net Commission Revenue from activated policies in prior periods</w:t>
            </w:r>
            <w:r>
              <w:rPr>
                <w:rFonts w:ascii="Arial" w:cs="Arial" w:eastAsia="Arial" w:hAnsi="Arial"/>
                <w:sz w:val="23"/>
                <w:szCs w:val="23"/>
                <w:color w:val="auto"/>
                <w:vertAlign w:val="superscript"/>
              </w:rPr>
              <w:t>(1)</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7,867</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Amounts recognized as accounts receivable</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(124,141)</w:t>
            </w:r>
          </w:p>
        </w:tc>
      </w:tr>
      <w:tr>
        <w:trPr>
          <w:trHeight w:val="27"/>
        </w:trPr>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2023</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125,158</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Commission revenue from activated policies during the period</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246,268</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Net Commission Revenue from activated policies in prior periods</w:t>
            </w:r>
            <w:r>
              <w:rPr>
                <w:rFonts w:ascii="Arial" w:cs="Arial" w:eastAsia="Arial" w:hAnsi="Arial"/>
                <w:sz w:val="23"/>
                <w:szCs w:val="23"/>
                <w:color w:val="auto"/>
                <w:vertAlign w:val="superscript"/>
              </w:rPr>
              <w:t>(1)</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5,433</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Amounts recognized as accounts receivable</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(188,684)</w:t>
            </w:r>
          </w:p>
        </w:tc>
      </w:tr>
      <w:tr>
        <w:trPr>
          <w:trHeight w:val="27"/>
        </w:trPr>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188,175</w:t>
            </w:r>
          </w:p>
        </w:tc>
      </w:tr>
      <w:tr>
        <w:trPr>
          <w:trHeight w:val="20"/>
        </w:trPr>
        <w:tc>
          <w:tcPr>
            <w:tcW w:w="7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240" w:hanging="544"/>
        <w:spacing w:after="0" w:line="24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amounts reflect our revised estimates of cash collections for certain activated policies prior to the relevant reporting period that are recognized as adjustments to revenue within the relevant reporting period. The net commission revenue from activated policies in prior periods, or the net adjustment revenue, includes both increases as well as reductions in revenue for certain prior period cohorts.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After a policy is sold, the Company has no material additional or recurring obligations to the policyholder or the insurance carrier. As such, there are no contract liabilities recorded in the consolidated balance sheets.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0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invests surplus cash in short-term and long-term investments to generate a return until the cash is required to fund the Company’s ongoing operations. As of December 31, 2023, the Company held investments of $114,093, of which $103,957 were classified as short-term investments with $10,136 classified as cash and cash equivalents. As of December 31, 2024, the Company held investments of $103,873, of which $68,279 were classified as short-term investments and $35,002 were classified as long-term investments with $592 classified as cash and cash equivalents. For the years ended December 31, 2023 and 2024, the Company generated $5,792 and $5,599, respectively, in interest income. The Company has classified these investments as available for sale and has reported the investments at fair value.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or amortized cost and estimated fair value of debt securities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196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6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80" w:type="dxa"/>
            <w:vAlign w:val="bottom"/>
            <w:gridSpan w:val="2"/>
            <w:vMerge w:val="continue"/>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2"/>
                <w:szCs w:val="12"/>
                <w:color w:val="auto"/>
              </w:rPr>
            </w:pPr>
          </w:p>
        </w:tc>
        <w:tc>
          <w:tcPr>
            <w:tcW w:w="520" w:type="dxa"/>
            <w:vAlign w:val="bottom"/>
          </w:tcPr>
          <w:p>
            <w:pPr>
              <w:jc w:val="center"/>
              <w:ind w:left="100"/>
              <w:spacing w:after="0" w:line="142"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68,576</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(19)</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184"/>
        </w:trPr>
        <w:tc>
          <w:tcPr>
            <w:tcW w:w="3980" w:type="dxa"/>
            <w:vAlign w:val="bottom"/>
            <w:gridSpan w:val="2"/>
          </w:tcPr>
          <w:p>
            <w:pPr>
              <w:spacing w:after="0" w:line="183" w:lineRule="exact"/>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ind w:left="320"/>
              <w:spacing w:after="0" w:line="183" w:lineRule="exact"/>
              <w:rPr>
                <w:sz w:val="20"/>
                <w:szCs w:val="20"/>
                <w:color w:val="auto"/>
              </w:rPr>
            </w:pPr>
            <w:r>
              <w:rPr>
                <w:rFonts w:ascii="Arial" w:cs="Arial" w:eastAsia="Arial" w:hAnsi="Arial"/>
                <w:sz w:val="18"/>
                <w:szCs w:val="18"/>
                <w:color w:val="auto"/>
              </w:rPr>
              <w:t> </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32,327</w:t>
            </w:r>
          </w:p>
        </w:tc>
        <w:tc>
          <w:tcPr>
            <w:tcW w:w="1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520" w:type="dxa"/>
            <w:vAlign w:val="bottom"/>
          </w:tcPr>
          <w:p>
            <w:pPr>
              <w:ind w:left="160"/>
              <w:spacing w:after="0"/>
              <w:rPr>
                <w:sz w:val="20"/>
                <w:szCs w:val="20"/>
                <w:color w:val="auto"/>
              </w:rPr>
            </w:pPr>
            <w:r>
              <w:rPr>
                <w:rFonts w:ascii="Arial" w:cs="Arial" w:eastAsia="Arial" w:hAnsi="Arial"/>
                <w:sz w:val="18"/>
                <w:szCs w:val="18"/>
                <w:color w:val="auto"/>
              </w:rPr>
              <w:t xml:space="preserve">    </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0"/>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19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103,903</w:t>
            </w:r>
          </w:p>
        </w:tc>
        <w:tc>
          <w:tcPr>
            <w:tcW w:w="46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w:t>
            </w:r>
          </w:p>
        </w:tc>
        <w:tc>
          <w:tcPr>
            <w:tcW w:w="4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24"/>
                <w:szCs w:val="2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196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6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80" w:type="dxa"/>
            <w:vAlign w:val="bottom"/>
            <w:gridSpan w:val="2"/>
            <w:vMerge w:val="continue"/>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2"/>
                <w:szCs w:val="12"/>
                <w:color w:val="auto"/>
              </w:rPr>
            </w:pPr>
          </w:p>
        </w:tc>
        <w:tc>
          <w:tcPr>
            <w:tcW w:w="520" w:type="dxa"/>
            <w:vAlign w:val="bottom"/>
          </w:tcPr>
          <w:p>
            <w:pPr>
              <w:jc w:val="center"/>
              <w:ind w:left="100"/>
              <w:spacing w:after="0" w:line="142"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32,564</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(12)</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48,400</w:t>
            </w:r>
          </w:p>
        </w:tc>
        <w:tc>
          <w:tcPr>
            <w:tcW w:w="16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4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(67)</w:t>
            </w:r>
          </w:p>
        </w:tc>
        <w:tc>
          <w:tcPr>
            <w:tcW w:w="520" w:type="dxa"/>
            <w:vAlign w:val="bottom"/>
          </w:tcPr>
          <w:p>
            <w:pPr>
              <w:spacing w:after="0"/>
              <w:rPr>
                <w:sz w:val="17"/>
                <w:szCs w:val="17"/>
                <w:color w:val="auto"/>
              </w:rPr>
            </w:pPr>
          </w:p>
        </w:tc>
        <w:tc>
          <w:tcPr>
            <w:tcW w:w="4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48,352</w:t>
            </w: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18,405</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Municipal bond</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3,978</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19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103,347</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(98)</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103,281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Company examined the securities in question at each balance sheet date to determine if there was a need to recognize an allowance for credit loss pertaining to these securities. Upon review of all holdings, it was concluded that the unrealized losses on the fixed maturity securities were chiefly attributable to the interest rate environment, rather than the credit quality of the issuers. The Company has no plans to offload these investments, and it is unlikely for a necessary sale to occur before the recovery of their amortized cost basis. Hence, no allowance for credit loss was recognized as of December 31, 2023 and 2024.</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The gross unrealized losses and estimated fair values on investments aggregated by investment category and length of time that the individual securities have been in a continuous unrealized loss position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Less than 12 months</w:t>
            </w:r>
          </w:p>
        </w:tc>
        <w:tc>
          <w:tcPr>
            <w:tcW w:w="0" w:type="dxa"/>
            <w:vAlign w:val="bottom"/>
          </w:tcPr>
          <w:p>
            <w:pPr>
              <w:spacing w:after="0"/>
              <w:rPr>
                <w:sz w:val="1"/>
                <w:szCs w:val="1"/>
                <w:color w:val="auto"/>
              </w:rPr>
            </w:pPr>
          </w:p>
        </w:tc>
      </w:tr>
      <w:tr>
        <w:trPr>
          <w:trHeight w:val="146"/>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132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7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8"/>
              </w:rPr>
              <w:t>Estimated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top w:val="single" w:sz="8" w:color="auto"/>
            </w:tcBorders>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Losses</w:t>
            </w:r>
          </w:p>
        </w:tc>
        <w:tc>
          <w:tcPr>
            <w:tcW w:w="10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$ 23,540</w:t>
            </w: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7"/>
                <w:szCs w:val="17"/>
                <w:color w:val="auto"/>
              </w:rPr>
            </w:pPr>
          </w:p>
        </w:tc>
        <w:tc>
          <w:tcPr>
            <w:tcW w:w="1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0"/>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$ 49,634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Less than 12 months</w:t>
            </w:r>
          </w:p>
        </w:tc>
        <w:tc>
          <w:tcPr>
            <w:tcW w:w="0" w:type="dxa"/>
            <w:vAlign w:val="bottom"/>
          </w:tcPr>
          <w:p>
            <w:pPr>
              <w:spacing w:after="0"/>
              <w:rPr>
                <w:sz w:val="1"/>
                <w:szCs w:val="1"/>
                <w:color w:val="auto"/>
              </w:rPr>
            </w:pPr>
          </w:p>
        </w:tc>
      </w:tr>
      <w:tr>
        <w:trPr>
          <w:trHeight w:val="146"/>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132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7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8"/>
              </w:rPr>
              <w:t>Estimated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top w:val="single" w:sz="8" w:color="auto"/>
            </w:tcBorders>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Losses</w:t>
            </w:r>
          </w:p>
        </w:tc>
        <w:tc>
          <w:tcPr>
            <w:tcW w:w="10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$ 16,184</w:t>
            </w:r>
          </w:p>
        </w:tc>
        <w:tc>
          <w:tcPr>
            <w:tcW w:w="0" w:type="dxa"/>
            <w:vAlign w:val="bottom"/>
          </w:tcPr>
          <w:p>
            <w:pPr>
              <w:spacing w:after="0"/>
              <w:rPr>
                <w:sz w:val="1"/>
                <w:szCs w:val="1"/>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7"/>
                <w:szCs w:val="17"/>
                <w:color w:val="auto"/>
              </w:rPr>
            </w:pPr>
          </w:p>
        </w:tc>
        <w:tc>
          <w:tcPr>
            <w:tcW w:w="1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(67)</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32,852</w:t>
            </w: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16,139</w:t>
            </w:r>
          </w:p>
        </w:tc>
        <w:tc>
          <w:tcPr>
            <w:tcW w:w="0" w:type="dxa"/>
            <w:vAlign w:val="bottom"/>
          </w:tcPr>
          <w:p>
            <w:pPr>
              <w:spacing w:after="0"/>
              <w:rPr>
                <w:sz w:val="1"/>
                <w:szCs w:val="1"/>
                <w:color w:val="auto"/>
              </w:rPr>
            </w:pPr>
          </w:p>
        </w:tc>
      </w:tr>
      <w:tr>
        <w:trPr>
          <w:trHeight w:val="202"/>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Municipal bond</w:t>
            </w:r>
          </w:p>
        </w:tc>
        <w:tc>
          <w:tcPr>
            <w:tcW w:w="120" w:type="dxa"/>
            <w:vAlign w:val="bottom"/>
          </w:tcPr>
          <w:p>
            <w:pPr>
              <w:spacing w:after="0"/>
              <w:rPr>
                <w:sz w:val="17"/>
                <w:szCs w:val="17"/>
                <w:color w:val="auto"/>
              </w:rPr>
            </w:pPr>
          </w:p>
        </w:tc>
        <w:tc>
          <w:tcPr>
            <w:tcW w:w="620" w:type="dxa"/>
            <w:vAlign w:val="bottom"/>
          </w:tcPr>
          <w:p>
            <w:pPr>
              <w:ind w:left="44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spacing w:after="0"/>
              <w:rPr>
                <w:sz w:val="17"/>
                <w:szCs w:val="17"/>
                <w:color w:val="auto"/>
              </w:rPr>
            </w:pPr>
          </w:p>
        </w:tc>
        <w:tc>
          <w:tcPr>
            <w:tcW w:w="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(98)</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$ 69,152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 of debt securities as of December 31, 2023 and 2024, by contractual maturity,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48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4140" w:type="dxa"/>
            <w:vAlign w:val="bottom"/>
            <w:gridSpan w:val="2"/>
            <w:vMerge w:val="continue"/>
          </w:tcPr>
          <w:p>
            <w:pPr>
              <w:spacing w:after="0"/>
              <w:rPr>
                <w:sz w:val="14"/>
                <w:szCs w:val="14"/>
                <w:color w:val="auto"/>
              </w:rPr>
            </w:pPr>
          </w:p>
        </w:tc>
        <w:tc>
          <w:tcPr>
            <w:tcW w:w="4880" w:type="dxa"/>
            <w:vAlign w:val="bottom"/>
          </w:tcPr>
          <w:p>
            <w:pPr>
              <w:spacing w:after="0"/>
              <w:rPr>
                <w:sz w:val="14"/>
                <w:szCs w:val="14"/>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920" w:type="dxa"/>
            <w:vAlign w:val="bottom"/>
            <w:tcBorders>
              <w:top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5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$ 103,903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$ 103,957</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48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5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$ 103,903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$ 103,957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48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4140" w:type="dxa"/>
            <w:vAlign w:val="bottom"/>
            <w:gridSpan w:val="2"/>
            <w:vMerge w:val="continue"/>
          </w:tcPr>
          <w:p>
            <w:pPr>
              <w:spacing w:after="0"/>
              <w:rPr>
                <w:sz w:val="14"/>
                <w:szCs w:val="14"/>
                <w:color w:val="auto"/>
              </w:rPr>
            </w:pPr>
          </w:p>
        </w:tc>
        <w:tc>
          <w:tcPr>
            <w:tcW w:w="4880" w:type="dxa"/>
            <w:vAlign w:val="bottom"/>
          </w:tcPr>
          <w:p>
            <w:pPr>
              <w:spacing w:after="0"/>
              <w:rPr>
                <w:sz w:val="14"/>
                <w:szCs w:val="14"/>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920" w:type="dxa"/>
            <w:vAlign w:val="bottom"/>
            <w:tcBorders>
              <w:top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5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68,276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68,279</w:t>
            </w:r>
          </w:p>
        </w:tc>
        <w:tc>
          <w:tcPr>
            <w:tcW w:w="0" w:type="dxa"/>
            <w:vAlign w:val="bottom"/>
          </w:tcPr>
          <w:p>
            <w:pPr>
              <w:spacing w:after="0"/>
              <w:rPr>
                <w:sz w:val="1"/>
                <w:szCs w:val="1"/>
                <w:color w:val="auto"/>
              </w:rPr>
            </w:pP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48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35,071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58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$ 103,347</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$ 103,281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40" w:type="dxa"/>
            <w:vAlign w:val="bottom"/>
            <w:gridSpan w:val="3"/>
          </w:tcPr>
          <w:p>
            <w:pPr>
              <w:ind w:left="1180"/>
              <w:spacing w:after="0"/>
              <w:rPr>
                <w:sz w:val="20"/>
                <w:szCs w:val="20"/>
                <w:color w:val="auto"/>
              </w:rPr>
            </w:pPr>
            <w:r>
              <w:rPr>
                <w:rFonts w:ascii="Arial" w:cs="Arial" w:eastAsia="Arial" w:hAnsi="Arial"/>
                <w:sz w:val="18"/>
                <w:szCs w:val="18"/>
                <w:color w:val="auto"/>
              </w:rPr>
              <w:t>F-19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assets and liabilities are required to be recorded at fair value on a recurring basis.</w:t>
      </w:r>
    </w:p>
    <w:p>
      <w:pPr>
        <w:spacing w:after="0" w:line="21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accounting guidance for fair value measurements prioritizes valuation methodologies based on the reliability of the inputs in the following three-tier value hierarchy: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Level 2  Assets and liabilities valued based on observable market data for similar instruments, such as quoted prices for similar assets or liabilities.</w:t>
      </w:r>
    </w:p>
    <w:p>
      <w:pPr>
        <w:spacing w:after="0" w:line="15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Level 3  Unobservable inputs that are supported by little or no market activity; instruments valued based on the best available data, some of which is internally developed, and considers risk premiums that a market participant would require.</w:t>
      </w:r>
    </w:p>
    <w:p>
      <w:pPr>
        <w:spacing w:after="0" w:line="154"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The Company applied the following methods and assumptions in estimating its fair value measurements. The Company’s investments in U.S. Government bonds are classified as Level 1 within the fair value hierarchy given that they are valued based on quoted market prices for identical assets in active markets. Agency bonds, municipal bonds, and corporate bonds are classified as Level 2 within the fair value hierarchy because they are valued using inputs other than quoted prices in active markets that are observable directly or indirectly. Accounts receivable and accounts payable balances approximate fair value due to their generally short-term maturities.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instruments measured at fair value are as follows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December 31, 2023</w:t>
            </w:r>
          </w:p>
        </w:tc>
        <w:tc>
          <w:tcPr>
            <w:tcW w:w="204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30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$68,610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204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32,353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20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2,994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0"/>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assets measured at fair value on a recurring basis</w:t>
            </w:r>
          </w:p>
        </w:tc>
        <w:tc>
          <w:tcPr>
            <w:tcW w:w="20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68,610</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2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04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30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$32,564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204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48,352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48,352</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Municipal bond</w:t>
            </w:r>
          </w:p>
        </w:tc>
        <w:tc>
          <w:tcPr>
            <w:tcW w:w="20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3,977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Agency bond</w:t>
            </w:r>
          </w:p>
        </w:tc>
        <w:tc>
          <w:tcPr>
            <w:tcW w:w="204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18,388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20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32,564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70,717</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    </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103,281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gridSpan w:val="3"/>
          </w:tcPr>
          <w:p>
            <w:pPr>
              <w:jc w:val="right"/>
              <w:ind w:right="244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and Other Assets</w:t>
      </w:r>
    </w:p>
    <w:p>
      <w:pPr>
        <w:spacing w:after="0" w:line="10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Company’s prepaid and other assets recorded in the consolidated balance sheets as of December 31, 2023 and 2024 were as follows:</w:t>
      </w:r>
    </w:p>
    <w:p>
      <w:pPr>
        <w:spacing w:after="0" w:line="19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6350</wp:posOffset>
            </wp:positionV>
            <wp:extent cx="13716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9" w:lineRule="exact"/>
        <w:rPr>
          <w:sz w:val="20"/>
          <w:szCs w:val="20"/>
          <w:color w:val="auto"/>
        </w:rPr>
      </w:pPr>
    </w:p>
    <w:p>
      <w:pPr>
        <w:ind w:left="8980"/>
        <w:spacing w:after="0"/>
        <w:tabs>
          <w:tab w:leader="none" w:pos="10340" w:val="left"/>
        </w:tabs>
        <w:rPr>
          <w:sz w:val="20"/>
          <w:szCs w:val="20"/>
          <w:color w:val="auto"/>
        </w:rPr>
      </w:pPr>
      <w:r>
        <w:rPr>
          <w:rFonts w:ascii="Arial" w:cs="Arial" w:eastAsia="Arial" w:hAnsi="Arial"/>
          <w:sz w:val="14"/>
          <w:szCs w:val="14"/>
          <w:b w:val="1"/>
          <w:bCs w:val="1"/>
          <w:color w:val="auto"/>
        </w:rPr>
        <w:t>  2023 </w:t>
      </w:r>
      <w:r>
        <w:rPr>
          <w:sz w:val="20"/>
          <w:szCs w:val="20"/>
          <w:color w:val="auto"/>
        </w:rPr>
        <w:tab/>
      </w:r>
      <w:r>
        <w:rPr>
          <w:rFonts w:ascii="Arial" w:cs="Arial" w:eastAsia="Arial" w:hAnsi="Arial"/>
          <w:sz w:val="11"/>
          <w:szCs w:val="11"/>
          <w:b w:val="1"/>
          <w:bCs w:val="1"/>
          <w:color w:val="auto"/>
        </w:rPr>
        <w:t>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-1905</wp:posOffset>
            </wp:positionV>
            <wp:extent cx="13716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8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Agent advances</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22,527</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1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2,168</w:t>
            </w:r>
          </w:p>
        </w:tc>
        <w:tc>
          <w:tcPr>
            <w:tcW w:w="2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3,543</w:t>
            </w:r>
          </w:p>
        </w:tc>
      </w:tr>
      <w:tr>
        <w:trPr>
          <w:trHeight w:val="27"/>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prepaid and other assets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2,168</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26,070</w:t>
            </w: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Other assets consist of various other assets with no individual item accounting for more than 5% of the total current assets as of December 31, 2023 and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04"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The Company’s accrued expenses recorded in the consolidated balance sheets as of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840"/>
              <w:spacing w:after="0" w:line="147" w:lineRule="exact"/>
              <w:rPr>
                <w:sz w:val="20"/>
                <w:szCs w:val="20"/>
                <w:color w:val="auto"/>
              </w:rPr>
            </w:pPr>
            <w:r>
              <w:rPr>
                <w:rFonts w:ascii="Arial" w:cs="Arial" w:eastAsia="Arial" w:hAnsi="Arial"/>
                <w:sz w:val="14"/>
                <w:szCs w:val="14"/>
                <w:b w:val="1"/>
                <w:bCs w:val="1"/>
                <w:color w:val="auto"/>
              </w:rPr>
              <w:t xml:space="preserve">   </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15"/>
              <w:spacing w:after="0" w:line="147"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r>
      <w:tr>
        <w:trPr>
          <w:trHeight w:val="17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 xml:space="preserve">2023   </w:t>
            </w: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8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5"/>
          </w:tcPr>
          <w:p>
            <w:pPr>
              <w:jc w:val="right"/>
              <w:ind w:right="515"/>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2"/>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sales and marketing expenses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5,642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14,083</w:t>
            </w: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underwriting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1,577</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 and compensation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1,451</w:t>
            </w: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Accrued legal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2,928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1,139</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1,977</w:t>
            </w:r>
          </w:p>
        </w:tc>
      </w:tr>
      <w:tr>
        <w:trPr>
          <w:trHeight w:val="210"/>
        </w:trPr>
        <w:tc>
          <w:tcPr>
            <w:tcW w:w="876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19,217</w:t>
            </w:r>
          </w:p>
        </w:tc>
        <w:tc>
          <w:tcPr>
            <w:tcW w:w="60" w:type="dxa"/>
            <w:vAlign w:val="bottom"/>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Other accrued expenses consist of various accrued expenses with no individual item accounting for more than 5% of the total current liabilities as of December 31, 2023 and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Other Current Liabilities</w:t>
      </w:r>
    </w:p>
    <w:p>
      <w:pPr>
        <w:spacing w:after="0" w:line="104"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The Company’s other current liabilities recorded in the consolidated balance sheets as of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224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780" w:type="dxa"/>
            <w:vAlign w:val="bottom"/>
          </w:tcPr>
          <w:p>
            <w:pPr>
              <w:spacing w:after="0"/>
              <w:rPr>
                <w:sz w:val="12"/>
                <w:szCs w:val="12"/>
                <w:color w:val="auto"/>
              </w:rPr>
            </w:pPr>
          </w:p>
        </w:tc>
        <w:tc>
          <w:tcPr>
            <w:tcW w:w="3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1040" w:type="dxa"/>
            <w:vAlign w:val="bottom"/>
            <w:tcBorders>
              <w:top w:val="single" w:sz="8" w:color="auto"/>
            </w:tcBorders>
            <w:gridSpan w:val="3"/>
          </w:tcPr>
          <w:p>
            <w:pPr>
              <w:ind w:left="60"/>
              <w:spacing w:after="0" w:line="147" w:lineRule="exact"/>
              <w:rPr>
                <w:sz w:val="20"/>
                <w:szCs w:val="20"/>
                <w:color w:val="auto"/>
              </w:rPr>
            </w:pPr>
            <w:r>
              <w:rPr>
                <w:rFonts w:ascii="Arial" w:cs="Arial" w:eastAsia="Arial" w:hAnsi="Arial"/>
                <w:sz w:val="14"/>
                <w:szCs w:val="14"/>
                <w:b w:val="1"/>
                <w:bCs w:val="1"/>
                <w:color w:val="auto"/>
              </w:rPr>
              <w:t> </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16"/>
              <w:spacing w:after="0" w:line="147"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r>
      <w:tr>
        <w:trPr>
          <w:trHeight w:val="171"/>
        </w:trPr>
        <w:tc>
          <w:tcPr>
            <w:tcW w:w="87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 xml:space="preserve">2023   </w:t>
            </w: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2024   </w:t>
            </w:r>
          </w:p>
        </w:tc>
      </w:tr>
      <w:tr>
        <w:trPr>
          <w:trHeight w:val="155"/>
        </w:trPr>
        <w:tc>
          <w:tcPr>
            <w:tcW w:w="87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5"/>
          </w:tcPr>
          <w:p>
            <w:pPr>
              <w:jc w:val="right"/>
              <w:ind w:right="516"/>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Persistency reserve liability</w:t>
            </w:r>
          </w:p>
        </w:tc>
        <w:tc>
          <w:tcPr>
            <w:tcW w:w="320" w:type="dxa"/>
            <w:vAlign w:val="bottom"/>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12,170</w:t>
            </w: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1,709</w:t>
            </w: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10"/>
        </w:trPr>
        <w:tc>
          <w:tcPr>
            <w:tcW w:w="8780" w:type="dxa"/>
            <w:vAlign w:val="bottom"/>
          </w:tcPr>
          <w:p>
            <w:pPr>
              <w:ind w:left="360"/>
              <w:spacing w:after="0"/>
              <w:rPr>
                <w:sz w:val="20"/>
                <w:szCs w:val="20"/>
                <w:color w:val="auto"/>
              </w:rPr>
            </w:pPr>
            <w:r>
              <w:rPr>
                <w:rFonts w:ascii="Arial" w:cs="Arial" w:eastAsia="Arial" w:hAnsi="Arial"/>
                <w:sz w:val="18"/>
                <w:szCs w:val="18"/>
                <w:color w:val="auto"/>
              </w:rPr>
              <w:t>Total other current liabilities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1,567</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13,945</w:t>
            </w:r>
          </w:p>
        </w:tc>
        <w:tc>
          <w:tcPr>
            <w:tcW w:w="6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Other current liabilities consist of various other current liabilities with no individual item accounting for more than 5% of the total current liabilities as of December 31, 2023 and 2024. The persistency reserve liability represents amounts received in excess of revenue recognized related to certain insurance carriers.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Property and Equipment, Net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property and equipment, net as of December 31, 2023 and 2024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6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940"/>
              <w:spacing w:after="0" w:line="147" w:lineRule="exact"/>
              <w:rPr>
                <w:sz w:val="20"/>
                <w:szCs w:val="20"/>
                <w:color w:val="auto"/>
              </w:rPr>
            </w:pPr>
            <w:r>
              <w:rPr>
                <w:rFonts w:ascii="Arial" w:cs="Arial" w:eastAsia="Arial" w:hAnsi="Arial"/>
                <w:sz w:val="14"/>
                <w:szCs w:val="14"/>
                <w:b w:val="1"/>
                <w:bCs w:val="1"/>
                <w:color w:val="auto"/>
              </w:rPr>
              <w:t xml:space="preserve">   </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212"/>
              <w:spacing w:after="0" w:line="147"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71"/>
        </w:trPr>
        <w:tc>
          <w:tcPr>
            <w:tcW w:w="6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 xml:space="preserve">2023   </w:t>
            </w: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6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software</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15,071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18,141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1,655</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2,360</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2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System consulting</w:t>
            </w: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Domain and intellectual property</w:t>
            </w: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16,882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20,696</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(8,555)</w:t>
            </w:r>
          </w:p>
        </w:tc>
        <w:tc>
          <w:tcPr>
            <w:tcW w:w="18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(13,272)</w:t>
            </w:r>
          </w:p>
        </w:tc>
      </w:tr>
      <w:tr>
        <w:trPr>
          <w:trHeight w:val="27"/>
        </w:trPr>
        <w:tc>
          <w:tcPr>
            <w:tcW w:w="6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property and equipment, net</w:t>
            </w:r>
          </w:p>
        </w:tc>
        <w:tc>
          <w:tcPr>
            <w:tcW w:w="26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8,327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7,424</w:t>
            </w:r>
          </w:p>
        </w:tc>
      </w:tr>
      <w:tr>
        <w:trPr>
          <w:trHeight w:val="20"/>
        </w:trPr>
        <w:tc>
          <w:tcPr>
            <w:tcW w:w="6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Company recorded depreciation and amortization expense for property and equipment, net other than developed software for the years ended December 31, 2023 and 2024 of $632 and $436, respectively.</w:t>
      </w:r>
    </w:p>
    <w:p>
      <w:pPr>
        <w:spacing w:after="0" w:line="154"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The Company capitalized developed software costs of $4,781 and $3,070 for the years ended December 31, 2023 and 2024, respectively. Amortization expense for developed software costs, recognized in depreciation and amortization in the consolidated statements of operations and comprehensive income (loss), for the years ended December 31, 2023 and 2024 was $4,175 and $5,002, respectively.</w:t>
      </w:r>
    </w:p>
    <w:p>
      <w:pPr>
        <w:spacing w:after="0" w:line="282" w:lineRule="exact"/>
        <w:rPr>
          <w:sz w:val="20"/>
          <w:szCs w:val="20"/>
          <w:color w:val="auto"/>
        </w:rPr>
      </w:pPr>
    </w:p>
    <w:p>
      <w:pPr>
        <w:ind w:left="660" w:right="7860" w:hanging="544"/>
        <w:spacing w:after="0" w:line="360" w:lineRule="auto"/>
        <w:tabs>
          <w:tab w:leader="none" w:pos="40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jc w:val="both"/>
        <w:ind w:left="120" w:right="40" w:firstLine="551"/>
        <w:spacing w:after="0" w:line="253" w:lineRule="auto"/>
        <w:rPr>
          <w:sz w:val="20"/>
          <w:szCs w:val="20"/>
          <w:color w:val="auto"/>
        </w:rPr>
      </w:pPr>
      <w:r>
        <w:rPr>
          <w:rFonts w:ascii="Arial" w:cs="Arial" w:eastAsia="Arial" w:hAnsi="Arial"/>
          <w:sz w:val="18"/>
          <w:szCs w:val="18"/>
          <w:color w:val="auto"/>
        </w:rPr>
        <w:t>As of December 31, 2024, the Company had operating lease agreements for its office facilities in San Francisco, California, as well as in India, which expire at various dates through November 2028. For its primary operating leases, the Company has the option to extend the lease terms.</w:t>
      </w:r>
    </w:p>
    <w:p>
      <w:pPr>
        <w:spacing w:after="0" w:line="169"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In September 2023, Ethos Life Technologies (India) Pvt. Ltd. entered into a lease agreement in Bangalore, Karnataka, India. The lease agreement was canceled as of November 2024 and replaced with a new agreement that expires November 2026. The new agreement may be cancelled after August 2026 and contains an option to extend the lease term. The terms of the lease agreement provide for fixed rental payments on a graduated basis.</w:t>
      </w:r>
    </w:p>
    <w:p>
      <w:pPr>
        <w:spacing w:after="0" w:line="174" w:lineRule="exact"/>
        <w:rPr>
          <w:sz w:val="20"/>
          <w:szCs w:val="20"/>
          <w:color w:val="auto"/>
        </w:rPr>
      </w:pPr>
    </w:p>
    <w:p>
      <w:pPr>
        <w:jc w:val="both"/>
        <w:ind w:left="120" w:right="420" w:firstLine="551"/>
        <w:spacing w:after="0" w:line="253" w:lineRule="auto"/>
        <w:rPr>
          <w:sz w:val="20"/>
          <w:szCs w:val="20"/>
          <w:color w:val="auto"/>
        </w:rPr>
      </w:pPr>
      <w:r>
        <w:rPr>
          <w:rFonts w:ascii="Arial" w:cs="Arial" w:eastAsia="Arial" w:hAnsi="Arial"/>
          <w:sz w:val="18"/>
          <w:szCs w:val="18"/>
          <w:color w:val="auto"/>
        </w:rPr>
        <w:t>In May 2024, the Company entered into a lease agreement in San Francisco, CA. The lease was for the same space leased in 2022, which consisted of 9,079 square feet of office space. The terms of the lease agreement provides for fixed rental payments on a graduated basis and contains an option to extend the terms of the lease.</w:t>
      </w:r>
    </w:p>
    <w:p>
      <w:pPr>
        <w:spacing w:after="0" w:line="169"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As of December 31, 2024, the Company recognized in its consolidated balance sheets operating lease right-of-use assets of $2,536 that represent the Company’s right to use an underlying asset</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during the lease term and current and noncurrent operating lease liabilities of $753 and $1,864 respectively, that represent the Company’s obligation to make lease payments.</w:t>
      </w:r>
    </w:p>
    <w:p>
      <w:pPr>
        <w:spacing w:after="0" w:line="154"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components of lease costs, which consist of rent expense for leased office space, during the years ended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 xml:space="preserve">   </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 xml:space="preserve">   </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2023 </w:t>
            </w:r>
          </w:p>
        </w:tc>
        <w:tc>
          <w:tcPr>
            <w:tcW w:w="1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71"/>
              </w:rPr>
              <w:t> </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2"/>
              </w:rPr>
              <w:t>2024 </w:t>
            </w:r>
          </w:p>
        </w:tc>
        <w:tc>
          <w:tcPr>
            <w:tcW w:w="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 </w:t>
            </w:r>
          </w:p>
        </w:tc>
      </w:tr>
      <w:tr>
        <w:trPr>
          <w:trHeight w:val="156"/>
        </w:trPr>
        <w:tc>
          <w:tcPr>
            <w:tcW w:w="5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ind w:right="339"/>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operating lease cost</w:t>
            </w:r>
          </w:p>
        </w:tc>
        <w:tc>
          <w:tcPr>
            <w:tcW w:w="3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w w:val="99"/>
              </w:rPr>
              <w:t>747</w:t>
            </w:r>
          </w:p>
        </w:tc>
        <w:tc>
          <w:tcPr>
            <w:tcW w:w="46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668</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Short-term lease cost</w:t>
            </w:r>
          </w:p>
        </w:tc>
        <w:tc>
          <w:tcPr>
            <w:tcW w:w="3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w w:val="99"/>
              </w:rPr>
              <w:t>100</w:t>
            </w:r>
          </w:p>
        </w:tc>
        <w:tc>
          <w:tcPr>
            <w:tcW w:w="460" w:type="dxa"/>
            <w:vAlign w:val="bottom"/>
          </w:tcPr>
          <w:p>
            <w:pPr>
              <w:spacing w:after="0"/>
              <w:rPr>
                <w:sz w:val="17"/>
                <w:szCs w:val="17"/>
                <w:color w:val="auto"/>
              </w:rPr>
            </w:pP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3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3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(34)</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7"/>
        </w:trPr>
        <w:tc>
          <w:tcPr>
            <w:tcW w:w="5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lease cost</w:t>
            </w:r>
          </w:p>
        </w:tc>
        <w:tc>
          <w:tcPr>
            <w:tcW w:w="3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w w:val="99"/>
              </w:rPr>
              <w:t>813</w:t>
            </w:r>
          </w:p>
        </w:tc>
        <w:tc>
          <w:tcPr>
            <w:tcW w:w="46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737</w:t>
            </w:r>
          </w:p>
        </w:tc>
      </w:tr>
      <w:tr>
        <w:trPr>
          <w:trHeight w:val="20"/>
        </w:trPr>
        <w:tc>
          <w:tcPr>
            <w:tcW w:w="5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Supplemental cash flow information related to the Company’s operating leases as well as the weighted-average lease term and discount rate as of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7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1200" w:type="dxa"/>
            <w:vAlign w:val="bottom"/>
            <w:tcBorders>
              <w:top w:val="single" w:sz="8" w:color="auto"/>
            </w:tcBorders>
          </w:tcPr>
          <w:p>
            <w:pPr>
              <w:jc w:val="right"/>
              <w:ind w:right="979"/>
              <w:spacing w:after="0" w:line="147" w:lineRule="exact"/>
              <w:rPr>
                <w:sz w:val="20"/>
                <w:szCs w:val="20"/>
                <w:color w:val="auto"/>
              </w:rPr>
            </w:pPr>
            <w:r>
              <w:rPr>
                <w:rFonts w:ascii="Arial" w:cs="Arial" w:eastAsia="Arial" w:hAnsi="Arial"/>
                <w:sz w:val="14"/>
                <w:szCs w:val="14"/>
                <w:b w:val="1"/>
                <w:bCs w:val="1"/>
                <w:color w:val="auto"/>
                <w:w w:val="85"/>
              </w:rPr>
              <w:t> </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460" w:type="dxa"/>
            <w:vAlign w:val="bottom"/>
            <w:tcBorders>
              <w:top w:val="single" w:sz="8" w:color="auto"/>
            </w:tcBorders>
          </w:tcPr>
          <w:p>
            <w:pPr>
              <w:jc w:val="right"/>
              <w:ind w:right="252"/>
              <w:spacing w:after="0" w:line="147" w:lineRule="exact"/>
              <w:rPr>
                <w:sz w:val="20"/>
                <w:szCs w:val="20"/>
                <w:color w:val="auto"/>
              </w:rPr>
            </w:pPr>
            <w:r>
              <w:rPr>
                <w:rFonts w:ascii="Arial" w:cs="Arial" w:eastAsia="Arial" w:hAnsi="Arial"/>
                <w:sz w:val="14"/>
                <w:szCs w:val="14"/>
                <w:b w:val="1"/>
                <w:bCs w:val="1"/>
                <w:color w:val="auto"/>
                <w:w w:val="71"/>
              </w:rPr>
              <w:t>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rPr>
              <w:t xml:space="preserve">2023   </w:t>
            </w:r>
          </w:p>
        </w:tc>
        <w:tc>
          <w:tcPr>
            <w:tcW w:w="40" w:type="dxa"/>
            <w:vAlign w:val="bottom"/>
          </w:tcPr>
          <w:p>
            <w:pPr>
              <w:spacing w:after="0"/>
              <w:rPr>
                <w:sz w:val="14"/>
                <w:szCs w:val="1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 xml:space="preserve">2024   </w:t>
            </w:r>
          </w:p>
        </w:tc>
      </w:tr>
      <w:tr>
        <w:trPr>
          <w:trHeight w:val="146"/>
        </w:trPr>
        <w:tc>
          <w:tcPr>
            <w:tcW w:w="7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center"/>
              <w:ind w:right="192"/>
              <w:spacing w:after="0" w:line="147" w:lineRule="exact"/>
              <w:rPr>
                <w:sz w:val="20"/>
                <w:szCs w:val="20"/>
                <w:color w:val="auto"/>
              </w:rPr>
            </w:pPr>
            <w:r>
              <w:rPr>
                <w:rFonts w:ascii="Arial" w:cs="Arial" w:eastAsia="Arial" w:hAnsi="Arial"/>
                <w:sz w:val="14"/>
                <w:szCs w:val="14"/>
                <w:b w:val="1"/>
                <w:bCs w:val="1"/>
                <w:color w:val="auto"/>
              </w:rPr>
              <w:t>(in thousands, except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579"/>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2"/>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operating lease liabilities</w:t>
            </w:r>
          </w:p>
        </w:tc>
        <w:tc>
          <w:tcPr>
            <w:tcW w:w="1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639"/>
              <w:spacing w:after="0" w:line="202" w:lineRule="exact"/>
              <w:rPr>
                <w:sz w:val="20"/>
                <w:szCs w:val="20"/>
                <w:color w:val="auto"/>
              </w:rPr>
            </w:pPr>
            <w:r>
              <w:rPr>
                <w:rFonts w:ascii="Arial" w:cs="Arial" w:eastAsia="Arial" w:hAnsi="Arial"/>
                <w:sz w:val="18"/>
                <w:szCs w:val="18"/>
                <w:color w:val="auto"/>
              </w:rPr>
              <w:t>731</w:t>
            </w:r>
          </w:p>
        </w:tc>
        <w:tc>
          <w:tcPr>
            <w:tcW w:w="48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Operating lease assets obtained in exchange for new operating lease obligations</w:t>
            </w:r>
          </w:p>
        </w:tc>
        <w:tc>
          <w:tcPr>
            <w:tcW w:w="12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639"/>
              <w:spacing w:after="0" w:line="202" w:lineRule="exact"/>
              <w:rPr>
                <w:sz w:val="20"/>
                <w:szCs w:val="20"/>
                <w:color w:val="auto"/>
              </w:rPr>
            </w:pPr>
            <w:r>
              <w:rPr>
                <w:rFonts w:ascii="Arial" w:cs="Arial" w:eastAsia="Arial" w:hAnsi="Arial"/>
                <w:sz w:val="18"/>
                <w:szCs w:val="18"/>
                <w:color w:val="auto"/>
              </w:rPr>
              <w:t>1,090</w:t>
            </w:r>
          </w:p>
        </w:tc>
        <w:tc>
          <w:tcPr>
            <w:tcW w:w="4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2,663</w:t>
            </w: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remaining lease term (years)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39"/>
              <w:spacing w:after="0" w:line="202" w:lineRule="exact"/>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7"/>
                <w:szCs w:val="17"/>
                <w:color w:val="auto"/>
              </w:rPr>
            </w:pPr>
          </w:p>
        </w:tc>
      </w:tr>
      <w:tr>
        <w:trPr>
          <w:trHeight w:val="239"/>
        </w:trPr>
        <w:tc>
          <w:tcPr>
            <w:tcW w:w="74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6.00%</w:t>
            </w:r>
          </w:p>
        </w:tc>
      </w:tr>
      <w:tr>
        <w:trPr>
          <w:trHeight w:val="400"/>
        </w:trPr>
        <w:tc>
          <w:tcPr>
            <w:tcW w:w="9860" w:type="dxa"/>
            <w:vAlign w:val="bottom"/>
            <w:gridSpan w:val="4"/>
          </w:tcPr>
          <w:p>
            <w:pPr>
              <w:ind w:left="540"/>
              <w:spacing w:after="0"/>
              <w:rPr>
                <w:sz w:val="20"/>
                <w:szCs w:val="20"/>
                <w:color w:val="auto"/>
              </w:rPr>
            </w:pPr>
            <w:r>
              <w:rPr>
                <w:rFonts w:ascii="Arial" w:cs="Arial" w:eastAsia="Arial" w:hAnsi="Arial"/>
                <w:sz w:val="18"/>
                <w:szCs w:val="18"/>
                <w:color w:val="auto"/>
              </w:rPr>
              <w:t>Future lease payments under the Company’s operating lease agreements as of December 31, 2024 were as follows: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7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883</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965</w:t>
            </w:r>
          </w:p>
        </w:tc>
      </w:tr>
      <w:tr>
        <w:trPr>
          <w:trHeight w:val="202"/>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r>
      <w:tr>
        <w:trPr>
          <w:trHeight w:val="210"/>
        </w:trPr>
        <w:tc>
          <w:tcPr>
            <w:tcW w:w="740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future lease payments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2,885</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(268)</w:t>
            </w:r>
          </w:p>
        </w:tc>
      </w:tr>
      <w:tr>
        <w:trPr>
          <w:trHeight w:val="27"/>
        </w:trPr>
        <w:tc>
          <w:tcPr>
            <w:tcW w:w="7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Present value of lease liabilities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2,617</w:t>
            </w:r>
          </w:p>
        </w:tc>
      </w:tr>
      <w:tr>
        <w:trPr>
          <w:trHeight w:val="20"/>
        </w:trPr>
        <w:tc>
          <w:tcPr>
            <w:tcW w:w="7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firstLine="551"/>
        <w:spacing w:after="0" w:line="253" w:lineRule="auto"/>
        <w:rPr>
          <w:sz w:val="20"/>
          <w:szCs w:val="20"/>
          <w:color w:val="auto"/>
        </w:rPr>
      </w:pPr>
      <w:r>
        <w:rPr>
          <w:rFonts w:ascii="Arial" w:cs="Arial" w:eastAsia="Arial" w:hAnsi="Arial"/>
          <w:sz w:val="18"/>
          <w:szCs w:val="18"/>
          <w:color w:val="auto"/>
        </w:rPr>
        <w:t>Rent expense under ASC Topic 842, for leased office space under the operating lease commitments for the years ended December 31, 2023 and 2024 was approximately $747 and $659, respectively, and is included in sales and marketing, general and administrative, and technology expenses in the consolidated statements of operations and comprehensive income (loss).</w:t>
      </w:r>
    </w:p>
    <w:p>
      <w:pPr>
        <w:spacing w:after="0" w:line="169"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During 2022 the Company experienced a cyber incident related to its website. The Company did not identify any unauthorized access to or exfiltration of customer data stored on its systems. As of December 31, 2024, the Company reversed a prior accrual of a $2,000 loss contingency related to costs, fees, and potential fines associated with the incident, as prior civil litigation has been resolved and it is more likely than not that no regulatory fine will result.</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Liabilities Related to Sale of Commissions Receivable</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From time to time, the Company has entered into agreements to sell a portion of its commissions receivable. These transactions are accounted for as debt. In December 2024, the Company entered into an agreement with an unaffiliated third-party to sell a portion of its commissions receivable. Specifically, the Company sold the cash flows associated with one carrier that were expected to be collected during renewals years two through ten for policies placed between January 2023 and October 2024 that were in-force as of the date of the sale. If the buyer receives cash payments that satisfy an internal rate of return established in the agreement, the Company has the right to repurchase the remaining commissions receivable. At the time of execution, the transaction was considered a sale of future revenue under U.S. GAAP, and as such, the proceeds of $28,550 were recorded as liabilities related to sale of commissions receivable, with $8,043 recorded in liabilities related to sale of commissions receivable-current and $ 20,507 recorded in liabilities related to sale of commissions receivable-non-current in the Company’s consolidated balance sheets. From the total proceeds, $23,550 was received during the year ended December 31, 2024, and the remaining amount was received during January 2025.</w:t>
      </w:r>
    </w:p>
    <w:p>
      <w:pPr>
        <w:spacing w:after="0" w:line="180"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The aggregate future estimated payments less proceeds received will be recognized as interest expense over the life of the agreement. The Company’s estimated effective annual interest rate was 10.25% and 8.64% for the year ended December 31, 2023 and December 31, 2024, respectively.</w:t>
      </w:r>
    </w:p>
    <w:p>
      <w:pPr>
        <w:spacing w:after="0" w:line="169"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The table below shows the activity of the liabilities related to sale of commissions receivable for the years ended December 31, 2023 and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2022</w:t>
            </w:r>
          </w:p>
        </w:tc>
        <w:tc>
          <w:tcPr>
            <w:tcW w:w="2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Arial" w:cs="Arial" w:eastAsia="Arial" w:hAnsi="Arial"/>
                <w:sz w:val="18"/>
                <w:szCs w:val="18"/>
                <w:color w:val="auto"/>
              </w:rPr>
              <w:t>Balance as of December 31, 2023</w:t>
            </w:r>
          </w:p>
        </w:tc>
        <w:tc>
          <w:tcPr>
            <w:tcW w:w="21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liabilities related to sale of commissions receivable</w:t>
            </w: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03"/>
        </w:trPr>
        <w:tc>
          <w:tcPr>
            <w:tcW w:w="78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Balance as of December 31, 2024</w:t>
            </w:r>
          </w:p>
        </w:tc>
        <w:tc>
          <w:tcPr>
            <w:tcW w:w="2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Liabilities related to sale of commissions receivable-current</w:t>
            </w:r>
          </w:p>
        </w:tc>
        <w:tc>
          <w:tcPr>
            <w:tcW w:w="2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Arial" w:cs="Arial" w:eastAsia="Arial" w:hAnsi="Arial"/>
                <w:sz w:val="18"/>
                <w:szCs w:val="18"/>
                <w:color w:val="auto"/>
              </w:rPr>
              <w:t>Liabilities related to sale of commissions receivable-non-current</w:t>
            </w:r>
          </w:p>
        </w:tc>
        <w:tc>
          <w:tcPr>
            <w:tcW w:w="2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320"/>
              <w:spacing w:after="0"/>
              <w:rPr>
                <w:sz w:val="20"/>
                <w:szCs w:val="20"/>
                <w:color w:val="auto"/>
              </w:rPr>
            </w:pPr>
            <w:r>
              <w:rPr>
                <w:rFonts w:ascii="Arial" w:cs="Arial" w:eastAsia="Arial" w:hAnsi="Arial"/>
                <w:sz w:val="18"/>
                <w:szCs w:val="18"/>
                <w:color w:val="auto"/>
              </w:rPr>
              <w:t>F-24</w:t>
            </w: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80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Stockholders’ Deficit</w:t>
      </w:r>
    </w:p>
    <w:p>
      <w:pPr>
        <w:spacing w:after="0" w:line="104"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As of December 31, 2023 and 2024, the Company was authorized to issue two classes of stock: common stock and redeemable convertible preferred stock. The total number of shares that the Company is authorized to issue at December 31, 2023, is 436,731 shares of common stock with a par value of $ 0.0001 and 260,596 of preferred stock with a par value of $0.0001. The total number of shares that the Company is authorized to issue at December 31, 2024, is 436,731 shares of common stock with a par value of $0.0001 and 260,596 of preferred stock with a par value of $0.0001.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reserved shares of common stock for issuance for the following purposes at December 31, 2023 and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40" w:type="dxa"/>
            <w:vAlign w:val="bottom"/>
          </w:tcPr>
          <w:p>
            <w:pPr>
              <w:ind w:left="100"/>
              <w:spacing w:after="0"/>
              <w:rPr>
                <w:sz w:val="20"/>
                <w:szCs w:val="20"/>
                <w:color w:val="auto"/>
              </w:rPr>
            </w:pPr>
            <w:r>
              <w:rPr>
                <w:rFonts w:ascii="Arial" w:cs="Arial" w:eastAsia="Arial" w:hAnsi="Arial"/>
                <w:sz w:val="2"/>
                <w:szCs w:val="2"/>
                <w:b w:val="1"/>
                <w:bCs w:val="1"/>
                <w:color w:val="auto"/>
                <w:w w:val="97"/>
              </w:rPr>
              <w:t> </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2023 </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2024 </w:t>
            </w:r>
          </w:p>
        </w:tc>
      </w:tr>
      <w:tr>
        <w:trPr>
          <w:trHeight w:val="196"/>
        </w:trPr>
        <w:tc>
          <w:tcPr>
            <w:tcW w:w="9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A-1 preferred stock</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13,973</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13,973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Series A-2 preferred stock</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22,091</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22,091</w:t>
            </w: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51,524</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51,524</w:t>
            </w: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Series B preferred stock</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72,597</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72,597</w:t>
            </w: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46,031</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46,031</w:t>
            </w: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Series D preferred stock</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39,035</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39,035</w:t>
            </w: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D-1 preferred stock</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15,345</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15,345</w:t>
            </w: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602</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45,723</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48,837</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Shares available for grant under Equity Plan</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13,306</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9,694</w:t>
            </w:r>
          </w:p>
        </w:tc>
      </w:tr>
      <w:tr>
        <w:trPr>
          <w:trHeight w:val="27"/>
        </w:trPr>
        <w:tc>
          <w:tcPr>
            <w:tcW w:w="9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320,227</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319,729</w:t>
            </w:r>
          </w:p>
        </w:tc>
      </w:tr>
      <w:tr>
        <w:trPr>
          <w:trHeight w:val="20"/>
        </w:trPr>
        <w:tc>
          <w:tcPr>
            <w:tcW w:w="9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Each holder of common stock has one vote per share of common stock held on all matters that are submitted for stockholder vote. At December 31, 2023 and 2024, 111,703 and 112,210 shares of authorized common stock were issued and outstanding, respectively. The majority of the outstanding common stock has been issued as founder’s stock. Holders of the Company’s common stock are entitled to dividends if and when declared by the Board of Directors. The Company did not hold any shares as treasury shares as of December 31, 2023 and 2024.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4"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A summary of the redeemable convertible preferred stock shares authorized, issued, and outstanding as of December 31, 2023 and 2024 is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Issued and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Liquidation</w:t>
            </w:r>
          </w:p>
        </w:tc>
      </w:tr>
      <w:tr>
        <w:trPr>
          <w:trHeight w:val="171"/>
        </w:trPr>
        <w:tc>
          <w:tcPr>
            <w:tcW w:w="3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2023</w:t>
            </w:r>
          </w:p>
        </w:tc>
        <w:tc>
          <w:tcPr>
            <w:tcW w:w="29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260,596</w:t>
            </w: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260,596</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$ 404,801</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2024</w:t>
            </w:r>
          </w:p>
        </w:tc>
        <w:tc>
          <w:tcPr>
            <w:tcW w:w="29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260,596</w:t>
            </w: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260,596</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$ 404,801</w:t>
            </w:r>
          </w:p>
        </w:tc>
        <w:tc>
          <w:tcPr>
            <w:tcW w:w="60" w:type="dxa"/>
            <w:vAlign w:val="bottom"/>
          </w:tcPr>
          <w:p>
            <w:pPr>
              <w:spacing w:after="0"/>
              <w:rPr>
                <w:sz w:val="18"/>
                <w:szCs w:val="18"/>
                <w:color w:val="auto"/>
              </w:rPr>
            </w:pPr>
          </w:p>
        </w:tc>
      </w:tr>
      <w:tr>
        <w:trPr>
          <w:trHeight w:val="375"/>
        </w:trPr>
        <w:tc>
          <w:tcPr>
            <w:tcW w:w="3900" w:type="dxa"/>
            <w:vAlign w:val="bottom"/>
          </w:tcPr>
          <w:p>
            <w:pPr>
              <w:spacing w:after="0"/>
              <w:rPr>
                <w:sz w:val="24"/>
                <w:szCs w:val="24"/>
                <w:color w:val="auto"/>
              </w:rPr>
            </w:pPr>
          </w:p>
        </w:tc>
        <w:tc>
          <w:tcPr>
            <w:tcW w:w="4080" w:type="dxa"/>
            <w:vAlign w:val="bottom"/>
            <w:gridSpan w:val="3"/>
          </w:tcPr>
          <w:p>
            <w:pPr>
              <w:ind w:left="1420"/>
              <w:spacing w:after="0"/>
              <w:rPr>
                <w:sz w:val="20"/>
                <w:szCs w:val="20"/>
                <w:color w:val="auto"/>
              </w:rPr>
            </w:pPr>
            <w:r>
              <w:rPr>
                <w:rFonts w:ascii="Arial" w:cs="Arial" w:eastAsia="Arial" w:hAnsi="Arial"/>
                <w:sz w:val="18"/>
                <w:szCs w:val="18"/>
                <w:color w:val="auto"/>
              </w:rPr>
              <w:t>F-25</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jc w:val="both"/>
        <w:ind w:left="120" w:right="20" w:firstLine="551"/>
        <w:spacing w:after="0" w:line="242" w:lineRule="auto"/>
        <w:rPr>
          <w:sz w:val="20"/>
          <w:szCs w:val="20"/>
          <w:color w:val="auto"/>
        </w:rPr>
      </w:pPr>
      <w:r>
        <w:rPr>
          <w:rFonts w:ascii="Arial" w:cs="Arial" w:eastAsia="Arial" w:hAnsi="Arial"/>
          <w:sz w:val="18"/>
          <w:szCs w:val="18"/>
          <w:color w:val="auto"/>
        </w:rPr>
        <w:t>Holders of the redeemable convertible preferred stock, in preference to the holders of common stock, shall be entitled to receive, but only out of funds that are legally available therefore, cash dividends at the rate of 6% of the applicable original issue price per annum on each outstanding share of preferred stock. The original issue price for Series A-1 is $0.043185 per share, Series A-2 is $0.095045 per share, Series A is $0.111815 per share, Series B is $0.472985 per share, Series C is $ 1.303475 per share, Series D $5.1748 per share, and Series D-1 $6.5166 per share. Such dividends shall be payable only when, as and if declared by the Board of Directors and shall be non-cumulative. As of December 31, 2023 and 2024 no dividends have been declared.</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Upon any liquidation, dissolution, or winding up of the Company, whether voluntary or involuntary (a Liquidation Event), before any distribution or payment shall be made to the holders of any common stock, the holders of redeemable convertible preferred stock shall be entitled to be paid out of the assets of the Company legally available for distribution (or the consideration received by the Company or its stockholders in an acquisition) for each share of redeemable convertible preferred stock held by them, an amount per share of redeemable convertible preferred stock equal to the applicable original issue price plus all declared and unpaid dividends on the redeemable convertible preferred stock. If, upon any such liquidation event, the assets of the Company shall be insufficient to make payment in full to all holders of redeemable convertible preferred stock of the liquidation preference set forth above, then such assets (or consideration) shall be distributed among the holders of redeemable convertible preferred stock at the time outstanding, ratably in proportion to the full amounts to which they would otherwise be respectively entitled.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The holders of redeemable convertible preferred stock are entitled to vote on all corporate matters together with the holders of common stock. Each holder of redeemable convertible preferred stock shall be entitled to the number of votes equal to the number of shares of common stock into which such redeemable convertible preferred stock could then be converted.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02"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Each share of redeemable convertible preferred stock shall be convertible, at the option of the holder thereof, into such number of fully paid non-assessable shares of common stock as determined by multiplying the series preferred conversion rate then in effect by the number of shares of series preferred being converted. The conversion rate shall be obtained by dividing the original issue price of the series preferred by the series preferred conversion price. The series preferred conversion price shall initially be the original issue price.</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The holders of the Company’s redeemable convertible preferred stock have no voluntary rights to redeem shares. A liquidation or winding up of the Company, a change in control, or a sale of substantially all of the Company’s assets would constitute a redemption event, which may be outside of the Company’s control. Accordingly, these shares are considered contingently redeemable and are classified as temporary equity in the consolidated balance sheets.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20"/>
          </w:cols>
          <w:pgMar w:left="320" w:top="455" w:right="5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Stock-Based Compensation</w:t>
      </w:r>
    </w:p>
    <w:p>
      <w:pPr>
        <w:spacing w:after="0" w:line="10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Board of Directors has authorized the 2016 Equity Incentive Plan (the Plan). Under the Plan, the Board of Directors may grant incentive stock awards to employee, and non-statutory stock options to employees, directors and consultants. The Plan provides for the grant of stock options, restricted stock, and other stock-related and performance awards that may be settled in cash, stock, or other property. During 2023, the plan was amended to allow for a maximum of 86,456, shares of unauthorized or unissued common stock to be available.</w:t>
      </w:r>
    </w:p>
    <w:p>
      <w:pPr>
        <w:spacing w:after="0" w:line="17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For all stock options outstanding as of December 31, 2023 and 2024, the exercise price of the stock options equals the fair value of the stock option on the grant date. The stock options and restricted stock units vest over different lengths of time, but generally over four years, and are subject to forfeiture upon termination of employment prior to vesting. The maximum term for stock options issued to employees under the 2016 Plan is ten years (five years for incentive stock options granted to stockholders owning greater than 10% of all classes.), and they expire ten years from the date of grant. Compensation expense for stock options, restricted stock units, and restricted stock awards is recognized ratably over the vesting period.</w:t>
      </w:r>
    </w:p>
    <w:p>
      <w:pPr>
        <w:spacing w:after="0" w:line="179"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7"/>
          <w:szCs w:val="17"/>
          <w:color w:val="auto"/>
        </w:rPr>
        <w:t>Ethos Technologies Inc. has granted Participant Restricted Stock Units (RSUs) under the Plan, as per the terms specified in the Notice of Restricted Stock Unit Grant, the Plan, and the Restricted Stock Unit Agreement. The conditions for vesting include a service-based requirement and a liquidity event requirement, both of which must be met or the RSUs will lapse without cost to the Company.</w:t>
      </w:r>
    </w:p>
    <w:p>
      <w:pPr>
        <w:spacing w:after="0" w:line="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service-based requirement, RSUs start vesting from the first year anniversary of the vesting commencement date, provided that the participant’s continuous service status is intact, and if terminated, unvested RSUs are forfeited without cost to the Company. The liquidity event requirement is satisfied on the occurrence of the effective date of a Company registration statement for public sale or immediately prior to the closing of a corporate transaction. Upon vesting, the Company will issue one share of common stock for each vested RSU according to a set schedule. The rights granted to the recipient of a restricted stock unit generally accrue over the vesting period. Participants holding restricted stock units are not entitled to any ordinary cash dividends paid by the Company with respect to such shares. The Company does not expect to pay any dividends in the foreseeable future.</w:t>
      </w:r>
    </w:p>
    <w:p>
      <w:pPr>
        <w:spacing w:after="0" w:line="18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Excess tax benefits reflect the total realized value of the Company’s tax deductions from individual stock option exercise transactions and the vesting of restricted stock awards and restricted stock units in excess of the deferred tax assets that were previously recorded. During the years ended December 31, 2023 and 2024, the Company recognized excess tax benefits from stock-based compensation of $108 and $0, respectively, within income tax expense in the consolidated statements of operations and comprehensive income (loss) and within cash flows from operating activities in the consolidated statements of cash flows.</w:t>
      </w:r>
    </w:p>
    <w:p>
      <w:pPr>
        <w:spacing w:after="0" w:line="176"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The Company capitalized stock-based compensation expense as website and software development costs of $227 and $143 for the years ended December 31, 2023 and 2024, respectively.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The fair value of each stock option award was estimated based on the assumptions below as of the grant date using the Black-Scholes-Merton option pricing model. Expected volatility is based on the historical and implied volatilities of the Company’s own common stock. Separate groups of employees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that have similar historical exercise behavior are considered separately for valuation purposes. The expected term calculation for option awards considers a combination of the Company’s historical and estimated future exercise behavior. The risk-free rate for the period within the contractual life of the option is based on the U.S. Treasury yield curve in effect at the time of grant.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grant any stock options during the years ended December 31, 2023 and 2024.</w:t>
      </w:r>
    </w:p>
    <w:p>
      <w:pPr>
        <w:spacing w:after="0" w:line="21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Stock option awards as of December 31, 2023 and 2024 and changes during the years ended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Average</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Aggregate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 Term</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Instric Value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2022</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13,118</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13,695</w:t>
            </w:r>
          </w:p>
        </w:tc>
        <w:tc>
          <w:tcPr>
            <w:tcW w:w="6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32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(1,288)</w:t>
            </w:r>
          </w:p>
        </w:tc>
        <w:tc>
          <w:tcPr>
            <w:tcW w:w="120" w:type="dxa"/>
            <w:vAlign w:val="bottom"/>
          </w:tcPr>
          <w:p>
            <w:pPr>
              <w:spacing w:after="0"/>
              <w:rPr>
                <w:sz w:val="17"/>
                <w:szCs w:val="17"/>
                <w:color w:val="auto"/>
              </w:rPr>
            </w:pP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0.75</w:t>
            </w:r>
          </w:p>
        </w:tc>
        <w:tc>
          <w:tcPr>
            <w:tcW w:w="200" w:type="dxa"/>
            <w:vAlign w:val="bottom"/>
          </w:tcPr>
          <w:p>
            <w:pPr>
              <w:spacing w:after="0"/>
              <w:rPr>
                <w:sz w:val="17"/>
                <w:szCs w:val="17"/>
                <w:color w:val="auto"/>
              </w:rPr>
            </w:pPr>
          </w:p>
        </w:tc>
        <w:tc>
          <w:tcPr>
            <w:tcW w:w="13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NM*</w:t>
            </w:r>
          </w:p>
        </w:tc>
        <w:tc>
          <w:tcPr>
            <w:tcW w:w="11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679</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40" w:type="dxa"/>
            <w:vAlign w:val="bottom"/>
            <w:gridSpan w:val="2"/>
          </w:tcPr>
          <w:p>
            <w:pPr>
              <w:spacing w:after="0"/>
              <w:rPr>
                <w:sz w:val="20"/>
                <w:szCs w:val="20"/>
                <w:color w:val="auto"/>
              </w:rPr>
            </w:pPr>
            <w:r>
              <w:rPr>
                <w:rFonts w:ascii="Arial" w:cs="Arial" w:eastAsia="Arial" w:hAnsi="Arial"/>
                <w:sz w:val="18"/>
                <w:szCs w:val="18"/>
                <w:color w:val="auto"/>
              </w:rPr>
              <w:t>Outstanding at December 31, 2023</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11,284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NM</w:t>
            </w:r>
          </w:p>
        </w:tc>
        <w:tc>
          <w:tcPr>
            <w:tcW w:w="11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5320" w:type="dxa"/>
            <w:vAlign w:val="bottom"/>
          </w:tcPr>
          <w:p>
            <w:pPr>
              <w:ind w:left="140"/>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1,250</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2024</w:t>
            </w: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10,263</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0.46</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47,531</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2024</w:t>
            </w:r>
          </w:p>
        </w:tc>
        <w:tc>
          <w:tcPr>
            <w:tcW w:w="126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0.46</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47,531</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line="20" w:lineRule="exact"/>
              <w:rPr>
                <w:sz w:val="1"/>
                <w:szCs w:val="1"/>
                <w:color w:val="auto"/>
              </w:rPr>
            </w:pPr>
          </w:p>
        </w:tc>
      </w:tr>
      <w:tr>
        <w:trPr>
          <w:trHeight w:val="197"/>
        </w:trPr>
        <w:tc>
          <w:tcPr>
            <w:tcW w:w="5540" w:type="dxa"/>
            <w:vAlign w:val="bottom"/>
            <w:gridSpan w:val="2"/>
            <w:vMerge w:val="continue"/>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10,263</w:t>
            </w:r>
          </w:p>
        </w:tc>
        <w:tc>
          <w:tcPr>
            <w:tcW w:w="6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 2024</w:t>
            </w:r>
          </w:p>
        </w:tc>
        <w:tc>
          <w:tcPr>
            <w:tcW w:w="12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10,174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47,195</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46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tcPr>
          <w:p>
            <w:pPr>
              <w:ind w:left="320"/>
              <w:spacing w:after="0"/>
              <w:rPr>
                <w:sz w:val="20"/>
                <w:szCs w:val="20"/>
                <w:color w:val="auto"/>
              </w:rPr>
            </w:pPr>
            <w:r>
              <w:rPr>
                <w:rFonts w:ascii="Arial" w:cs="Arial" w:eastAsia="Arial" w:hAnsi="Arial"/>
                <w:sz w:val="18"/>
                <w:szCs w:val="18"/>
                <w:color w:val="auto"/>
              </w:rPr>
              <w:t>NM — not meaningful</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fair value of the common stock and the exercise price, multiplied by the number of in-the-money options) that would have been received by the option holders had all option holders exercised their in-the-money options on each date. This amount will change in future periods based on the fair value of the Company’s stock and the number of options outstanding. The aggregate intrinsic value of awards exercised during the years ended December 31, 2023 and 2024 was $679 and $1,250, respectively.</w:t>
      </w:r>
    </w:p>
    <w:p>
      <w:pPr>
        <w:spacing w:after="0" w:line="176" w:lineRule="exact"/>
        <w:rPr>
          <w:sz w:val="20"/>
          <w:szCs w:val="20"/>
          <w:color w:val="auto"/>
        </w:rPr>
      </w:pPr>
    </w:p>
    <w:p>
      <w:pPr>
        <w:jc w:val="both"/>
        <w:ind w:left="120" w:right="340" w:firstLine="551"/>
        <w:spacing w:after="0" w:line="253" w:lineRule="auto"/>
        <w:rPr>
          <w:sz w:val="20"/>
          <w:szCs w:val="20"/>
          <w:color w:val="auto"/>
        </w:rPr>
      </w:pPr>
      <w:r>
        <w:rPr>
          <w:rFonts w:ascii="Arial" w:cs="Arial" w:eastAsia="Arial" w:hAnsi="Arial"/>
          <w:sz w:val="18"/>
          <w:szCs w:val="18"/>
          <w:color w:val="auto"/>
        </w:rPr>
        <w:t>The Company recorded compensation expense for stock options of $3,309 and $3,833 for the years ended December 31, 2023 and 2024, respectively. As of December 31, 2024, total unrecognized compensation cost, adjusted for estimated forfeitures, related to non-vested stock options was $3,845 and is expected to be recognized over a weighted-average period of 1.34 years.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restricted stock units as of December 31, 2023 and 2024 and changes during the years ended December 31, 2023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2024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86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Date Fair Value</w:t>
            </w:r>
          </w:p>
        </w:tc>
      </w:tr>
      <w:tr>
        <w:trPr>
          <w:trHeight w:val="196"/>
        </w:trPr>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2022</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25,822</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19,951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(11,091)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2023</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34,682</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7,331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3.39</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(3,439)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2.17</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2024</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38,574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r>
      <w:tr>
        <w:trPr>
          <w:trHeight w:val="20"/>
        </w:trPr>
        <w:tc>
          <w:tcPr>
            <w:tcW w:w="8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There was no compensation expense related to restricted stock units for the years ended December 31, 2023 and 2024 due to the related performance triggers not having been met. Had the performance triggers been met, compensation expense related to restricted stock units would have been $40,682 for the year ended December 31, 2024, with $22,381 of total unrecognized compensation cost to be recognized over a weighted-average period of 1.84 years. The weighted-average grant date fair value of restricted stock granted during the year ended December 31, 2024 was $ 3.39, which was determined based on the Company’s stock price at the grant date and assuming no expected dividend payments during the vesting period.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Warrants</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April 2024, the Company issued warrants to a third party to purchase an aggregate of up to 2,698 shares of Common Stock at an exercise price of $1.45 per share (Warrant). The Warrant expires in 2027. The Company expects 150 warrants to vest in April 2025. The remainder of the shares underlying the Warrant may vest and become exercisable over the contractual term, contingent upon the achievement of certain performance conditions. For the year ended December 31, 2024, the Company recognized $200 related to the issuance of the Warrant.</w:t>
      </w:r>
    </w:p>
    <w:p>
      <w:pPr>
        <w:spacing w:after="0" w:line="176"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The grant date fair value of the Warrant was determined to be $1.81 per share using the Black-Scholes option pricing model using the following assumptions during the year ended December 31, 2024:</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Expected risk-free interest rate</w:t>
            </w:r>
          </w:p>
        </w:tc>
        <w:tc>
          <w:tcPr>
            <w:tcW w:w="71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7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2.69</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7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w:t>
            </w:r>
          </w:p>
        </w:tc>
        <w:tc>
          <w:tcPr>
            <w:tcW w:w="7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$1.81</w:t>
            </w:r>
          </w:p>
        </w:tc>
      </w:tr>
      <w:tr>
        <w:trPr>
          <w:trHeight w:val="368"/>
        </w:trPr>
        <w:tc>
          <w:tcPr>
            <w:tcW w:w="3880" w:type="dxa"/>
            <w:vAlign w:val="bottom"/>
          </w:tcPr>
          <w:p>
            <w:pPr>
              <w:spacing w:after="0"/>
              <w:rPr>
                <w:sz w:val="24"/>
                <w:szCs w:val="24"/>
                <w:color w:val="auto"/>
              </w:rPr>
            </w:pPr>
          </w:p>
        </w:tc>
        <w:tc>
          <w:tcPr>
            <w:tcW w:w="7140" w:type="dxa"/>
            <w:vAlign w:val="bottom"/>
          </w:tcPr>
          <w:p>
            <w:pPr>
              <w:jc w:val="right"/>
              <w:ind w:right="5250"/>
              <w:spacing w:after="0"/>
              <w:rPr>
                <w:sz w:val="20"/>
                <w:szCs w:val="20"/>
                <w:color w:val="auto"/>
              </w:rPr>
            </w:pPr>
            <w:r>
              <w:rPr>
                <w:rFonts w:ascii="Arial" w:cs="Arial" w:eastAsia="Arial" w:hAnsi="Arial"/>
                <w:sz w:val="18"/>
                <w:szCs w:val="18"/>
                <w:color w:val="auto"/>
              </w:rPr>
              <w:t>F-29</w:t>
            </w:r>
          </w:p>
        </w:tc>
      </w:tr>
    </w:tbl>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0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The Company files income tax returns in the U.S. federal, Singapore, India and various state jurisdictions. For the years ended December 31, 2023 and 2024, the Company has recorded current tax expense of $586 and $1,197 and deferred tax expense of $0 and $3,907,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provision for income taxes for the years ended December 31, 2023 and 2024 was as follows:</w:t>
      </w:r>
    </w:p>
    <w:p>
      <w:pPr>
        <w:spacing w:after="0" w:line="24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6350</wp:posOffset>
            </wp:positionV>
            <wp:extent cx="13716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9" w:lineRule="exact"/>
        <w:rPr>
          <w:sz w:val="20"/>
          <w:szCs w:val="20"/>
          <w:color w:val="auto"/>
        </w:rPr>
      </w:pPr>
    </w:p>
    <w:p>
      <w:pPr>
        <w:ind w:left="8980"/>
        <w:spacing w:after="0"/>
        <w:tabs>
          <w:tab w:leader="none" w:pos="10340" w:val="left"/>
        </w:tabs>
        <w:rPr>
          <w:sz w:val="20"/>
          <w:szCs w:val="20"/>
          <w:color w:val="auto"/>
        </w:rPr>
      </w:pPr>
      <w:r>
        <w:rPr>
          <w:rFonts w:ascii="Arial" w:cs="Arial" w:eastAsia="Arial" w:hAnsi="Arial"/>
          <w:sz w:val="14"/>
          <w:szCs w:val="14"/>
          <w:b w:val="1"/>
          <w:bCs w:val="1"/>
          <w:color w:val="auto"/>
        </w:rPr>
        <w:t>  2023 </w:t>
      </w:r>
      <w:r>
        <w:rPr>
          <w:sz w:val="20"/>
          <w:szCs w:val="20"/>
          <w:color w:val="auto"/>
        </w:rPr>
        <w:tab/>
      </w:r>
      <w:r>
        <w:rPr>
          <w:rFonts w:ascii="Arial" w:cs="Arial" w:eastAsia="Arial" w:hAnsi="Arial"/>
          <w:sz w:val="11"/>
          <w:szCs w:val="11"/>
          <w:b w:val="1"/>
          <w:bCs w:val="1"/>
          <w:color w:val="auto"/>
        </w:rPr>
        <w:t>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-1905</wp:posOffset>
            </wp:positionV>
            <wp:extent cx="13716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8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Domestic source</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52,414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Foreign source</w:t>
            </w:r>
          </w:p>
        </w:tc>
        <w:tc>
          <w:tcPr>
            <w:tcW w:w="200" w:type="dxa"/>
            <w:vAlign w:val="bottom"/>
          </w:tcPr>
          <w:p>
            <w:pPr>
              <w:spacing w:after="0"/>
              <w:rPr>
                <w:sz w:val="17"/>
                <w:szCs w:val="17"/>
                <w:color w:val="auto"/>
              </w:rPr>
            </w:pPr>
          </w:p>
        </w:tc>
        <w:tc>
          <w:tcPr>
            <w:tcW w:w="11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1,470</w:t>
            </w:r>
          </w:p>
        </w:tc>
        <w:tc>
          <w:tcPr>
            <w:tcW w:w="2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w:t>
            </w:r>
          </w:p>
        </w:tc>
      </w:tr>
      <w:tr>
        <w:trPr>
          <w:trHeight w:val="27"/>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2,275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53,936</w:t>
            </w: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The following is a reconciliation of income taxes computed at the U.S. federal statutory rate to the income taxes reported in the consolidated statements of operations and comprehensive income (loss) for the years ended December 31, 2023 and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4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35"/>
              <w:spacing w:after="0" w:line="147" w:lineRule="exact"/>
              <w:rPr>
                <w:sz w:val="20"/>
                <w:szCs w:val="20"/>
                <w:color w:val="auto"/>
              </w:rPr>
            </w:pPr>
            <w:r>
              <w:rPr>
                <w:rFonts w:ascii="Arial" w:cs="Arial" w:eastAsia="Arial" w:hAnsi="Arial"/>
                <w:sz w:val="14"/>
                <w:szCs w:val="14"/>
                <w:b w:val="1"/>
                <w:bCs w:val="1"/>
                <w:color w:val="auto"/>
              </w:rPr>
              <w:t xml:space="preserve">   </w:t>
            </w: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32"/>
              <w:spacing w:after="0" w:line="147" w:lineRule="exact"/>
              <w:rPr>
                <w:sz w:val="20"/>
                <w:szCs w:val="20"/>
                <w:color w:val="auto"/>
              </w:rPr>
            </w:pPr>
            <w:r>
              <w:rPr>
                <w:rFonts w:ascii="Arial" w:cs="Arial" w:eastAsia="Arial" w:hAnsi="Arial"/>
                <w:sz w:val="14"/>
                <w:szCs w:val="14"/>
                <w:b w:val="1"/>
                <w:bCs w:val="1"/>
                <w:color w:val="auto"/>
              </w:rPr>
              <w:t xml:space="preserve">   </w:t>
            </w:r>
          </w:p>
        </w:tc>
        <w:tc>
          <w:tcPr>
            <w:tcW w:w="220" w:type="dxa"/>
            <w:vAlign w:val="bottom"/>
          </w:tcPr>
          <w:p>
            <w:pPr>
              <w:spacing w:after="0"/>
              <w:rPr>
                <w:sz w:val="12"/>
                <w:szCs w:val="12"/>
                <w:color w:val="auto"/>
              </w:rPr>
            </w:pPr>
          </w:p>
        </w:tc>
      </w:tr>
      <w:tr>
        <w:trPr>
          <w:trHeight w:val="171"/>
        </w:trPr>
        <w:tc>
          <w:tcPr>
            <w:tcW w:w="4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2023   </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40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Book income before tax</w:t>
            </w:r>
          </w:p>
        </w:tc>
        <w:tc>
          <w:tcPr>
            <w:tcW w:w="4620" w:type="dxa"/>
            <w:vAlign w:val="bottom"/>
            <w:gridSpan w:val="2"/>
            <w:shd w:val="clear" w:color="auto" w:fill="CCEEFF"/>
          </w:tcPr>
          <w:p>
            <w:pPr>
              <w:ind w:left="44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2,275</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53,936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Federal tax at statutory rate</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21.0%</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74.2%</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r>
      <w:tr>
        <w:trPr>
          <w:trHeight w:val="202"/>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-97.4%</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 and other</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Prior year true ups</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11.9%</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4620" w:type="dxa"/>
            <w:vAlign w:val="bottom"/>
            <w:gridSpan w:val="2"/>
            <w:shd w:val="clear" w:color="auto" w:fill="CCEEFF"/>
          </w:tcPr>
          <w:p>
            <w:pPr>
              <w:ind w:left="44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586</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5,104</w:t>
            </w:r>
          </w:p>
        </w:tc>
      </w:tr>
      <w:tr>
        <w:trPr>
          <w:trHeight w:val="368"/>
        </w:trPr>
        <w:tc>
          <w:tcPr>
            <w:tcW w:w="4080" w:type="dxa"/>
            <w:vAlign w:val="bottom"/>
          </w:tcPr>
          <w:p>
            <w:pPr>
              <w:spacing w:after="0"/>
              <w:rPr>
                <w:sz w:val="24"/>
                <w:szCs w:val="24"/>
                <w:color w:val="auto"/>
              </w:rPr>
            </w:pPr>
          </w:p>
        </w:tc>
        <w:tc>
          <w:tcPr>
            <w:tcW w:w="4620" w:type="dxa"/>
            <w:vAlign w:val="bottom"/>
            <w:gridSpan w:val="2"/>
          </w:tcPr>
          <w:p>
            <w:pPr>
              <w:ind w:left="1240"/>
              <w:spacing w:after="0"/>
              <w:rPr>
                <w:sz w:val="20"/>
                <w:szCs w:val="20"/>
                <w:color w:val="auto"/>
              </w:rPr>
            </w:pPr>
            <w:r>
              <w:rPr>
                <w:rFonts w:ascii="Arial" w:cs="Arial" w:eastAsia="Arial" w:hAnsi="Arial"/>
                <w:sz w:val="18"/>
                <w:szCs w:val="18"/>
                <w:color w:val="auto"/>
              </w:rPr>
              <w:t>F-30</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p>
      <w:pPr>
        <w:spacing w:after="0" w:line="26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tax effects of temporary differences giving rise to deferred income tax assets and liabilities as of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580" w:type="dxa"/>
            <w:vAlign w:val="bottom"/>
          </w:tcPr>
          <w:p>
            <w:pPr>
              <w:spacing w:after="0"/>
              <w:rPr>
                <w:sz w:val="12"/>
                <w:szCs w:val="12"/>
                <w:color w:val="auto"/>
              </w:rPr>
            </w:pPr>
          </w:p>
        </w:tc>
        <w:tc>
          <w:tcPr>
            <w:tcW w:w="2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920" w:type="dxa"/>
            <w:vAlign w:val="bottom"/>
            <w:tcBorders>
              <w:top w:val="single" w:sz="8" w:color="auto"/>
            </w:tcBorders>
            <w:gridSpan w:val="2"/>
          </w:tcPr>
          <w:p>
            <w:pPr>
              <w:jc w:val="right"/>
              <w:ind w:right="780"/>
              <w:spacing w:after="0" w:line="147" w:lineRule="exact"/>
              <w:rPr>
                <w:sz w:val="20"/>
                <w:szCs w:val="20"/>
                <w:color w:val="auto"/>
              </w:rPr>
            </w:pPr>
            <w:r>
              <w:rPr>
                <w:rFonts w:ascii="Arial" w:cs="Arial" w:eastAsia="Arial" w:hAnsi="Arial"/>
                <w:sz w:val="14"/>
                <w:szCs w:val="14"/>
                <w:b w:val="1"/>
                <w:bCs w:val="1"/>
                <w:color w:val="auto"/>
                <w:w w:val="85"/>
              </w:rPr>
              <w:t> </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51"/>
              <w:spacing w:after="0" w:line="147"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71"/>
        </w:trPr>
        <w:tc>
          <w:tcPr>
            <w:tcW w:w="858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xml:space="preserve">2023   </w:t>
            </w:r>
          </w:p>
        </w:tc>
        <w:tc>
          <w:tcPr>
            <w:tcW w:w="40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 xml:space="preserve">2024   </w:t>
            </w:r>
          </w:p>
        </w:tc>
      </w:tr>
      <w:tr>
        <w:trPr>
          <w:trHeight w:val="155"/>
        </w:trPr>
        <w:tc>
          <w:tcPr>
            <w:tcW w:w="85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60" w:type="dxa"/>
            <w:vAlign w:val="bottom"/>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180</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41,539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62,001</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Asset basis differences</w:t>
            </w:r>
          </w:p>
        </w:tc>
        <w:tc>
          <w:tcPr>
            <w:tcW w:w="26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4,997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7,358</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670</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862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Credit carryforwards</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3,435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2,480</w:t>
            </w:r>
          </w:p>
        </w:tc>
      </w:tr>
      <w:tr>
        <w:trPr>
          <w:trHeight w:val="210"/>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Equity based compensation</w:t>
            </w: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2,794</w:t>
            </w:r>
          </w:p>
        </w:tc>
        <w:tc>
          <w:tcPr>
            <w:tcW w:w="120" w:type="dxa"/>
            <w:vAlign w:val="bottom"/>
          </w:tcPr>
          <w:p>
            <w:pPr>
              <w:spacing w:after="0"/>
              <w:rPr>
                <w:sz w:val="18"/>
                <w:szCs w:val="18"/>
                <w:color w:val="auto"/>
              </w:rPr>
            </w:pPr>
          </w:p>
        </w:tc>
      </w:tr>
      <w:tr>
        <w:trPr>
          <w:trHeight w:val="203"/>
        </w:trPr>
        <w:tc>
          <w:tcPr>
            <w:tcW w:w="85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53,304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75,901</w:t>
            </w:r>
          </w:p>
        </w:tc>
      </w:tr>
      <w:tr>
        <w:trPr>
          <w:trHeight w:val="209"/>
        </w:trPr>
        <w:tc>
          <w:tcPr>
            <w:tcW w:w="858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1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(50,302)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(39,699)</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 net of valuation allowance</w:t>
            </w: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36,202</w:t>
            </w: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prepaids</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(432)</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Right-of-use asset</w:t>
            </w:r>
          </w:p>
        </w:tc>
        <w:tc>
          <w:tcPr>
            <w:tcW w:w="2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Commission receivable</w:t>
            </w:r>
          </w:p>
        </w:tc>
        <w:tc>
          <w:tcPr>
            <w:tcW w:w="11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(2,460)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(39,027)</w:t>
            </w:r>
          </w:p>
        </w:tc>
      </w:tr>
      <w:tr>
        <w:trPr>
          <w:trHeight w:val="216"/>
        </w:trPr>
        <w:tc>
          <w:tcPr>
            <w:tcW w:w="858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(40,109)</w:t>
            </w:r>
          </w:p>
        </w:tc>
        <w:tc>
          <w:tcPr>
            <w:tcW w:w="120" w:type="dxa"/>
            <w:vAlign w:val="bottom"/>
          </w:tcPr>
          <w:p>
            <w:pPr>
              <w:spacing w:after="0"/>
              <w:rPr>
                <w:sz w:val="18"/>
                <w:szCs w:val="18"/>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liabilities</w:t>
            </w:r>
          </w:p>
        </w:tc>
        <w:tc>
          <w:tcPr>
            <w:tcW w:w="2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(3,907)</w:t>
            </w:r>
          </w:p>
        </w:tc>
      </w:tr>
      <w:tr>
        <w:trPr>
          <w:trHeight w:val="20"/>
        </w:trPr>
        <w:tc>
          <w:tcPr>
            <w:tcW w:w="8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Company records a valuation allowance to reduce deferred tax assets to the amount management believes is more likely than not to be realized.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net increase in the total valuation allowance for the year ending December 31, 2023 was $1,270, primarily from net operating losses generated. The net decrease in the total valuation allowance for the year ending December 31, 2024 is $10,603, primarily from changes in temporary differences as well as the generation of research and development credits.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tax loss and credit carryforwards as of December 31, 2023 and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Beginning</w:t>
            </w:r>
          </w:p>
        </w:tc>
      </w:tr>
      <w:tr>
        <w:trPr>
          <w:trHeight w:val="162"/>
        </w:trPr>
        <w:tc>
          <w:tcPr>
            <w:tcW w:w="4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of</w:t>
            </w:r>
          </w:p>
        </w:tc>
      </w:tr>
      <w:tr>
        <w:trPr>
          <w:trHeight w:val="171"/>
        </w:trPr>
        <w:tc>
          <w:tcPr>
            <w:tcW w:w="4300" w:type="dxa"/>
            <w:vAlign w:val="bottom"/>
          </w:tcPr>
          <w:p>
            <w:pPr>
              <w:spacing w:after="0"/>
              <w:rPr>
                <w:sz w:val="14"/>
                <w:szCs w:val="14"/>
                <w:color w:val="auto"/>
              </w:rPr>
            </w:pPr>
          </w:p>
        </w:tc>
        <w:tc>
          <w:tcPr>
            <w:tcW w:w="54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r>
      <w:tr>
        <w:trPr>
          <w:trHeight w:val="155"/>
        </w:trPr>
        <w:tc>
          <w:tcPr>
            <w:tcW w:w="43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loss carryforwards</w:t>
            </w:r>
          </w:p>
        </w:tc>
        <w:tc>
          <w:tcPr>
            <w:tcW w:w="5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173,783</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U.S. state and local loss carryforwards</w:t>
            </w:r>
          </w:p>
        </w:tc>
        <w:tc>
          <w:tcPr>
            <w:tcW w:w="58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121,637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2030</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research and development credit</w:t>
            </w:r>
          </w:p>
        </w:tc>
        <w:tc>
          <w:tcPr>
            <w:tcW w:w="5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4,966</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2037</w:t>
            </w: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State research and development credit</w:t>
            </w:r>
          </w:p>
        </w:tc>
        <w:tc>
          <w:tcPr>
            <w:tcW w:w="5860" w:type="dxa"/>
            <w:vAlign w:val="bottom"/>
            <w:gridSpan w:val="3"/>
          </w:tcPr>
          <w:p>
            <w:pPr>
              <w:jc w:val="right"/>
              <w:ind w:right="380"/>
              <w:spacing w:after="0"/>
              <w:rPr>
                <w:sz w:val="20"/>
                <w:szCs w:val="20"/>
                <w:color w:val="auto"/>
              </w:rPr>
            </w:pPr>
            <w:r>
              <w:rPr>
                <w:rFonts w:ascii="Arial" w:cs="Arial" w:eastAsia="Arial" w:hAnsi="Arial"/>
                <w:sz w:val="18"/>
                <w:szCs w:val="18"/>
                <w:color w:val="auto"/>
              </w:rPr>
              <w:t>1,801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Indefinite</w:t>
            </w:r>
          </w:p>
        </w:tc>
      </w:tr>
      <w:tr>
        <w:trPr>
          <w:trHeight w:val="332"/>
        </w:trPr>
        <w:tc>
          <w:tcPr>
            <w:tcW w:w="4300" w:type="dxa"/>
            <w:vAlign w:val="bottom"/>
          </w:tcPr>
          <w:p>
            <w:pPr>
              <w:spacing w:after="0"/>
              <w:rPr>
                <w:sz w:val="24"/>
                <w:szCs w:val="24"/>
                <w:color w:val="auto"/>
              </w:rPr>
            </w:pPr>
          </w:p>
        </w:tc>
        <w:tc>
          <w:tcPr>
            <w:tcW w:w="5860" w:type="dxa"/>
            <w:vAlign w:val="bottom"/>
            <w:gridSpan w:val="3"/>
          </w:tcPr>
          <w:p>
            <w:pPr>
              <w:jc w:val="right"/>
              <w:ind w:right="4480"/>
              <w:spacing w:after="0"/>
              <w:rPr>
                <w:sz w:val="20"/>
                <w:szCs w:val="20"/>
                <w:color w:val="auto"/>
              </w:rPr>
            </w:pPr>
            <w:r>
              <w:rPr>
                <w:rFonts w:ascii="Arial" w:cs="Arial" w:eastAsia="Arial" w:hAnsi="Arial"/>
                <w:sz w:val="18"/>
                <w:szCs w:val="18"/>
                <w:color w:val="auto"/>
              </w:rPr>
              <w:t>F-31</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Beginning</w:t>
            </w:r>
          </w:p>
        </w:tc>
      </w:tr>
      <w:tr>
        <w:trPr>
          <w:trHeight w:val="162"/>
        </w:trPr>
        <w:tc>
          <w:tcPr>
            <w:tcW w:w="8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of</w:t>
            </w:r>
          </w:p>
        </w:tc>
      </w:tr>
      <w:tr>
        <w:trPr>
          <w:trHeight w:val="171"/>
        </w:trPr>
        <w:tc>
          <w:tcPr>
            <w:tcW w:w="8680" w:type="dxa"/>
            <w:vAlign w:val="bottom"/>
          </w:tcPr>
          <w:p>
            <w:pPr>
              <w:spacing w:after="0"/>
              <w:rPr>
                <w:sz w:val="14"/>
                <w:szCs w:val="14"/>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Expiration</w:t>
            </w:r>
          </w:p>
        </w:tc>
      </w:tr>
      <w:tr>
        <w:trPr>
          <w:trHeight w:val="156"/>
        </w:trPr>
        <w:tc>
          <w:tcPr>
            <w:tcW w:w="868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loss carryforwards</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255,959</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U.S. state and local loss carryforwards</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146,636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2030</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research and development credit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3,653</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2037</w:t>
            </w:r>
          </w:p>
        </w:tc>
      </w:tr>
      <w:tr>
        <w:trPr>
          <w:trHeight w:val="239"/>
        </w:trPr>
        <w:tc>
          <w:tcPr>
            <w:tcW w:w="8680" w:type="dxa"/>
            <w:vAlign w:val="bottom"/>
          </w:tcPr>
          <w:p>
            <w:pPr>
              <w:spacing w:after="0"/>
              <w:rPr>
                <w:sz w:val="20"/>
                <w:szCs w:val="20"/>
                <w:color w:val="auto"/>
              </w:rPr>
            </w:pPr>
            <w:r>
              <w:rPr>
                <w:rFonts w:ascii="Arial" w:cs="Arial" w:eastAsia="Arial" w:hAnsi="Arial"/>
                <w:sz w:val="18"/>
                <w:szCs w:val="18"/>
                <w:color w:val="auto"/>
              </w:rPr>
              <w:t>State research and development credit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1,778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Indefinite</w:t>
            </w:r>
          </w:p>
        </w:tc>
      </w:tr>
    </w:tbl>
    <w:p>
      <w:pPr>
        <w:spacing w:after="0" w:line="16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Certain tax attributes are subject to an annual limitation under Internal Revenue Code Section 382 due to changes in ownership. As a result, $2,600 of gross net operating losses and $1,200 of research and development credits are expected to expire.</w:t>
      </w:r>
    </w:p>
    <w:p>
      <w:pPr>
        <w:spacing w:after="0" w:line="15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Company’s tax returns are subject to the normal statute of limitations, three years from the filing date for federal income tax purposes. The federal and state statute of limitations generally remain open for years in which tax losses are generated until three years from the year those losses are utilized. Under these rules, the 2016 and later year NOLs of Ethos Technologies Inc. are still subject to audit by the IRS and state and local jurisdictions. The December 31, 2021 and later period Singapore returns of Ethos Singapore Pte Ltd. are subject to exam by the Singapore tax authorities.</w:t>
      </w:r>
    </w:p>
    <w:p>
      <w:pPr>
        <w:spacing w:after="0" w:line="176"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following table summarizes the Company’s unrecognized tax benefit activity during the years ended December 31, 2023 and 2024, excluding the related accrual for interest: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 xml:space="preserve">   </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4"/>
              <w:spacing w:after="0" w:line="147"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2023   </w:t>
            </w:r>
          </w:p>
        </w:tc>
        <w:tc>
          <w:tcPr>
            <w:tcW w:w="6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8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left="256"/>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w:t>
            </w:r>
          </w:p>
        </w:tc>
        <w:tc>
          <w:tcPr>
            <w:tcW w:w="8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3,383</w:t>
            </w:r>
          </w:p>
        </w:tc>
      </w:tr>
      <w:tr>
        <w:trPr>
          <w:trHeight w:val="203"/>
        </w:trPr>
        <w:tc>
          <w:tcPr>
            <w:tcW w:w="8940" w:type="dxa"/>
            <w:vAlign w:val="bottom"/>
          </w:tcPr>
          <w:p>
            <w:pPr>
              <w:ind w:left="360"/>
              <w:spacing w:after="0" w:line="202" w:lineRule="exact"/>
              <w:rPr>
                <w:sz w:val="20"/>
                <w:szCs w:val="20"/>
                <w:color w:val="auto"/>
              </w:rPr>
            </w:pPr>
            <w:r>
              <w:rPr>
                <w:rFonts w:ascii="Arial" w:cs="Arial" w:eastAsia="Arial" w:hAnsi="Arial"/>
                <w:sz w:val="18"/>
                <w:szCs w:val="18"/>
                <w:color w:val="auto"/>
              </w:rPr>
              <w:t>Additions (reductions) for tax positions taken in prior years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1,956</w:t>
            </w:r>
          </w:p>
        </w:tc>
        <w:tc>
          <w:tcPr>
            <w:tcW w:w="84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(515)</w:t>
            </w:r>
          </w:p>
        </w:tc>
      </w:tr>
      <w:tr>
        <w:trPr>
          <w:trHeight w:val="203"/>
        </w:trPr>
        <w:tc>
          <w:tcPr>
            <w:tcW w:w="8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Additions for tax positions taken in the current year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1,167</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w:t>
            </w:r>
          </w:p>
        </w:tc>
      </w:tr>
      <w:tr>
        <w:trPr>
          <w:trHeight w:val="209"/>
        </w:trPr>
        <w:tc>
          <w:tcPr>
            <w:tcW w:w="8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The Company records interest and penalties, if any, as a component of its income tax expense in the consolidated statements of operations and comprehensive income (loss). No interest expense or penalties were recognized during the years ended December 31, 2023 and 2024. There are no positions for which it is reasonably possible that the total amounts of unrecognized tax benefits will significantly increase or decrease within 12 months of the reporting date. None of the unrecognized tax benefits would affect the effective tax rate if reversed due to the valuation allowance.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Income Per Share Attributable to Common Stockholders</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period without consideration for common stock equivalents. Diluted net income per share attributable to common stockholders is computed by dividing net income by the weighted-average number of common shares outstanding during the period and potentially dilutive common stock equivalents. For periods of net loss, basic and diluted earnings per share are the same as the effect of potential common stock is anti-dilutive.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denominator used in the calculation of basic and diluted earnings per share is as follows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820" w:type="dxa"/>
            <w:vAlign w:val="bottom"/>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780" w:type="dxa"/>
            <w:vAlign w:val="bottom"/>
            <w:tcBorders>
              <w:top w:val="single" w:sz="8" w:color="auto"/>
            </w:tcBorders>
            <w:gridSpan w:val="2"/>
          </w:tcPr>
          <w:p>
            <w:pPr>
              <w:ind w:left="80"/>
              <w:spacing w:after="0" w:line="147" w:lineRule="exact"/>
              <w:rPr>
                <w:sz w:val="20"/>
                <w:szCs w:val="20"/>
                <w:color w:val="auto"/>
              </w:rPr>
            </w:pPr>
            <w:r>
              <w:rPr>
                <w:rFonts w:ascii="Arial" w:cs="Arial" w:eastAsia="Arial" w:hAnsi="Arial"/>
                <w:sz w:val="14"/>
                <w:szCs w:val="14"/>
                <w:b w:val="1"/>
                <w:bCs w:val="1"/>
                <w:color w:val="auto"/>
              </w:rPr>
              <w:t> </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131"/>
              <w:spacing w:after="0" w:line="147"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r>
      <w:tr>
        <w:trPr>
          <w:trHeight w:val="171"/>
        </w:trPr>
        <w:tc>
          <w:tcPr>
            <w:tcW w:w="882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2023   </w:t>
            </w:r>
          </w:p>
        </w:tc>
        <w:tc>
          <w:tcPr>
            <w:tcW w:w="2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 xml:space="preserve">2024   </w:t>
            </w:r>
          </w:p>
        </w:tc>
      </w:tr>
      <w:tr>
        <w:trPr>
          <w:trHeight w:val="146"/>
        </w:trPr>
        <w:tc>
          <w:tcPr>
            <w:tcW w:w="8820" w:type="dxa"/>
            <w:vAlign w:val="bottom"/>
          </w:tcPr>
          <w:p>
            <w:pPr>
              <w:spacing w:after="0"/>
              <w:rPr>
                <w:sz w:val="12"/>
                <w:szCs w:val="12"/>
                <w:color w:val="auto"/>
              </w:rPr>
            </w:pPr>
          </w:p>
        </w:tc>
        <w:tc>
          <w:tcPr>
            <w:tcW w:w="2140" w:type="dxa"/>
            <w:vAlign w:val="bottom"/>
            <w:tcBorders>
              <w:top w:val="single" w:sz="8" w:color="auto"/>
            </w:tcBorders>
            <w:gridSpan w:val="6"/>
          </w:tcPr>
          <w:p>
            <w:pPr>
              <w:jc w:val="center"/>
              <w:spacing w:after="0" w:line="147" w:lineRule="exact"/>
              <w:rPr>
                <w:sz w:val="20"/>
                <w:szCs w:val="20"/>
                <w:color w:val="auto"/>
              </w:rPr>
            </w:pPr>
            <w:r>
              <w:rPr>
                <w:rFonts w:ascii="Arial" w:cs="Arial" w:eastAsia="Arial" w:hAnsi="Arial"/>
                <w:sz w:val="14"/>
                <w:szCs w:val="14"/>
                <w:b w:val="1"/>
                <w:bCs w:val="1"/>
                <w:color w:val="auto"/>
              </w:rPr>
              <w:t>(in thousands, except share</w:t>
            </w:r>
          </w:p>
        </w:tc>
        <w:tc>
          <w:tcPr>
            <w:tcW w:w="60" w:type="dxa"/>
            <w:vAlign w:val="bottom"/>
          </w:tcPr>
          <w:p>
            <w:pPr>
              <w:spacing w:after="0"/>
              <w:rPr>
                <w:sz w:val="12"/>
                <w:szCs w:val="12"/>
                <w:color w:val="auto"/>
              </w:rPr>
            </w:pPr>
          </w:p>
        </w:tc>
      </w:tr>
      <w:tr>
        <w:trPr>
          <w:trHeight w:val="171"/>
        </w:trPr>
        <w:tc>
          <w:tcPr>
            <w:tcW w:w="8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and per share data)</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Net income attributable to common stockholders (numerator)</w:t>
            </w:r>
          </w:p>
        </w:tc>
        <w:tc>
          <w:tcPr>
            <w:tcW w:w="3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1,689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48,832</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8820" w:type="dxa"/>
            <w:vAlign w:val="bottom"/>
          </w:tcPr>
          <w:p>
            <w:pPr>
              <w:ind w:left="3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48,832</w:t>
            </w:r>
          </w:p>
        </w:tc>
        <w:tc>
          <w:tcPr>
            <w:tcW w:w="60" w:type="dxa"/>
            <w:vAlign w:val="bottom"/>
          </w:tcPr>
          <w:p>
            <w:pPr>
              <w:spacing w:after="0"/>
              <w:rPr>
                <w:sz w:val="18"/>
                <w:szCs w:val="18"/>
                <w:color w:val="auto"/>
              </w:rPr>
            </w:pP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computation (denominator):</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7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111,479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112,051</w:t>
            </w:r>
          </w:p>
        </w:tc>
        <w:tc>
          <w:tcPr>
            <w:tcW w:w="6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0.44</w:t>
            </w:r>
          </w:p>
        </w:tc>
      </w:tr>
      <w:tr>
        <w:trPr>
          <w:trHeight w:val="20"/>
        </w:trPr>
        <w:tc>
          <w:tcPr>
            <w:tcW w:w="8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Net income attributable to common stockholders (numerator)</w:t>
            </w:r>
          </w:p>
        </w:tc>
        <w:tc>
          <w:tcPr>
            <w:tcW w:w="3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1,689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48,832</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computation (denominator):</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820" w:type="dxa"/>
            <w:vAlign w:val="bottom"/>
          </w:tcPr>
          <w:p>
            <w:pPr>
              <w:ind w:left="7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0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111,479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112,051</w:t>
            </w:r>
          </w:p>
        </w:tc>
      </w:tr>
      <w:tr>
        <w:trPr>
          <w:trHeight w:val="203"/>
        </w:trPr>
        <w:tc>
          <w:tcPr>
            <w:tcW w:w="88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820" w:type="dxa"/>
            <w:vAlign w:val="bottom"/>
          </w:tcPr>
          <w:p>
            <w:pPr>
              <w:ind w:left="1080"/>
              <w:spacing w:after="0" w:line="202" w:lineRule="exact"/>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7"/>
                <w:szCs w:val="17"/>
                <w:color w:val="auto"/>
              </w:rPr>
            </w:pP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7,159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8,916</w:t>
            </w:r>
          </w:p>
        </w:tc>
      </w:tr>
      <w:tr>
        <w:trPr>
          <w:trHeight w:val="203"/>
        </w:trPr>
        <w:tc>
          <w:tcPr>
            <w:tcW w:w="88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Redeemable Convertible Preferred Stock</w:t>
            </w:r>
          </w:p>
        </w:tc>
        <w:tc>
          <w:tcPr>
            <w:tcW w:w="10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261,073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261,073</w:t>
            </w:r>
          </w:p>
        </w:tc>
      </w:tr>
      <w:tr>
        <w:trPr>
          <w:trHeight w:val="203"/>
        </w:trPr>
        <w:tc>
          <w:tcPr>
            <w:tcW w:w="8820" w:type="dxa"/>
            <w:vAlign w:val="bottom"/>
          </w:tcPr>
          <w:p>
            <w:pPr>
              <w:ind w:left="1080"/>
              <w:spacing w:after="0" w:line="202" w:lineRule="exact"/>
              <w:rPr>
                <w:sz w:val="20"/>
                <w:szCs w:val="20"/>
                <w:color w:val="auto"/>
              </w:rPr>
            </w:pPr>
            <w:r>
              <w:rPr>
                <w:rFonts w:ascii="Arial" w:cs="Arial" w:eastAsia="Arial" w:hAnsi="Arial"/>
                <w:sz w:val="18"/>
                <w:szCs w:val="18"/>
                <w:color w:val="auto"/>
              </w:rPr>
              <w:t>Warrants</w:t>
            </w:r>
          </w:p>
        </w:tc>
        <w:tc>
          <w:tcPr>
            <w:tcW w:w="300" w:type="dxa"/>
            <w:vAlign w:val="bottom"/>
          </w:tcPr>
          <w:p>
            <w:pPr>
              <w:spacing w:after="0"/>
              <w:rPr>
                <w:sz w:val="17"/>
                <w:szCs w:val="17"/>
                <w:color w:val="auto"/>
              </w:rPr>
            </w:pPr>
          </w:p>
        </w:tc>
        <w:tc>
          <w:tcPr>
            <w:tcW w:w="7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552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769</w:t>
            </w:r>
          </w:p>
        </w:tc>
      </w:tr>
      <w:tr>
        <w:trPr>
          <w:trHeight w:val="203"/>
        </w:trPr>
        <w:tc>
          <w:tcPr>
            <w:tcW w:w="88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Restricted stock units</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20,398</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383,063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403,207</w:t>
            </w:r>
          </w:p>
        </w:tc>
        <w:tc>
          <w:tcPr>
            <w:tcW w:w="6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r>
      <w:tr>
        <w:trPr>
          <w:trHeight w:val="20"/>
        </w:trPr>
        <w:tc>
          <w:tcPr>
            <w:tcW w:w="8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weighted-average impact of potentially dilutive securities that were not included in the diluted per share calculations because they would be anti-dilutive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900" w:type="dxa"/>
            <w:vAlign w:val="bottom"/>
          </w:tcPr>
          <w:p>
            <w:pPr>
              <w:spacing w:after="0"/>
              <w:rPr>
                <w:sz w:val="12"/>
                <w:szCs w:val="12"/>
                <w:color w:val="auto"/>
              </w:rPr>
            </w:pPr>
          </w:p>
        </w:tc>
        <w:tc>
          <w:tcPr>
            <w:tcW w:w="1440" w:type="dxa"/>
            <w:vAlign w:val="bottom"/>
            <w:tcBorders>
              <w:top w:val="single" w:sz="8" w:color="auto"/>
            </w:tcBorders>
            <w:gridSpan w:val="2"/>
          </w:tcPr>
          <w:p>
            <w:pPr>
              <w:ind w:left="180"/>
              <w:spacing w:after="0" w:line="147" w:lineRule="exact"/>
              <w:rPr>
                <w:sz w:val="20"/>
                <w:szCs w:val="20"/>
                <w:color w:val="auto"/>
              </w:rPr>
            </w:pPr>
            <w:r>
              <w:rPr>
                <w:rFonts w:ascii="Arial" w:cs="Arial" w:eastAsia="Arial" w:hAnsi="Arial"/>
                <w:sz w:val="14"/>
                <w:szCs w:val="14"/>
                <w:b w:val="1"/>
                <w:bCs w:val="1"/>
                <w:color w:val="auto"/>
              </w:rPr>
              <w:t xml:space="preserve">   </w:t>
            </w:r>
          </w:p>
        </w:tc>
        <w:tc>
          <w:tcPr>
            <w:tcW w:w="620" w:type="dxa"/>
            <w:vAlign w:val="bottom"/>
            <w:tcBorders>
              <w:top w:val="single" w:sz="8" w:color="auto"/>
            </w:tcBorders>
          </w:tcPr>
          <w:p>
            <w:pPr>
              <w:jc w:val="center"/>
              <w:ind w:right="39"/>
              <w:spacing w:after="0" w:line="147"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r>
      <w:tr>
        <w:trPr>
          <w:trHeight w:val="171"/>
        </w:trPr>
        <w:tc>
          <w:tcPr>
            <w:tcW w:w="89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2023   </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xml:space="preserve">2024   </w:t>
            </w:r>
          </w:p>
        </w:tc>
      </w:tr>
      <w:tr>
        <w:trPr>
          <w:trHeight w:val="196"/>
        </w:trPr>
        <w:tc>
          <w:tcPr>
            <w:tcW w:w="8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 options</w:t>
            </w:r>
          </w:p>
        </w:tc>
        <w:tc>
          <w:tcPr>
            <w:tcW w:w="62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w w:val="93"/>
              </w:rPr>
              <w:t>416</w:t>
            </w:r>
          </w:p>
        </w:tc>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39"/>
        </w:trPr>
        <w:tc>
          <w:tcPr>
            <w:tcW w:w="89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5,538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r>
    </w:tbl>
    <w:p>
      <w:pPr>
        <w:spacing w:after="0" w:line="188" w:lineRule="exact"/>
        <w:rPr>
          <w:sz w:val="20"/>
          <w:szCs w:val="20"/>
          <w:color w:val="auto"/>
        </w:rPr>
      </w:pPr>
    </w:p>
    <w:p>
      <w:pPr>
        <w:ind w:left="660" w:hanging="54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Goodwill</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years ended December 31, 2023 and 2024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6260" w:type="dxa"/>
            <w:vAlign w:val="bottom"/>
            <w:gridSpan w:val="2"/>
            <w:shd w:val="clear" w:color="auto" w:fill="CCEEFF"/>
          </w:tcPr>
          <w:p>
            <w:pPr>
              <w:ind w:left="59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10"/>
        </w:trPr>
        <w:tc>
          <w:tcPr>
            <w:tcW w:w="4020" w:type="dxa"/>
            <w:vAlign w:val="bottom"/>
          </w:tcPr>
          <w:p>
            <w:pPr>
              <w:ind w:left="360"/>
              <w:spacing w:after="0" w:line="202" w:lineRule="exact"/>
              <w:rPr>
                <w:sz w:val="20"/>
                <w:szCs w:val="20"/>
                <w:color w:val="auto"/>
              </w:rPr>
            </w:pPr>
            <w:r>
              <w:rPr>
                <w:rFonts w:ascii="Arial" w:cs="Arial" w:eastAsia="Arial" w:hAnsi="Arial"/>
                <w:sz w:val="18"/>
                <w:szCs w:val="18"/>
                <w:color w:val="auto"/>
              </w:rPr>
              <w:t>Goodwill acquired</w:t>
            </w:r>
          </w:p>
        </w:tc>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2023</w:t>
            </w:r>
          </w:p>
        </w:tc>
        <w:tc>
          <w:tcPr>
            <w:tcW w:w="6260" w:type="dxa"/>
            <w:vAlign w:val="bottom"/>
            <w:gridSpan w:val="2"/>
            <w:shd w:val="clear" w:color="auto" w:fill="CCEEFF"/>
          </w:tcPr>
          <w:p>
            <w:pPr>
              <w:ind w:left="59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09"/>
        </w:trPr>
        <w:tc>
          <w:tcPr>
            <w:tcW w:w="4020" w:type="dxa"/>
            <w:vAlign w:val="bottom"/>
          </w:tcPr>
          <w:p>
            <w:pPr>
              <w:ind w:left="360"/>
              <w:spacing w:after="0" w:line="202" w:lineRule="exact"/>
              <w:rPr>
                <w:sz w:val="20"/>
                <w:szCs w:val="20"/>
                <w:color w:val="auto"/>
              </w:rPr>
            </w:pPr>
            <w:r>
              <w:rPr>
                <w:rFonts w:ascii="Arial" w:cs="Arial" w:eastAsia="Arial" w:hAnsi="Arial"/>
                <w:sz w:val="18"/>
                <w:szCs w:val="18"/>
                <w:color w:val="auto"/>
              </w:rPr>
              <w:t>Goodwill acquired</w:t>
            </w:r>
          </w:p>
        </w:tc>
        <w:tc>
          <w:tcPr>
            <w:tcW w:w="5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6260" w:type="dxa"/>
            <w:vAlign w:val="bottom"/>
            <w:gridSpan w:val="2"/>
            <w:shd w:val="clear" w:color="auto" w:fill="CCEEFF"/>
          </w:tcPr>
          <w:p>
            <w:pPr>
              <w:ind w:left="59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0"/>
        </w:trPr>
        <w:tc>
          <w:tcPr>
            <w:tcW w:w="4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4020" w:type="dxa"/>
            <w:vAlign w:val="bottom"/>
          </w:tcPr>
          <w:p>
            <w:pPr>
              <w:spacing w:after="0"/>
              <w:rPr>
                <w:sz w:val="24"/>
                <w:szCs w:val="24"/>
                <w:color w:val="auto"/>
              </w:rPr>
            </w:pPr>
          </w:p>
        </w:tc>
        <w:tc>
          <w:tcPr>
            <w:tcW w:w="6260" w:type="dxa"/>
            <w:vAlign w:val="bottom"/>
            <w:gridSpan w:val="2"/>
          </w:tcPr>
          <w:p>
            <w:pPr>
              <w:ind w:left="1300"/>
              <w:spacing w:after="0"/>
              <w:rPr>
                <w:sz w:val="20"/>
                <w:szCs w:val="20"/>
                <w:color w:val="auto"/>
              </w:rPr>
            </w:pPr>
            <w:r>
              <w:rPr>
                <w:rFonts w:ascii="Arial" w:cs="Arial" w:eastAsia="Arial" w:hAnsi="Arial"/>
                <w:sz w:val="18"/>
                <w:szCs w:val="18"/>
                <w:color w:val="auto"/>
              </w:rPr>
              <w:t>F-33</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77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In February 2025, the Company completed a secondary sale of 3,472,222 shares of common stock from employees to new investors. The secondary sale price was based on an independent appraisal of Company’s fair market value.</w:t>
      </w:r>
    </w:p>
    <w:p>
      <w:pPr>
        <w:spacing w:after="0" w:line="8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460"/>
          </w:cols>
          <w:pgMar w:left="320" w:top="455" w:right="11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3395980</wp:posOffset>
            </wp:positionV>
            <wp:extent cx="3857625" cy="38576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57625" cy="38576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18" w:name="page219"/>
    <w:bookmarkEnd w:id="2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exchange listing fee.</w:t>
      </w:r>
    </w:p>
    <w:p>
      <w:pPr>
        <w:sectPr>
          <w:pgSz w:w="11900" w:h="16838" w:orient="portrait"/>
          <w:cols w:equalWidth="0" w:num="1">
            <w:col w:w="11080"/>
          </w:cols>
          <w:pgMar w:left="320" w:top="455" w:right="499" w:bottom="1440" w:gutter="0" w:footer="0" w:header="0"/>
        </w:sect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ind w:left="120"/>
        <w:spacing w:after="0" w:line="234" w:lineRule="auto"/>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Accounting fees and expenses</w:t>
      </w:r>
    </w:p>
    <w:p>
      <w:pPr>
        <w:ind w:left="120"/>
        <w:spacing w:after="0" w:line="235" w:lineRule="auto"/>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Printing and engraving expenses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Miscellaneous expenses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88900</wp:posOffset>
            </wp:positionV>
            <wp:extent cx="771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23"/>
        <w:spacing w:after="0"/>
        <w:rPr>
          <w:sz w:val="20"/>
          <w:szCs w:val="20"/>
          <w:color w:val="auto"/>
        </w:rPr>
      </w:pPr>
      <w:r>
        <w:rPr>
          <w:rFonts w:ascii="Arial" w:cs="Arial" w:eastAsia="Arial" w:hAnsi="Arial"/>
          <w:sz w:val="14"/>
          <w:szCs w:val="14"/>
          <w:b w:val="1"/>
          <w:bCs w:val="1"/>
          <w:color w:val="auto"/>
        </w:rPr>
        <w:t>Amount</w:t>
      </w:r>
    </w:p>
    <w:p>
      <w:pPr>
        <w:spacing w:after="0" w:line="23" w:lineRule="exact"/>
        <w:rPr>
          <w:sz w:val="20"/>
          <w:szCs w:val="20"/>
          <w:color w:val="auto"/>
        </w:rPr>
      </w:pPr>
    </w:p>
    <w:p>
      <w:pPr>
        <w:jc w:val="right"/>
        <w:ind w:left="563" w:right="300" w:hanging="563"/>
        <w:spacing w:after="0" w:line="237" w:lineRule="auto"/>
        <w:tabs>
          <w:tab w:leader="none" w:pos="2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343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3"/>
        <w:spacing w:after="0"/>
        <w:tabs>
          <w:tab w:leader="none" w:pos="54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    </w:t>
      </w:r>
    </w:p>
    <w:p>
      <w:pPr>
        <w:spacing w:after="0" w:line="545" w:lineRule="exact"/>
        <w:rPr>
          <w:sz w:val="20"/>
          <w:szCs w:val="20"/>
          <w:color w:val="auto"/>
        </w:rPr>
      </w:pPr>
    </w:p>
    <w:p>
      <w:pPr>
        <w:sectPr>
          <w:pgSz w:w="11900" w:h="16838" w:orient="portrait"/>
          <w:cols w:equalWidth="0" w:num="2">
            <w:col w:w="9197" w:space="720"/>
            <w:col w:w="1163"/>
          </w:cols>
          <w:pgMar w:left="320" w:top="455" w:right="499" w:bottom="1440" w:gutter="0" w:footer="0" w:header="0"/>
          <w:type w:val="continuous"/>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Our amended and restated certificate of incorporation that will be in effect immediately prior to the closing of this offering permits indemnification of our directors, officers, employees, and other agents to the maximum extent permitted by the Delaware General Corporation Law, and our amended and restated bylaws that will be in effect immediately prior to the closing of this offering provide that we will indemnify our directors and officers and permit us to indemnify our employees and other agents, in each case to the maximum extent permitted by the Delaware General Corporation Law.</w:t>
      </w:r>
    </w:p>
    <w:p>
      <w:pPr>
        <w:spacing w:after="0" w:line="180"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Upon the closing of this offering, we intend to enter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ours, provided that such director or executive officer acted in good faith and in a manner that the director or officer reasonably believed to be in, or not opposed to, our best interest.</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indemnification provisions in our amended and restated certificate of incorporation, amended and restated bylaws, and the indemnification agreements that we intend to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5" w:right="49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69" w:lineRule="exact"/>
        <w:rPr>
          <w:sz w:val="20"/>
          <w:szCs w:val="20"/>
          <w:color w:val="auto"/>
        </w:rPr>
      </w:pPr>
    </w:p>
    <w:p>
      <w:pPr>
        <w:ind w:left="120" w:right="140" w:firstLine="551"/>
        <w:spacing w:after="0" w:line="301" w:lineRule="auto"/>
        <w:rPr>
          <w:sz w:val="20"/>
          <w:szCs w:val="20"/>
          <w:color w:val="auto"/>
        </w:rPr>
      </w:pPr>
      <w:r>
        <w:rPr>
          <w:rFonts w:ascii="Arial" w:cs="Arial" w:eastAsia="Arial" w:hAnsi="Arial"/>
          <w:sz w:val="17"/>
          <w:szCs w:val="17"/>
          <w:color w:val="auto"/>
        </w:rPr>
        <w:t>We will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3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5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by the underwriters of us and our directors and executive officers for certain liabilities arising under the Securities Act or otherwise.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January 1, 2022, we have made the following sales of unregistered securities: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15" w:lineRule="exact"/>
        <w:rPr>
          <w:sz w:val="20"/>
          <w:szCs w:val="20"/>
          <w:color w:val="auto"/>
        </w:rPr>
      </w:pPr>
    </w:p>
    <w:p>
      <w:pPr>
        <w:ind w:left="1300" w:right="320" w:hanging="644"/>
        <w:spacing w:after="0" w:line="245"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Since January 1, 2022, we have issued to our directors, officers, employees, consultants and other service providers an aggregate of        shares of our common stock at per share purchase prices ranging from $        to $       </w:t>
      </w:r>
    </w:p>
    <w:p>
      <w:pPr>
        <w:ind w:left="1300"/>
        <w:spacing w:after="0"/>
        <w:rPr>
          <w:rFonts w:ascii="Arial" w:cs="Arial" w:eastAsia="Arial" w:hAnsi="Arial"/>
          <w:sz w:val="18"/>
          <w:szCs w:val="18"/>
          <w:color w:val="auto"/>
        </w:rPr>
      </w:pPr>
      <w:r>
        <w:rPr>
          <w:rFonts w:ascii="Arial" w:cs="Arial" w:eastAsia="Arial" w:hAnsi="Arial"/>
          <w:sz w:val="18"/>
          <w:szCs w:val="18"/>
          <w:color w:val="auto"/>
        </w:rPr>
        <w:t>pursuant to exercises of options under our 2016 Plan.</w:t>
      </w:r>
    </w:p>
    <w:p>
      <w:pPr>
        <w:spacing w:after="0" w:line="99"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Since January 1, 2022, we have granted to our directors, officers, employees, consultants and other service providers</w:t>
      </w:r>
    </w:p>
    <w:p>
      <w:pPr>
        <w:spacing w:after="0" w:line="14" w:lineRule="exact"/>
        <w:rPr>
          <w:sz w:val="20"/>
          <w:szCs w:val="20"/>
          <w:color w:val="auto"/>
        </w:rPr>
      </w:pPr>
    </w:p>
    <w:p>
      <w:pPr>
        <w:ind w:left="1300" w:right="780"/>
        <w:spacing w:after="0" w:line="250" w:lineRule="auto"/>
        <w:rPr>
          <w:sz w:val="20"/>
          <w:szCs w:val="20"/>
          <w:color w:val="auto"/>
        </w:rPr>
      </w:pPr>
      <w:r>
        <w:rPr>
          <w:rFonts w:ascii="Arial" w:cs="Arial" w:eastAsia="Arial" w:hAnsi="Arial"/>
          <w:sz w:val="18"/>
          <w:szCs w:val="18"/>
          <w:color w:val="auto"/>
        </w:rPr>
        <w:t>options to purchase        shares of our common stock with per share exercise prices ranging from $        to $        under our 2016 Plan.</w:t>
      </w:r>
    </w:p>
    <w:p>
      <w:pPr>
        <w:spacing w:after="0" w:line="77" w:lineRule="exact"/>
        <w:rPr>
          <w:sz w:val="20"/>
          <w:szCs w:val="20"/>
          <w:color w:val="auto"/>
        </w:rPr>
      </w:pPr>
    </w:p>
    <w:p>
      <w:pPr>
        <w:ind w:left="1300" w:right="480" w:hanging="644"/>
        <w:spacing w:after="0" w:line="271"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January 1, 2022, we have granted to our directors, officers, employees, consultants and other service providers restricted stock units to purchase        shares of our common stock under our 2016 Plan.</w:t>
      </w:r>
    </w:p>
    <w:p>
      <w:pPr>
        <w:spacing w:after="0" w:line="15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None of the foregoing transactions involved or will involve any underwriters, underwriting discounts or commissions, or any public offering. Unless otherwise stated, the sales of the above securities were or will be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5"/>
        </w:trPr>
        <w:tc>
          <w:tcPr>
            <w:tcW w:w="680" w:type="dxa"/>
            <w:vAlign w:val="bottom"/>
            <w:gridSpan w:val="2"/>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the Registrant, as amended, as currently in effect.</w:t>
            </w:r>
          </w:p>
        </w:tc>
      </w:tr>
      <w:tr>
        <w:trPr>
          <w:trHeight w:val="351"/>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20" w:type="dxa"/>
            <w:vAlign w:val="bottom"/>
          </w:tcPr>
          <w:p>
            <w:pPr>
              <w:ind w:left="42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4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Borders>
              <w:bottom w:val="single" w:sz="8" w:color="auto"/>
            </w:tcBorders>
          </w:tcPr>
          <w:p>
            <w:pPr>
              <w:spacing w:after="0"/>
              <w:rPr>
                <w:sz w:val="15"/>
                <w:szCs w:val="15"/>
                <w:color w:val="auto"/>
              </w:rPr>
            </w:pPr>
          </w:p>
        </w:tc>
        <w:tc>
          <w:tcPr>
            <w:tcW w:w="7040" w:type="dxa"/>
            <w:vAlign w:val="bottom"/>
            <w:tcBorders>
              <w:bottom w:val="single" w:sz="8" w:color="auto"/>
            </w:tcBorders>
          </w:tcPr>
          <w:p>
            <w:pPr>
              <w:spacing w:after="0"/>
              <w:rPr>
                <w:sz w:val="15"/>
                <w:szCs w:val="15"/>
                <w:color w:val="auto"/>
              </w:rPr>
            </w:pPr>
          </w:p>
        </w:tc>
      </w:tr>
      <w:tr>
        <w:trPr>
          <w:trHeight w:val="315"/>
        </w:trPr>
        <w:tc>
          <w:tcPr>
            <w:tcW w:w="680" w:type="dxa"/>
            <w:vAlign w:val="bottom"/>
            <w:gridSpan w:val="2"/>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upon the closing of this offering.</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Amended and Restated Bylaws of the Registrant, as currently in effect.</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Form of Class A Common Stock Certificate of the Registrant.</w:t>
            </w:r>
          </w:p>
        </w:tc>
      </w:tr>
      <w:tr>
        <w:trPr>
          <w:trHeight w:val="274"/>
        </w:trPr>
        <w:tc>
          <w:tcPr>
            <w:tcW w:w="680" w:type="dxa"/>
            <w:vAlign w:val="bottom"/>
            <w:gridSpan w:val="2"/>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3"/>
                <w:szCs w:val="23"/>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Amended and Restated Investors’ Rights Agreement, dated as of July 26, 2021, by and among the Registrant and certain</w:t>
            </w:r>
          </w:p>
        </w:tc>
      </w:tr>
      <w:tr>
        <w:trPr>
          <w:trHeight w:val="239"/>
        </w:trPr>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investors of the Registrant.</w:t>
            </w:r>
          </w:p>
        </w:tc>
        <w:tc>
          <w:tcPr>
            <w:tcW w:w="18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Opinion of Cooley LLP.</w:t>
            </w:r>
          </w:p>
        </w:tc>
        <w:tc>
          <w:tcPr>
            <w:tcW w:w="18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2016 Equity Incentive Plan and forms of agreements thereunder.</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2025 Equity Incentive Plan and forms of agreements thereunder.</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2025 Employee Stock Purchase Plan and forms of agreements thereunder.</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Non-Employee Director Compensation Policy.</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Severance and Change in Control Plan.</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Form of Indemnity Agreement entered into by and between the Registrant and each director and executive officer.</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6"/>
              </w:rPr>
              <w:t>Confirmatory Offer Letter, dated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7040" w:type="dxa"/>
            <w:vAlign w:val="bottom"/>
          </w:tcPr>
          <w:p>
            <w:pPr>
              <w:ind w:left="60"/>
              <w:spacing w:after="0"/>
              <w:rPr>
                <w:sz w:val="20"/>
                <w:szCs w:val="20"/>
                <w:color w:val="auto"/>
              </w:rPr>
            </w:pPr>
            <w:r>
              <w:rPr>
                <w:rFonts w:ascii="Arial" w:cs="Arial" w:eastAsia="Arial" w:hAnsi="Arial"/>
                <w:sz w:val="18"/>
                <w:szCs w:val="18"/>
                <w:color w:val="auto"/>
              </w:rPr>
              <w:t>   , 2025 by and between the Registrant and Peter Colis.</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6"/>
              </w:rPr>
              <w:t>Confirmatory Offer Letter, dated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7040" w:type="dxa"/>
            <w:vAlign w:val="bottom"/>
          </w:tcPr>
          <w:p>
            <w:pPr>
              <w:ind w:left="60"/>
              <w:spacing w:after="0"/>
              <w:rPr>
                <w:sz w:val="20"/>
                <w:szCs w:val="20"/>
                <w:color w:val="auto"/>
              </w:rPr>
            </w:pPr>
            <w:r>
              <w:rPr>
                <w:rFonts w:ascii="Arial" w:cs="Arial" w:eastAsia="Arial" w:hAnsi="Arial"/>
                <w:sz w:val="18"/>
                <w:szCs w:val="18"/>
                <w:color w:val="auto"/>
              </w:rPr>
              <w:t>   , 2025, by and between the Registrant and Erin Lantz.</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6"/>
              </w:rPr>
              <w:t>Confirmatory Offer Letter, dated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7040" w:type="dxa"/>
            <w:vAlign w:val="bottom"/>
          </w:tcPr>
          <w:p>
            <w:pPr>
              <w:ind w:left="60"/>
              <w:spacing w:after="0"/>
              <w:rPr>
                <w:sz w:val="20"/>
                <w:szCs w:val="20"/>
                <w:color w:val="auto"/>
              </w:rPr>
            </w:pPr>
            <w:r>
              <w:rPr>
                <w:rFonts w:ascii="Arial" w:cs="Arial" w:eastAsia="Arial" w:hAnsi="Arial"/>
                <w:sz w:val="18"/>
                <w:szCs w:val="18"/>
                <w:color w:val="auto"/>
              </w:rPr>
              <w:t>   , 2025, by and between the Registrant and Kunal Mehta.</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Office Lease, dated as of May 3, 2024, by and between the Registrant and 90 New Montgomery Partners.</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18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Power of Attorney (included on signature page to the initial filing of this registration statement).</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Filing Fee Table.</w:t>
            </w:r>
          </w:p>
        </w:tc>
        <w:tc>
          <w:tcPr>
            <w:tcW w:w="180" w:type="dxa"/>
            <w:vAlign w:val="bottom"/>
          </w:tcPr>
          <w:p>
            <w:pPr>
              <w:spacing w:after="0"/>
              <w:rPr>
                <w:sz w:val="24"/>
                <w:szCs w:val="24"/>
                <w:color w:val="auto"/>
              </w:rPr>
            </w:pPr>
          </w:p>
        </w:tc>
        <w:tc>
          <w:tcPr>
            <w:tcW w:w="7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be filed or submitted by amendment.</w:t>
      </w:r>
    </w:p>
    <w:p>
      <w:pPr>
        <w:spacing w:after="0" w:line="15"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20" w:firstLine="547"/>
        <w:spacing w:after="0" w:line="247" w:lineRule="auto"/>
        <w:tabs>
          <w:tab w:leader="none" w:pos="9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3" w:lineRule="exact"/>
        <w:rPr>
          <w:rFonts w:ascii="Arial" w:cs="Arial" w:eastAsia="Arial" w:hAnsi="Arial"/>
          <w:sz w:val="18"/>
          <w:szCs w:val="18"/>
          <w:color w:val="auto"/>
        </w:rPr>
      </w:pPr>
    </w:p>
    <w:p>
      <w:pPr>
        <w:ind w:left="120" w:right="20" w:firstLine="547"/>
        <w:spacing w:after="0" w:line="253" w:lineRule="auto"/>
        <w:tabs>
          <w:tab w:leader="none" w:pos="9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San Francisco, State of California, on        , 2025.</w:t>
      </w:r>
    </w:p>
    <w:p>
      <w:pPr>
        <w:spacing w:after="0" w:line="1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ETHOS TECHNOLOGIES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Peter Colis</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Peter Colis, Christopher Capozzi, and Porter Nolan,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 -fact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0"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Date</w:t>
            </w:r>
          </w:p>
        </w:tc>
      </w:tr>
      <w:tr>
        <w:trPr>
          <w:trHeight w:val="380"/>
        </w:trPr>
        <w:tc>
          <w:tcPr>
            <w:tcW w:w="1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Executive Officer and Chair of the Board of</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15"/>
        </w:trPr>
        <w:tc>
          <w:tcPr>
            <w:tcW w:w="1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gridSpan w:val="2"/>
          </w:tcPr>
          <w:p>
            <w:pPr>
              <w:jc w:val="center"/>
              <w:ind w:right="200"/>
              <w:spacing w:after="0" w:line="205" w:lineRule="exact"/>
              <w:rPr>
                <w:sz w:val="20"/>
                <w:szCs w:val="20"/>
                <w:color w:val="auto"/>
              </w:rPr>
            </w:pPr>
            <w:r>
              <w:rPr>
                <w:rFonts w:ascii="Arial" w:cs="Arial" w:eastAsia="Arial" w:hAnsi="Arial"/>
                <w:sz w:val="18"/>
                <w:szCs w:val="18"/>
                <w:color w:val="auto"/>
                <w:w w:val="99"/>
              </w:rPr>
              <w:t>Directors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180" w:type="dxa"/>
            <w:vAlign w:val="bottom"/>
          </w:tcPr>
          <w:p>
            <w:pPr>
              <w:spacing w:after="0"/>
              <w:rPr>
                <w:sz w:val="20"/>
                <w:szCs w:val="20"/>
                <w:color w:val="auto"/>
              </w:rPr>
            </w:pPr>
          </w:p>
        </w:tc>
        <w:tc>
          <w:tcPr>
            <w:tcW w:w="4680" w:type="dxa"/>
            <w:vAlign w:val="bottom"/>
          </w:tcPr>
          <w:p>
            <w:pPr>
              <w:jc w:val="center"/>
              <w:ind w:right="113"/>
              <w:spacing w:after="0"/>
              <w:rPr>
                <w:sz w:val="20"/>
                <w:szCs w:val="20"/>
                <w:color w:val="auto"/>
              </w:rPr>
            </w:pPr>
            <w:r>
              <w:rPr>
                <w:rFonts w:ascii="Arial" w:cs="Arial" w:eastAsia="Arial" w:hAnsi="Arial"/>
                <w:sz w:val="18"/>
                <w:szCs w:val="18"/>
                <w:color w:val="auto"/>
                <w:w w:val="99"/>
              </w:rPr>
              <w:t>Peter Colis</w:t>
            </w:r>
          </w:p>
        </w:tc>
        <w:tc>
          <w:tcPr>
            <w:tcW w:w="120" w:type="dxa"/>
            <w:vAlign w:val="bottom"/>
          </w:tcPr>
          <w:p>
            <w:pPr>
              <w:spacing w:after="0"/>
              <w:rPr>
                <w:sz w:val="20"/>
                <w:szCs w:val="20"/>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9"/>
              </w:rPr>
              <w:t>(Principal Executive Officer)</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6"/>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rPr>
              <w:t>President and Director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32"/>
        </w:trPr>
        <w:tc>
          <w:tcPr>
            <w:tcW w:w="180" w:type="dxa"/>
            <w:vAlign w:val="bottom"/>
          </w:tcPr>
          <w:p>
            <w:pPr>
              <w:spacing w:after="0"/>
              <w:rPr>
                <w:sz w:val="20"/>
                <w:szCs w:val="20"/>
                <w:color w:val="auto"/>
              </w:rPr>
            </w:pPr>
          </w:p>
        </w:tc>
        <w:tc>
          <w:tcPr>
            <w:tcW w:w="4680" w:type="dxa"/>
            <w:vAlign w:val="bottom"/>
          </w:tcPr>
          <w:p>
            <w:pPr>
              <w:jc w:val="center"/>
              <w:ind w:right="113"/>
              <w:spacing w:after="0"/>
              <w:rPr>
                <w:sz w:val="20"/>
                <w:szCs w:val="20"/>
                <w:color w:val="auto"/>
              </w:rPr>
            </w:pPr>
            <w:r>
              <w:rPr>
                <w:rFonts w:ascii="Arial" w:cs="Arial" w:eastAsia="Arial" w:hAnsi="Arial"/>
                <w:sz w:val="18"/>
                <w:szCs w:val="18"/>
                <w:color w:val="auto"/>
                <w:w w:val="98"/>
              </w:rPr>
              <w:t>Lingke Wang</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2"/>
        </w:trPr>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Financial Officer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54"/>
        </w:trPr>
        <w:tc>
          <w:tcPr>
            <w:tcW w:w="180" w:type="dxa"/>
            <w:vAlign w:val="bottom"/>
          </w:tcPr>
          <w:p>
            <w:pPr>
              <w:spacing w:after="0"/>
              <w:rPr>
                <w:sz w:val="22"/>
                <w:szCs w:val="22"/>
                <w:color w:val="auto"/>
              </w:rPr>
            </w:pPr>
          </w:p>
        </w:tc>
        <w:tc>
          <w:tcPr>
            <w:tcW w:w="4680" w:type="dxa"/>
            <w:vAlign w:val="bottom"/>
          </w:tcPr>
          <w:p>
            <w:pPr>
              <w:jc w:val="center"/>
              <w:ind w:right="93"/>
              <w:spacing w:after="0"/>
              <w:rPr>
                <w:sz w:val="20"/>
                <w:szCs w:val="20"/>
                <w:color w:val="auto"/>
              </w:rPr>
            </w:pPr>
            <w:r>
              <w:rPr>
                <w:rFonts w:ascii="Arial" w:cs="Arial" w:eastAsia="Arial" w:hAnsi="Arial"/>
                <w:sz w:val="18"/>
                <w:szCs w:val="18"/>
                <w:color w:val="auto"/>
                <w:w w:val="99"/>
              </w:rPr>
              <w:t>Christopher Capozzi</w:t>
            </w:r>
          </w:p>
        </w:tc>
        <w:tc>
          <w:tcPr>
            <w:tcW w:w="120" w:type="dxa"/>
            <w:vAlign w:val="bottom"/>
          </w:tcPr>
          <w:p>
            <w:pPr>
              <w:spacing w:after="0"/>
              <w:rPr>
                <w:sz w:val="22"/>
                <w:szCs w:val="22"/>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9"/>
              </w:rPr>
              <w:t>(Principal Financial Officer)</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60"/>
        </w:trPr>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Chief Accounting Officer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54"/>
        </w:trPr>
        <w:tc>
          <w:tcPr>
            <w:tcW w:w="180" w:type="dxa"/>
            <w:vAlign w:val="bottom"/>
          </w:tcPr>
          <w:p>
            <w:pPr>
              <w:spacing w:after="0"/>
              <w:rPr>
                <w:sz w:val="22"/>
                <w:szCs w:val="22"/>
                <w:color w:val="auto"/>
              </w:rPr>
            </w:pPr>
          </w:p>
        </w:tc>
        <w:tc>
          <w:tcPr>
            <w:tcW w:w="4680" w:type="dxa"/>
            <w:vAlign w:val="bottom"/>
          </w:tcPr>
          <w:p>
            <w:pPr>
              <w:jc w:val="center"/>
              <w:ind w:right="93"/>
              <w:spacing w:after="0"/>
              <w:rPr>
                <w:sz w:val="20"/>
                <w:szCs w:val="20"/>
                <w:color w:val="auto"/>
              </w:rPr>
            </w:pPr>
            <w:r>
              <w:rPr>
                <w:rFonts w:ascii="Arial" w:cs="Arial" w:eastAsia="Arial" w:hAnsi="Arial"/>
                <w:sz w:val="18"/>
                <w:szCs w:val="18"/>
                <w:color w:val="auto"/>
              </w:rPr>
              <w:t>Brandt Kucharski</w:t>
            </w:r>
          </w:p>
        </w:tc>
        <w:tc>
          <w:tcPr>
            <w:tcW w:w="120" w:type="dxa"/>
            <w:vAlign w:val="bottom"/>
          </w:tcPr>
          <w:p>
            <w:pPr>
              <w:spacing w:after="0"/>
              <w:rPr>
                <w:sz w:val="22"/>
                <w:szCs w:val="22"/>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9"/>
              </w:rPr>
              <w:t>(Principal Accounting Officer)</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5"/>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32"/>
        </w:trPr>
        <w:tc>
          <w:tcPr>
            <w:tcW w:w="180" w:type="dxa"/>
            <w:vAlign w:val="bottom"/>
          </w:tcPr>
          <w:p>
            <w:pPr>
              <w:spacing w:after="0"/>
              <w:rPr>
                <w:sz w:val="20"/>
                <w:szCs w:val="20"/>
                <w:color w:val="auto"/>
              </w:rPr>
            </w:pPr>
          </w:p>
        </w:tc>
        <w:tc>
          <w:tcPr>
            <w:tcW w:w="4680" w:type="dxa"/>
            <w:vAlign w:val="bottom"/>
          </w:tcPr>
          <w:p>
            <w:pPr>
              <w:jc w:val="center"/>
              <w:ind w:right="113"/>
              <w:spacing w:after="0"/>
              <w:rPr>
                <w:sz w:val="20"/>
                <w:szCs w:val="20"/>
                <w:color w:val="auto"/>
              </w:rPr>
            </w:pPr>
            <w:r>
              <w:rPr>
                <w:rFonts w:ascii="Arial" w:cs="Arial" w:eastAsia="Arial" w:hAnsi="Arial"/>
                <w:sz w:val="18"/>
                <w:szCs w:val="18"/>
                <w:color w:val="auto"/>
                <w:w w:val="99"/>
              </w:rPr>
              <w:t>Roelof Botha</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6"/>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r>
      <w:tr>
        <w:trPr>
          <w:trHeight w:val="232"/>
        </w:trPr>
        <w:tc>
          <w:tcPr>
            <w:tcW w:w="180" w:type="dxa"/>
            <w:vAlign w:val="bottom"/>
          </w:tcPr>
          <w:p>
            <w:pPr>
              <w:spacing w:after="0"/>
              <w:rPr>
                <w:sz w:val="20"/>
                <w:szCs w:val="20"/>
                <w:color w:val="auto"/>
              </w:rPr>
            </w:pPr>
          </w:p>
        </w:tc>
        <w:tc>
          <w:tcPr>
            <w:tcW w:w="4680" w:type="dxa"/>
            <w:vAlign w:val="bottom"/>
          </w:tcPr>
          <w:p>
            <w:pPr>
              <w:jc w:val="center"/>
              <w:ind w:right="93"/>
              <w:spacing w:after="0"/>
              <w:rPr>
                <w:sz w:val="20"/>
                <w:szCs w:val="20"/>
                <w:color w:val="auto"/>
              </w:rPr>
            </w:pPr>
            <w:r>
              <w:rPr>
                <w:rFonts w:ascii="Arial" w:cs="Arial" w:eastAsia="Arial" w:hAnsi="Arial"/>
                <w:sz w:val="18"/>
                <w:szCs w:val="18"/>
                <w:color w:val="auto"/>
                <w:w w:val="99"/>
              </w:rPr>
              <w:t>Priscilla Hung</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4680" w:type="dxa"/>
            <w:vAlign w:val="bottom"/>
          </w:tcPr>
          <w:p>
            <w:pPr>
              <w:jc w:val="center"/>
              <w:ind w:right="94"/>
              <w:spacing w:after="0"/>
              <w:rPr>
                <w:sz w:val="20"/>
                <w:szCs w:val="20"/>
                <w:color w:val="auto"/>
              </w:rPr>
            </w:pPr>
            <w:r>
              <w:rPr>
                <w:rFonts w:ascii="Arial" w:cs="Arial" w:eastAsia="Arial" w:hAnsi="Arial"/>
                <w:sz w:val="18"/>
                <w:szCs w:val="18"/>
                <w:color w:val="auto"/>
                <w:w w:val="98"/>
              </w:rPr>
              <w:t>John Kunze</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4680" w:type="dxa"/>
            <w:vAlign w:val="bottom"/>
          </w:tcPr>
          <w:p>
            <w:pPr>
              <w:jc w:val="center"/>
              <w:ind w:right="114"/>
              <w:spacing w:after="0"/>
              <w:rPr>
                <w:sz w:val="20"/>
                <w:szCs w:val="20"/>
                <w:color w:val="auto"/>
              </w:rPr>
            </w:pPr>
            <w:r>
              <w:rPr>
                <w:rFonts w:ascii="Arial" w:cs="Arial" w:eastAsia="Arial" w:hAnsi="Arial"/>
                <w:sz w:val="18"/>
                <w:szCs w:val="18"/>
                <w:color w:val="auto"/>
                <w:w w:val="99"/>
              </w:rPr>
              <w:t>Nathan J. Niparko</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vMerge w:val="restart"/>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4680" w:type="dxa"/>
            <w:vAlign w:val="bottom"/>
          </w:tcPr>
          <w:p>
            <w:pPr>
              <w:jc w:val="center"/>
              <w:ind w:right="94"/>
              <w:spacing w:after="0"/>
              <w:rPr>
                <w:sz w:val="20"/>
                <w:szCs w:val="20"/>
                <w:color w:val="auto"/>
              </w:rPr>
            </w:pPr>
            <w:r>
              <w:rPr>
                <w:rFonts w:ascii="Arial" w:cs="Arial" w:eastAsia="Arial" w:hAnsi="Arial"/>
                <w:sz w:val="18"/>
                <w:szCs w:val="18"/>
                <w:color w:val="auto"/>
                <w:w w:val="99"/>
              </w:rPr>
              <w:t>Khozema Shipchandler</w:t>
            </w:r>
          </w:p>
        </w:tc>
        <w:tc>
          <w:tcPr>
            <w:tcW w:w="120" w:type="dxa"/>
            <w:vAlign w:val="bottom"/>
          </w:tcPr>
          <w:p>
            <w:pPr>
              <w:spacing w:after="0"/>
              <w:rPr>
                <w:sz w:val="20"/>
                <w:szCs w:val="20"/>
                <w:color w:val="auto"/>
              </w:rPr>
            </w:pPr>
          </w:p>
        </w:tc>
        <w:tc>
          <w:tcPr>
            <w:tcW w:w="41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rPr>
              <w:t>Director</w:t>
            </w:r>
          </w:p>
        </w:tc>
        <w:tc>
          <w:tcPr>
            <w:tcW w:w="540" w:type="dxa"/>
            <w:vAlign w:val="bottom"/>
            <w:vMerge w:val="restart"/>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76"/>
              </w:rPr>
              <w:t> </w:t>
            </w: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4680" w:type="dxa"/>
            <w:vAlign w:val="bottom"/>
          </w:tcPr>
          <w:p>
            <w:pPr>
              <w:jc w:val="center"/>
              <w:ind w:right="94"/>
              <w:spacing w:after="0"/>
              <w:rPr>
                <w:sz w:val="20"/>
                <w:szCs w:val="20"/>
                <w:color w:val="auto"/>
              </w:rPr>
            </w:pPr>
            <w:r>
              <w:rPr>
                <w:rFonts w:ascii="Arial" w:cs="Arial" w:eastAsia="Arial" w:hAnsi="Arial"/>
                <w:sz w:val="18"/>
                <w:szCs w:val="18"/>
                <w:color w:val="auto"/>
              </w:rPr>
              <w:t>William J. Wheeler</w:t>
            </w:r>
          </w:p>
        </w:tc>
        <w:tc>
          <w:tcPr>
            <w:tcW w:w="120" w:type="dxa"/>
            <w:vAlign w:val="bottom"/>
          </w:tcPr>
          <w:p>
            <w:pPr>
              <w:spacing w:after="0"/>
              <w:rPr>
                <w:sz w:val="20"/>
                <w:szCs w:val="20"/>
                <w:color w:val="auto"/>
              </w:rPr>
            </w:pPr>
          </w:p>
        </w:tc>
        <w:tc>
          <w:tcPr>
            <w:tcW w:w="41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
      <w:numFmt w:val="bullet"/>
      <w:start w:val="1"/>
    </w:lvl>
  </w:abstractNum>
  <w:abstractNum w:abstractNumId="10">
    <w:nsid w:val="1CF10FD8"/>
    <w:multiLevelType w:val="hybridMultilevel"/>
    <w:lvl w:ilvl="0">
      <w:lvlJc w:val="left"/>
      <w:lvlText w:val=" "/>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2"/>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1)"/>
      <w:numFmt w:val="decimal"/>
      <w:start w:val="2"/>
    </w:lvl>
  </w:abstractNum>
  <w:abstractNum w:abstractNumId="19">
    <w:nsid w:val="3F6AB60F"/>
    <w:multiLevelType w:val="hybridMultilevel"/>
    <w:lvl w:ilvl="0">
      <w:lvlJc w:val="left"/>
      <w:lvlText w:val="(%1)"/>
      <w:numFmt w:val="decimal"/>
      <w:start w:val="3"/>
    </w:lvl>
  </w:abstractNum>
  <w:abstractNum w:abstractNumId="20">
    <w:nsid w:val="61574095"/>
    <w:multiLevelType w:val="hybridMultilevel"/>
    <w:lvl w:ilvl="0">
      <w:lvlJc w:val="left"/>
      <w:lvlText w:val="(%1)"/>
      <w:numFmt w:val="decimal"/>
      <w:start w:val="4"/>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1"/>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lowerRoman"/>
      <w:start w:val="2"/>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lowerRoman"/>
      <w:start w:val="1"/>
    </w:lvl>
  </w:abstractNum>
  <w:abstractNum w:abstractNumId="76">
    <w:nsid w:val="68EBC550"/>
    <w:multiLevelType w:val="hybridMultilevel"/>
    <w:lvl w:ilvl="0">
      <w:lvlJc w:val="left"/>
      <w:lvlText w:val="(%1)"/>
      <w:numFmt w:val="decimal"/>
      <w:start w:val="2"/>
    </w:lvl>
  </w:abstractNum>
  <w:abstractNum w:abstractNumId="77">
    <w:nsid w:val="2DF6D648"/>
    <w:multiLevelType w:val="hybridMultilevel"/>
    <w:lvl w:ilvl="0">
      <w:lvlJc w:val="left"/>
      <w:lvlText w:val="(%1)"/>
      <w:numFmt w:val="decimal"/>
      <w:start w:val="4"/>
    </w:lvl>
  </w:abstractNum>
  <w:abstractNum w:abstractNumId="78">
    <w:nsid w:val="46B7D447"/>
    <w:multiLevelType w:val="hybridMultilevel"/>
    <w:lvl w:ilvl="0">
      <w:lvlJc w:val="left"/>
      <w:lvlText w:val="(%1)"/>
      <w:numFmt w:val="decimal"/>
      <w:start w:val="10"/>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decimal"/>
      <w:start w:val="6"/>
    </w:lvl>
  </w:abstractNum>
  <w:abstractNum w:abstractNumId="81">
    <w:nsid w:val="57FC4FBB"/>
    <w:multiLevelType w:val="hybridMultilevel"/>
    <w:lvl w:ilvl="0">
      <w:lvlJc w:val="left"/>
      <w:lvlText w:val="(%1)"/>
      <w:numFmt w:val="lowerRoman"/>
      <w:start w:val="2"/>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1)"/>
      <w:numFmt w:val="decimal"/>
      <w:start w:val="2"/>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1)"/>
      <w:numFmt w:val="lowerRoman"/>
      <w:start w:val="3"/>
    </w:lvl>
  </w:abstractNum>
  <w:abstractNum w:abstractNumId="88">
    <w:nsid w:val="7055A5F5"/>
    <w:multiLevelType w:val="hybridMultilevel"/>
    <w:lvl w:ilvl="0">
      <w:lvlJc w:val="left"/>
      <w:lvlText w:val="(%1)"/>
      <w:numFmt w:val="decimal"/>
      <w:start w:val="1"/>
    </w:lvl>
  </w:abstractNum>
  <w:abstractNum w:abstractNumId="89">
    <w:nsid w:val="5FB8370B"/>
    <w:multiLevelType w:val="hybridMultilevel"/>
    <w:lvl w:ilvl="0">
      <w:lvlJc w:val="left"/>
      <w:lvlText w:val="(%1)"/>
      <w:numFmt w:val="decimal"/>
      <w:start w:val="5"/>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1)"/>
      <w:numFmt w:val="lowerRoman"/>
      <w:start w:val="2"/>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10"/>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3"/>
    </w:lvl>
  </w:abstractNum>
  <w:abstractNum w:abstractNumId="100">
    <w:nsid w:val="7DE67713"/>
    <w:multiLevelType w:val="hybridMultilevel"/>
    <w:lvl w:ilvl="0">
      <w:lvlJc w:val="left"/>
      <w:lvlText w:val="*"/>
      <w:numFmt w:val="bullet"/>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2025-09-26T23:17:53Z</dcterms:created>
  <dcterms:modified xsi:type="dcterms:W3CDTF">2025-09-26T23:17:53Z</dcterms:modified>
</cp:coreProperties>
</file>