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88867ds8.htm"/>
      <w:bookmarkStart w:id="1" w:name="ksd88867ds8"/>
      <w:bookmarkEnd w:id="0"/>
      <w:bookmarkEnd w:id="1"/>
      <w:r>
        <w:rPr>
          <w:rFonts w:ascii="Times New Roman" w:hAnsi="Times New Roman"/>
          <w:b/>
          <w:sz w:val="20"/>
        </w:rPr>
        <w:t xml:space="preserve">As filed with the Securities and Exchange Commission on January 29,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Ethos Technologies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81-3181024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90 New Montgomery Street,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94105 </w:t>
      </w:r>
    </w:p>
    <w:p>
      <w:pPr>
        <w:pStyle w:val="TextBody"/>
        <w:bidi w:val="0"/>
        <w:spacing w:before="0" w:after="0"/>
        <w:jc w:val="center"/>
        <w:rPr>
          <w:rFonts w:ascii="Times New Roman" w:hAnsi="Times New Roman"/>
          <w:b/>
          <w:sz w:val="20"/>
        </w:rPr>
      </w:pPr>
      <w:r>
        <w:rPr>
          <w:rFonts w:ascii="Times New Roman" w:hAnsi="Times New Roman"/>
          <w:b/>
          <w:sz w:val="20"/>
        </w:rPr>
        <w:t xml:space="preserve">(415) 915-0665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Ethos Technologies Inc. 2016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Ethos Technologies Inc.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Ethos Technologies Inc. 2026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Peter Colis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Ethos Technologies Inc. </w:t>
      </w:r>
    </w:p>
    <w:p>
      <w:pPr>
        <w:pStyle w:val="TextBody"/>
        <w:bidi w:val="0"/>
        <w:spacing w:before="0" w:after="0"/>
        <w:jc w:val="center"/>
        <w:rPr>
          <w:rFonts w:ascii="Times New Roman" w:hAnsi="Times New Roman"/>
          <w:b/>
          <w:sz w:val="20"/>
        </w:rPr>
      </w:pPr>
      <w:r>
        <w:rPr>
          <w:rFonts w:ascii="Times New Roman" w:hAnsi="Times New Roman"/>
          <w:b/>
          <w:sz w:val="20"/>
        </w:rPr>
        <w:t xml:space="preserve">90 New Montgomery Street,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94105 </w:t>
      </w:r>
    </w:p>
    <w:p>
      <w:pPr>
        <w:pStyle w:val="TextBody"/>
        <w:bidi w:val="0"/>
        <w:spacing w:before="0" w:after="0"/>
        <w:jc w:val="center"/>
        <w:rPr>
          <w:rFonts w:ascii="Times New Roman" w:hAnsi="Times New Roman"/>
          <w:b/>
          <w:sz w:val="20"/>
        </w:rPr>
      </w:pPr>
      <w:r>
        <w:rPr>
          <w:rFonts w:ascii="Times New Roman" w:hAnsi="Times New Roman"/>
          <w:b/>
          <w:sz w:val="20"/>
        </w:rPr>
        <w:t xml:space="preserve">(415) 915-0665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Matthew Bartus</w:t>
            </w:r>
          </w:p>
          <w:p>
            <w:pPr>
              <w:pStyle w:val="TableContents"/>
              <w:bidi w:val="0"/>
              <w:spacing w:before="0" w:after="0"/>
              <w:jc w:val="center"/>
              <w:rPr>
                <w:rFonts w:ascii="Times New Roman" w:hAnsi="Times New Roman"/>
                <w:b/>
                <w:sz w:val="20"/>
              </w:rPr>
            </w:pPr>
            <w:r>
              <w:rPr>
                <w:rFonts w:ascii="Times New Roman" w:hAnsi="Times New Roman"/>
                <w:b/>
                <w:sz w:val="20"/>
              </w:rPr>
              <w:t>Jon C. Avina</w:t>
            </w:r>
          </w:p>
          <w:p>
            <w:pPr>
              <w:pStyle w:val="TableContents"/>
              <w:bidi w:val="0"/>
              <w:spacing w:before="0" w:after="0"/>
              <w:jc w:val="center"/>
              <w:rPr>
                <w:rFonts w:ascii="Times New Roman" w:hAnsi="Times New Roman"/>
                <w:b/>
                <w:sz w:val="20"/>
              </w:rPr>
            </w:pPr>
            <w:r>
              <w:rPr>
                <w:rFonts w:ascii="Times New Roman" w:hAnsi="Times New Roman"/>
                <w:b/>
                <w:sz w:val="20"/>
              </w:rPr>
              <w:t>Jean Park</w:t>
            </w:r>
          </w:p>
          <w:p>
            <w:pPr>
              <w:pStyle w:val="TableContents"/>
              <w:bidi w:val="0"/>
              <w:spacing w:before="0" w:after="0"/>
              <w:jc w:val="center"/>
              <w:rPr>
                <w:rFonts w:ascii="Times New Roman" w:hAnsi="Times New Roman"/>
                <w:b/>
                <w:sz w:val="20"/>
              </w:rPr>
            </w:pPr>
            <w:r>
              <w:rPr>
                <w:rFonts w:ascii="Times New Roman" w:hAnsi="Times New Roman"/>
                <w:b/>
                <w:sz w:val="20"/>
              </w:rPr>
              <w:t>Milson C. Yu</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3175 Hanover Street</w:t>
            </w:r>
          </w:p>
          <w:p>
            <w:pPr>
              <w:pStyle w:val="TableContents"/>
              <w:bidi w:val="0"/>
              <w:spacing w:before="0" w:after="0"/>
              <w:jc w:val="center"/>
              <w:rPr>
                <w:rFonts w:ascii="Times New Roman" w:hAnsi="Times New Roman"/>
                <w:b/>
                <w:sz w:val="20"/>
              </w:rPr>
            </w:pPr>
            <w:r>
              <w:rPr>
                <w:rFonts w:ascii="Times New Roman" w:hAnsi="Times New Roman"/>
                <w:b/>
                <w:sz w:val="20"/>
              </w:rPr>
              <w:t>Palo Alto, CA 94304</w:t>
            </w:r>
          </w:p>
          <w:p>
            <w:pPr>
              <w:pStyle w:val="TableContents"/>
              <w:bidi w:val="0"/>
              <w:spacing w:before="0" w:after="20"/>
              <w:jc w:val="center"/>
              <w:rPr>
                <w:rFonts w:ascii="Times New Roman" w:hAnsi="Times New Roman"/>
                <w:b/>
                <w:sz w:val="20"/>
              </w:rPr>
            </w:pPr>
            <w:r>
              <w:rPr>
                <w:rFonts w:ascii="Times New Roman" w:hAnsi="Times New Roman"/>
                <w:b/>
                <w:sz w:val="20"/>
              </w:rPr>
              <w:t>(650) 843-5000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Porter Nolan</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Ethos Technologies Inc.</w:t>
            </w:r>
          </w:p>
          <w:p>
            <w:pPr>
              <w:pStyle w:val="TableContents"/>
              <w:bidi w:val="0"/>
              <w:spacing w:before="0" w:after="0"/>
              <w:jc w:val="center"/>
              <w:rPr>
                <w:rFonts w:ascii="Times New Roman" w:hAnsi="Times New Roman"/>
                <w:b/>
                <w:sz w:val="20"/>
              </w:rPr>
            </w:pPr>
            <w:r>
              <w:rPr>
                <w:rFonts w:ascii="Times New Roman" w:hAnsi="Times New Roman"/>
                <w:b/>
                <w:sz w:val="20"/>
              </w:rPr>
              <w:t>90 New Montgomery Street, Suite 1500</w:t>
            </w:r>
          </w:p>
          <w:p>
            <w:pPr>
              <w:pStyle w:val="TableContents"/>
              <w:bidi w:val="0"/>
              <w:spacing w:before="0" w:after="0"/>
              <w:jc w:val="center"/>
              <w:rPr>
                <w:rFonts w:ascii="Times New Roman" w:hAnsi="Times New Roman"/>
                <w:b/>
                <w:sz w:val="20"/>
              </w:rPr>
            </w:pPr>
            <w:r>
              <w:rPr>
                <w:rFonts w:ascii="Times New Roman" w:hAnsi="Times New Roman"/>
                <w:b/>
                <w:sz w:val="20"/>
              </w:rPr>
              <w:t>San Francisco, CA 94105</w:t>
            </w:r>
          </w:p>
          <w:p>
            <w:pPr>
              <w:pStyle w:val="TableContents"/>
              <w:bidi w:val="0"/>
              <w:spacing w:before="0" w:after="20"/>
              <w:jc w:val="center"/>
              <w:rPr>
                <w:rFonts w:ascii="Times New Roman" w:hAnsi="Times New Roman"/>
                <w:b/>
                <w:sz w:val="20"/>
              </w:rPr>
            </w:pPr>
            <w:r>
              <w:rPr>
                <w:rFonts w:ascii="Times New Roman" w:hAnsi="Times New Roman"/>
                <w:b/>
                <w:sz w:val="20"/>
              </w:rPr>
              <w:t>(415) 915-0665</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called for by Part I of Form S-8 is omitted from this Registration Statement in accordance with Rule 428 under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Ethos Technologies Inc. (the “Registrant”) with the Commission are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rFonts w:ascii="Times New Roman" w:hAnsi="Times New Roman"/>
                <w:sz w:val="20"/>
              </w:rPr>
              <w:t xml:space="preserve">Amendment No.  2 to the Registrant’s Registration Statement on </w:t>
            </w:r>
            <w:hyperlink r:id="rId2">
              <w:r>
                <w:rPr>
                  <w:rStyle w:val="InternetLink"/>
                  <w:rFonts w:ascii="Times New Roman" w:hAnsi="Times New Roman"/>
                  <w:sz w:val="20"/>
                </w:rPr>
                <w:t>Form S-1</w:t>
              </w:r>
            </w:hyperlink>
            <w:r>
              <w:rPr>
                <w:rFonts w:ascii="Times New Roman" w:hAnsi="Times New Roman"/>
                <w:sz w:val="20"/>
              </w:rPr>
              <w:t xml:space="preserve"> filed with the Commission on January 20, 2026 (File No. 333-290534), which contains the Registrant’s audited financial statements as of and for the years ended December 31, 2023 and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Prospectus to be filed with the Commission on or about January 29, 2026 pursuant to Rule 424(b) under the Securities Act of 1933, as amended (the “Securities Act”), relating to the Registration Statement on Form S-1, as amended (File No. 333-290534).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rFonts w:ascii="Times New Roman" w:hAnsi="Times New Roman"/>
                <w:sz w:val="20"/>
              </w:rPr>
              <w:t xml:space="preserve">The description of the Registrant’s Class A common stock, which is contained in the Registrant’s Registration Statement on </w:t>
            </w:r>
            <w:hyperlink r:id="rId3">
              <w:r>
                <w:rPr>
                  <w:rStyle w:val="InternetLink"/>
                  <w:rFonts w:ascii="Times New Roman" w:hAnsi="Times New Roman"/>
                  <w:sz w:val="20"/>
                </w:rPr>
                <w:t>Form 8-A</w:t>
              </w:r>
            </w:hyperlink>
            <w:r>
              <w:rPr>
                <w:rFonts w:ascii="Times New Roman" w:hAnsi="Times New Roman"/>
                <w:sz w:val="20"/>
              </w:rPr>
              <w:t xml:space="preserve"> filed with the Commission on January 21, 2026 (File No. 001-43065) under the Securities Exchange Act of 1934, as amended (the “Exchange Act”), including any amendment or report filed for the purpose of updating such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reports and documents subsequently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that will be in effect immediately prior to the closing of the Registrant’s initial public offering permits indemnification of its directors, officers, employees, and other agents to the maximum extent permitted by the Delaware General Corporation Law, and the Registrant’s amended and restated bylaws that will be in effect immediately prior to the closing of the Registrant’s initial public offering provide that the Registrant will indemnify its directors and officers and permit the Registrant to indemnify its employees and other agents, in each case to the maximum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directors and executive officers, whereby the Registrant has agreed to indemnify its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acted in good faith and in a manner that the director or officer reasonably believed to be in, or not opposed to, the Registrant’s best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indemnification provisions in the Registrant’s amended and restated certificate of incorporation, amended and restated bylaws, and the indemnification agreements with its directors and executive officers may discourage stockholders from bringing a lawsuit against its directors and executive officers for breach of their fiduciary duties. They may also reduce the likelihood of derivative litigation against the Registrant’s directors and executive officers, even though an action, if successful, might benefit the Registrant and other stockholders. At present, there is no pending litigation or proceeding involving a director or officer of ours regarding which indemnification is sought, nor is the registrant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insurance policies that indemnify its directors and officers against various liabilities arising under the Securities Act and the Exchange Act that might be incurred by any director or officer in his or her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Registrant’s non-employee directors may, through their relationships with their employers, be insured and/or indemnified against certain liabilities incurred in their capacity as members of the Registrant’s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
        <w:gridCol w:w="211"/>
        <w:gridCol w:w="3027"/>
        <w:gridCol w:w="135"/>
        <w:gridCol w:w="758"/>
        <w:gridCol w:w="135"/>
        <w:gridCol w:w="1349"/>
        <w:gridCol w:w="135"/>
        <w:gridCol w:w="634"/>
        <w:gridCol w:w="135"/>
        <w:gridCol w:w="2139"/>
        <w:gridCol w:w="135"/>
        <w:gridCol w:w="806"/>
      </w:tblGrid>
      <w:tr>
        <w:trPr/>
        <w:tc>
          <w:tcPr>
            <w:tcW w:w="606"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6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02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28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Incorporated by Reference</w:t>
            </w:r>
          </w:p>
        </w:tc>
        <w:tc>
          <w:tcPr>
            <w:tcW w:w="135" w:type="dxa"/>
            <w:vMerge w:val="restart"/>
            <w:tcBorders/>
            <w:vAlign w:val="bottom"/>
          </w:tcPr>
          <w:p>
            <w:pPr>
              <w:pStyle w:val="TableContents"/>
              <w:bidi w:val="0"/>
              <w:spacing w:before="0" w:after="283"/>
              <w:jc w:val="left"/>
              <w:rPr/>
            </w:pPr>
            <w:r>
              <w:rPr/>
              <w:t>  </w:t>
            </w:r>
          </w:p>
        </w:tc>
        <w:tc>
          <w:tcPr>
            <w:tcW w:w="806" w:type="dxa"/>
            <w:vMerge w:val="restart"/>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r>
      <w:tr>
        <w:trPr/>
        <w:tc>
          <w:tcPr>
            <w:tcW w:w="60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211" w:type="dxa"/>
            <w:tcBorders/>
            <w:vAlign w:val="bottom"/>
          </w:tcPr>
          <w:p>
            <w:pPr>
              <w:pStyle w:val="TableContents"/>
              <w:bidi w:val="0"/>
              <w:spacing w:before="0" w:after="283"/>
              <w:jc w:val="left"/>
              <w:rPr/>
            </w:pPr>
            <w:r>
              <w:rPr/>
              <w:t>  </w:t>
            </w:r>
          </w:p>
        </w:tc>
        <w:tc>
          <w:tcPr>
            <w:tcW w:w="3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35" w:type="dxa"/>
            <w:tcBorders/>
            <w:vAlign w:val="bottom"/>
          </w:tcPr>
          <w:p>
            <w:pPr>
              <w:pStyle w:val="TableContents"/>
              <w:bidi w:val="0"/>
              <w:spacing w:before="0" w:after="283"/>
              <w:jc w:val="left"/>
              <w:rPr/>
            </w:pPr>
            <w:r>
              <w:rPr/>
              <w:t>  </w:t>
            </w:r>
          </w:p>
        </w:tc>
        <w:tc>
          <w:tcPr>
            <w:tcW w:w="75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Schedule</w:t>
            </w:r>
          </w:p>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35" w:type="dxa"/>
            <w:tcBorders/>
            <w:vAlign w:val="bottom"/>
          </w:tcPr>
          <w:p>
            <w:pPr>
              <w:pStyle w:val="TableContents"/>
              <w:bidi w:val="0"/>
              <w:spacing w:before="0" w:after="283"/>
              <w:jc w:val="left"/>
              <w:rPr/>
            </w:pPr>
            <w:r>
              <w:rPr/>
              <w:t>  </w:t>
            </w:r>
          </w:p>
        </w:tc>
        <w:tc>
          <w:tcPr>
            <w:tcW w:w="13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File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35" w:type="dxa"/>
            <w:tcBorders/>
            <w:vAlign w:val="bottom"/>
          </w:tcPr>
          <w:p>
            <w:pPr>
              <w:pStyle w:val="TableContents"/>
              <w:bidi w:val="0"/>
              <w:spacing w:before="0" w:after="283"/>
              <w:jc w:val="left"/>
              <w:rPr/>
            </w:pPr>
            <w:r>
              <w:rPr/>
              <w:t>  </w:t>
            </w:r>
          </w:p>
        </w:tc>
        <w:tc>
          <w:tcPr>
            <w:tcW w:w="6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35" w:type="dxa"/>
            <w:tcBorders/>
            <w:vAlign w:val="bottom"/>
          </w:tcPr>
          <w:p>
            <w:pPr>
              <w:pStyle w:val="TableContents"/>
              <w:bidi w:val="0"/>
              <w:spacing w:before="0" w:after="283"/>
              <w:jc w:val="left"/>
              <w:rPr/>
            </w:pPr>
            <w:r>
              <w:rPr/>
              <w:t>  </w:t>
            </w:r>
          </w:p>
        </w:tc>
        <w:tc>
          <w:tcPr>
            <w:tcW w:w="21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Filing</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35" w:type="dxa"/>
            <w:vMerge w:val="continue"/>
            <w:tcBorders/>
            <w:vAlign w:val="bottom"/>
          </w:tcPr>
          <w:p>
            <w:pPr>
              <w:pStyle w:val="Normal"/>
              <w:bidi w:val="0"/>
              <w:jc w:val="left"/>
              <w:rPr/>
            </w:pPr>
            <w:r>
              <w:rPr/>
            </w:r>
          </w:p>
        </w:tc>
        <w:tc>
          <w:tcPr>
            <w:tcW w:w="806" w:type="dxa"/>
            <w:vMerge w:val="continue"/>
            <w:tcBorders>
              <w:bottom w:val="single" w:sz="8" w:space="0" w:color="000000"/>
            </w:tcBorders>
            <w:tcMar>
              <w:bottom w:w="28" w:type="dxa"/>
            </w:tcMar>
            <w:vAlign w:val="bottom"/>
          </w:tcPr>
          <w:p>
            <w:pPr>
              <w:pStyle w:val="Normal"/>
              <w:bidi w:val="0"/>
              <w:jc w:val="left"/>
              <w:rPr/>
            </w:pPr>
            <w:r>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4.1</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4">
              <w:r>
                <w:rPr>
                  <w:rStyle w:val="InternetLink"/>
                </w:rPr>
                <w:t xml:space="preserve">Amended and Restated Certificate of Incorporation of the Registrant, as currently in effect.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3.1</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September 26, 2025</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4.2</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5">
              <w:r>
                <w:rPr>
                  <w:rStyle w:val="InternetLink"/>
                </w:rPr>
                <w:t xml:space="preserve">Form of Amended and Restated Certificate of Incorporation of the Registrant, to be effective upon the closing of the Registrant’s initial public offering.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S-1/A</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3.2</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January 20, 2026</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4.3</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6">
              <w:r>
                <w:rPr>
                  <w:rStyle w:val="InternetLink"/>
                </w:rPr>
                <w:t xml:space="preserve">Amended and Restated Bylaws of the Registrant, as currently in effect.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3.3</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September 26, 2025</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4.4</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7">
              <w:r>
                <w:rPr>
                  <w:rStyle w:val="InternetLink"/>
                </w:rPr>
                <w:t>Form of Amended and Restated Bylaws of the Registrant, to be effective upon the closing of the Registrant’s initial public offering.</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S-1/A</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3.4</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January 20, 2026</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4.5</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8">
              <w:r>
                <w:rPr>
                  <w:rStyle w:val="InternetLink"/>
                </w:rPr>
                <w:t xml:space="preserve">Form of Class A Common Stock Certificate of the Registrant.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S-1/A</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4.1</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January 20, 2026</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5.1</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w:anchor="d88867dex51.htm">
              <w:r>
                <w:rPr>
                  <w:rStyle w:val="InternetLink"/>
                </w:rPr>
                <w:t xml:space="preserve">Opinion of Cooley LLP.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X</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23.1</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w:anchor="d88867dex51.htm">
              <w:r>
                <w:rPr>
                  <w:rStyle w:val="InternetLink"/>
                </w:rPr>
                <w:t xml:space="preserve">Consent of Cooley LLP (included in Exhibit 5.1).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X</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23.2</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w:anchor="d88867dex232.htm">
              <w:r>
                <w:rPr>
                  <w:rStyle w:val="InternetLink"/>
                </w:rPr>
                <w:t xml:space="preserve">Consent of Ernst &amp; Young LLP, independent registered public accounting firm.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X</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24.1</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w:anchor="sig">
              <w:r>
                <w:rPr>
                  <w:rStyle w:val="InternetLink"/>
                </w:rPr>
                <w:t xml:space="preserve">Power of Attorney (included on the signature page of this Form S-8).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X</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99.1</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9">
              <w:r>
                <w:rPr>
                  <w:rStyle w:val="InternetLink"/>
                </w:rPr>
                <w:t xml:space="preserve">Ethos Technologies Inc. 2016 Equity Incentive Plan, as amended, and related form agreements.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10.1</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September 26, 2025</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99.2</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10">
              <w:r>
                <w:rPr>
                  <w:rStyle w:val="InternetLink"/>
                </w:rPr>
                <w:t xml:space="preserve">Ethos Technologies Inc. 2026 Equity Incentive Plan.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S-1/A</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10.2</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January 20, 2026</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99.3</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r:id="rId11">
              <w:r>
                <w:rPr>
                  <w:rStyle w:val="InternetLink"/>
                </w:rPr>
                <w:t xml:space="preserve">Ethos Technologies Inc. 2026 Employee Stock Purchase Plan.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S-1/A</w:t>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center"/>
              <w:rPr/>
            </w:pPr>
            <w:r>
              <w:rPr/>
              <w:t>333- 290534</w:t>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center"/>
              <w:rPr/>
            </w:pPr>
            <w:r>
              <w:rPr/>
              <w:t>10.3</w:t>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center"/>
              <w:rPr/>
            </w:pPr>
            <w:r>
              <w:rPr/>
              <w:t>January 20, 2026</w:t>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left"/>
              <w:rPr>
                <w:sz w:val="4"/>
                <w:szCs w:val="4"/>
              </w:rPr>
            </w:pPr>
            <w:r>
              <w:rPr>
                <w:sz w:val="4"/>
                <w:szCs w:val="4"/>
              </w:rPr>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1484" w:type="dxa"/>
            <w:gridSpan w:val="2"/>
            <w:tcBorders/>
            <w:vAlign w:val="center"/>
          </w:tcPr>
          <w:p>
            <w:pPr>
              <w:pStyle w:val="TableContents"/>
              <w:bidi w:val="0"/>
              <w:spacing w:before="0" w:after="283"/>
              <w:jc w:val="left"/>
              <w:rPr>
                <w:sz w:val="4"/>
                <w:szCs w:val="4"/>
              </w:rPr>
            </w:pPr>
            <w:r>
              <w:rPr>
                <w:sz w:val="4"/>
                <w:szCs w:val="4"/>
              </w:rPr>
            </w:r>
          </w:p>
        </w:tc>
        <w:tc>
          <w:tcPr>
            <w:tcW w:w="769"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107</w:t>
            </w:r>
          </w:p>
        </w:tc>
        <w:tc>
          <w:tcPr>
            <w:tcW w:w="211" w:type="dxa"/>
            <w:tcBorders/>
            <w:vAlign w:val="bottom"/>
          </w:tcPr>
          <w:p>
            <w:pPr>
              <w:pStyle w:val="TableContents"/>
              <w:bidi w:val="0"/>
              <w:spacing w:before="0" w:after="283"/>
              <w:jc w:val="left"/>
              <w:rPr/>
            </w:pPr>
            <w:r>
              <w:rPr/>
              <w:t>  </w:t>
            </w:r>
          </w:p>
        </w:tc>
        <w:tc>
          <w:tcPr>
            <w:tcW w:w="3027" w:type="dxa"/>
            <w:tcBorders/>
          </w:tcPr>
          <w:p>
            <w:pPr>
              <w:pStyle w:val="TableContents"/>
              <w:bidi w:val="0"/>
              <w:spacing w:before="0" w:after="283"/>
              <w:jc w:val="left"/>
              <w:rPr/>
            </w:pPr>
            <w:hyperlink w:anchor="d88867dexfilingfees.htm">
              <w:r>
                <w:rPr>
                  <w:rStyle w:val="InternetLink"/>
                </w:rPr>
                <w:t xml:space="preserve">Filing Fee Table. </w:t>
              </w:r>
            </w:hyperlink>
          </w:p>
        </w:tc>
        <w:tc>
          <w:tcPr>
            <w:tcW w:w="135"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X</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January 29,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ETHOS TECHNOLOGIES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Colis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Peter Colis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Peter Colis, Christopher Capozzi, and Porter Nolan, and each of them, as his or her true and lawful attorneys-in-fact, proxies, and agents, each with full power of substitution and resubstitution, for him or her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5"/>
        <w:gridCol w:w="120"/>
        <w:gridCol w:w="5496"/>
        <w:gridCol w:w="120"/>
        <w:gridCol w:w="1564"/>
      </w:tblGrid>
      <w:tr>
        <w:trPr/>
        <w:tc>
          <w:tcPr>
            <w:tcW w:w="2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29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54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5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Peter Colis</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Chief Executive Officer and Chair of the Board of Directors</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Peter Colis</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w:t>
            </w:r>
            <w:r>
              <w:rPr>
                <w:i/>
              </w:rPr>
              <w:t>Principal Executive Officer)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Lingke Wang</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Lingke Wang</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President and 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Christopher Capozzi</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Chief Financial Officer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Christopher Capozzi</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w:t>
            </w:r>
            <w:r>
              <w:rPr>
                <w:i/>
              </w:rPr>
              <w:t>Principal Financial Officer</w:t>
            </w:r>
            <w:r>
              <w:rPr/>
              <w:t>)</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Brandt Kucharski</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Chief Accounting Officer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Brandt Kucharski</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(Principal Accounting Officer)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Roelof Botha</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Roelof Botha</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Priscilla Hung</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Priscilla Hung</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John Kunze</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John Kunze</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Mark Mullin</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Mark Mullin</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Nathan J. Niparko</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Nathan J. Niparko</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Khozema Shipchandler</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Khozema Shipchandler</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r>
        <w:trPr>
          <w:trHeight w:val="240" w:hRule="atLeast"/>
        </w:trPr>
        <w:tc>
          <w:tcPr>
            <w:tcW w:w="2905" w:type="dxa"/>
            <w:tcBorders/>
            <w:vAlign w:val="center"/>
          </w:tcPr>
          <w:p>
            <w:pPr>
              <w:pStyle w:val="TableContents"/>
              <w:bidi w:val="0"/>
              <w:spacing w:before="0" w:after="283"/>
              <w:jc w:val="left"/>
              <w:rPr>
                <w:sz w:val="4"/>
                <w:szCs w:val="4"/>
              </w:rPr>
            </w:pPr>
            <w:r>
              <w:rPr>
                <w:sz w:val="4"/>
                <w:szCs w:val="4"/>
              </w:rPr>
            </w:r>
          </w:p>
        </w:tc>
        <w:tc>
          <w:tcPr>
            <w:tcW w:w="5616"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William J. Wheeler</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center"/>
              <w:rPr/>
            </w:pPr>
            <w:r>
              <w:rPr/>
              <w:t>William J. Wheeler</w:t>
            </w:r>
          </w:p>
        </w:tc>
        <w:tc>
          <w:tcPr>
            <w:tcW w:w="120" w:type="dxa"/>
            <w:tcBorders/>
            <w:vAlign w:val="bottom"/>
          </w:tcPr>
          <w:p>
            <w:pPr>
              <w:pStyle w:val="TableContents"/>
              <w:bidi w:val="0"/>
              <w:spacing w:before="0" w:after="283"/>
              <w:jc w:val="left"/>
              <w:rPr/>
            </w:pPr>
            <w:r>
              <w:rPr/>
              <w:t>  </w:t>
            </w:r>
          </w:p>
        </w:tc>
        <w:tc>
          <w:tcPr>
            <w:tcW w:w="54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center"/>
              <w:rPr/>
            </w:pPr>
            <w:r>
              <w:rPr/>
              <w:t>January 29, 2026</w:t>
            </w:r>
          </w:p>
        </w:tc>
      </w:tr>
    </w:tbl>
    <w:p>
      <w:pPr>
        <w:pStyle w:val="TextBody"/>
        <w:bidi w:val="0"/>
        <w:spacing w:before="0" w:after="0"/>
        <w:jc w:val="right"/>
        <w:rPr>
          <w:rFonts w:ascii="Times New Roman" w:hAnsi="Times New Roman"/>
          <w:b/>
          <w:sz w:val="20"/>
        </w:rPr>
      </w:pPr>
      <w:bookmarkStart w:id="3" w:name="d88867dex51.htm"/>
      <w:bookmarkStart w:id="4" w:name="ksd88867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Jon C. Avina </w:t>
      </w:r>
    </w:p>
    <w:p>
      <w:pPr>
        <w:pStyle w:val="TextBody"/>
        <w:bidi w:val="0"/>
        <w:spacing w:before="0" w:after="0"/>
        <w:jc w:val="left"/>
        <w:rPr>
          <w:rFonts w:ascii="Times New Roman" w:hAnsi="Times New Roman"/>
          <w:sz w:val="20"/>
        </w:rPr>
      </w:pPr>
      <w:r>
        <w:rPr>
          <w:rFonts w:ascii="Times New Roman" w:hAnsi="Times New Roman"/>
          <w:sz w:val="20"/>
        </w:rPr>
        <w:t xml:space="preserve">T: +1 650 843 5307 </w:t>
      </w:r>
    </w:p>
    <w:p>
      <w:pPr>
        <w:pStyle w:val="TextBody"/>
        <w:bidi w:val="0"/>
        <w:spacing w:before="0" w:after="0"/>
        <w:jc w:val="left"/>
        <w:rPr>
          <w:rFonts w:ascii="Times New Roman" w:hAnsi="Times New Roman"/>
          <w:sz w:val="20"/>
        </w:rPr>
      </w:pPr>
      <w:r>
        <w:rPr>
          <w:rFonts w:ascii="Times New Roman" w:hAnsi="Times New Roman"/>
          <w:sz w:val="20"/>
        </w:rPr>
        <w:t xml:space="preserve">javina@cooley.com </w:t>
      </w:r>
    </w:p>
    <w:p>
      <w:pPr>
        <w:pStyle w:val="TextBody"/>
        <w:bidi w:val="0"/>
        <w:spacing w:before="240" w:after="0"/>
        <w:jc w:val="left"/>
        <w:rPr>
          <w:rFonts w:ascii="Times New Roman" w:hAnsi="Times New Roman"/>
          <w:sz w:val="20"/>
        </w:rPr>
      </w:pPr>
      <w:r>
        <w:rPr>
          <w:rFonts w:ascii="Times New Roman" w:hAnsi="Times New Roman"/>
          <w:sz w:val="20"/>
        </w:rPr>
        <w:t xml:space="preserve">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Ethos Technologies Inc. </w:t>
      </w:r>
    </w:p>
    <w:p>
      <w:pPr>
        <w:pStyle w:val="TextBody"/>
        <w:bidi w:val="0"/>
        <w:spacing w:before="0" w:after="0"/>
        <w:jc w:val="left"/>
        <w:rPr>
          <w:rFonts w:ascii="Times New Roman" w:hAnsi="Times New Roman"/>
          <w:sz w:val="20"/>
        </w:rPr>
      </w:pPr>
      <w:r>
        <w:rPr>
          <w:rFonts w:ascii="Times New Roman" w:hAnsi="Times New Roman"/>
          <w:sz w:val="20"/>
        </w:rPr>
        <w:t xml:space="preserve">90 New Montgomery Street, Suite 1500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Ethos Technologies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up to 20,262,327 shares (the “</w:t>
      </w:r>
      <w:r>
        <w:rPr>
          <w:rFonts w:ascii="Times New Roman" w:hAnsi="Times New Roman"/>
          <w:b/>
          <w:i/>
          <w:sz w:val="20"/>
        </w:rPr>
        <w:t>Shares</w:t>
      </w:r>
      <w:r>
        <w:rPr>
          <w:rFonts w:ascii="Times New Roman" w:hAnsi="Times New Roman"/>
          <w:sz w:val="20"/>
        </w:rPr>
        <w:t>”) of the Company’s Class A Common Stock, par value $0.0001 per share (the “</w:t>
      </w:r>
      <w:r>
        <w:rPr>
          <w:rFonts w:ascii="Times New Roman" w:hAnsi="Times New Roman"/>
          <w:b/>
          <w:i/>
          <w:sz w:val="20"/>
        </w:rPr>
        <w:t>Common Stock</w:t>
      </w:r>
      <w:r>
        <w:rPr>
          <w:rFonts w:ascii="Times New Roman" w:hAnsi="Times New Roman"/>
          <w:sz w:val="20"/>
        </w:rPr>
        <w:t>”), consisting of (a) 977,231 shares of Common Stock issuable pursuant to the Company’s 2016 Equity Incentive Plan, as amended (the “</w:t>
      </w:r>
      <w:r>
        <w:rPr>
          <w:rFonts w:ascii="Times New Roman" w:hAnsi="Times New Roman"/>
          <w:b/>
          <w:i/>
          <w:sz w:val="20"/>
        </w:rPr>
        <w:t>2016 Plan</w:t>
      </w:r>
      <w:r>
        <w:rPr>
          <w:rFonts w:ascii="Times New Roman" w:hAnsi="Times New Roman"/>
          <w:sz w:val="20"/>
        </w:rPr>
        <w:t>”), (b) 17,985,096 shares of Common Stock issuable pursuant to the Company’s 2026 Equity Incentive Plan (the “</w:t>
      </w:r>
      <w:r>
        <w:rPr>
          <w:rFonts w:ascii="Times New Roman" w:hAnsi="Times New Roman"/>
          <w:b/>
          <w:i/>
          <w:sz w:val="20"/>
        </w:rPr>
        <w:t>2026 Plan</w:t>
      </w:r>
      <w:r>
        <w:rPr>
          <w:rFonts w:ascii="Times New Roman" w:hAnsi="Times New Roman"/>
          <w:sz w:val="20"/>
        </w:rPr>
        <w:t>”), and (c) 1,300,000 shares of the Common Stock issuable pursuant to the Company’s 2026 Employee Stock Purchase Plan (together with the 2016 Plan and the 2026 Plan, the “</w:t>
      </w:r>
      <w:r>
        <w:rPr>
          <w:rFonts w:ascii="Times New Roman" w:hAnsi="Times New Roman"/>
          <w:b/>
          <w:i/>
          <w:sz w:val="20"/>
        </w:rPr>
        <w:t>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related prospectuses, (b) the Company’s certificate of incorporation and bylaws, each as currently in effect, (c) the Company’s Amended and Restated Certificate of Incorporation and Amended and Restated Bylaws, each of which is to be in effective in connection with the closing of the Company’s underwritten public offering, (d) the Plans, and (e)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+1 650 843-5000 f: +1 650 849 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January 29,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 C. Avina</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Jon C. Avina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+1 650 843-5000 f: +1 650 849 7400 cooley.com </w:t>
      </w:r>
    </w:p>
    <w:p>
      <w:pPr>
        <w:pStyle w:val="TextBody"/>
        <w:bidi w:val="0"/>
        <w:spacing w:before="0" w:after="0"/>
        <w:jc w:val="right"/>
        <w:rPr>
          <w:rFonts w:ascii="Times New Roman" w:hAnsi="Times New Roman"/>
          <w:b/>
          <w:sz w:val="20"/>
        </w:rPr>
      </w:pPr>
      <w:bookmarkStart w:id="5" w:name="d88867dex232.htm"/>
      <w:bookmarkStart w:id="6" w:name="ksd88867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2016 Equity Incentive Plan, 2026 Equity Incentive Plan, and 2026 Employee Stock Purchase Plan of Ethos Technologies Inc. of our report dated June 11, 2025, except for the effects of the reverse stock split as described in Note 17, as to which the date is September 26, 2025, with respect to the consolidated financial statements of Ethos Technologies Inc. included in the Registration Statement (Form S-1 No. 333-290534)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San Francisco, California</w:t>
            </w:r>
          </w:p>
        </w:tc>
      </w:tr>
      <w:tr>
        <w:trPr/>
        <w:tc>
          <w:tcPr>
            <w:tcW w:w="4082" w:type="dxa"/>
            <w:tcBorders/>
          </w:tcPr>
          <w:p>
            <w:pPr>
              <w:pStyle w:val="TableContents"/>
              <w:bidi w:val="0"/>
              <w:spacing w:before="0" w:after="283"/>
              <w:jc w:val="left"/>
              <w:rPr/>
            </w:pPr>
            <w:r>
              <w:rPr/>
              <w:t>January 29, 2026</w:t>
            </w:r>
          </w:p>
        </w:tc>
      </w:tr>
    </w:tbl>
    <w:p>
      <w:pPr>
        <w:pStyle w:val="Normal"/>
        <w:bidi w:val="0"/>
        <w:spacing w:before="0" w:after="0"/>
        <w:jc w:val="left"/>
        <w:rPr>
          <w:sz w:val="4"/>
          <w:szCs w:val="4"/>
        </w:rPr>
      </w:pPr>
      <w:r>
        <w:rPr>
          <w:sz w:val="4"/>
          <w:szCs w:val="4"/>
        </w:rPr>
      </w:r>
      <w:bookmarkStart w:id="7" w:name="d88867dexfilingfees.htm"/>
      <w:bookmarkStart w:id="8" w:name="ksd88867dexfilingfees"/>
      <w:bookmarkStart w:id="9" w:name="d88867dexfilingfees.htm"/>
      <w:bookmarkStart w:id="10" w:name="ksd88867dexfilingfees"/>
      <w:bookmarkEnd w:id="9"/>
      <w:bookmarkEnd w:id="1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Ethos Technologies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494" w:type="dxa"/>
        <w:jc w:val="left"/>
        <w:tblInd w:w="0" w:type="dxa"/>
        <w:tblLayout w:type="fixed"/>
        <w:tblCellMar>
          <w:top w:w="28" w:type="dxa"/>
          <w:left w:w="28" w:type="dxa"/>
          <w:bottom w:w="28" w:type="dxa"/>
          <w:right w:w="28" w:type="dxa"/>
        </w:tblCellMar>
      </w:tblPr>
      <w:tblGrid>
        <w:gridCol w:w="241"/>
        <w:gridCol w:w="946"/>
        <w:gridCol w:w="1381"/>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Class A common stock, par value $0.0001 per share, Ethos Technologies Inc.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17,985,096 </w:t>
            </w:r>
          </w:p>
        </w:tc>
        <w:tc>
          <w:tcPr>
            <w:tcW w:w="1156" w:type="dxa"/>
            <w:tcBorders/>
            <w:shd w:fill="E7E7E2" w:val="clear"/>
            <w:vAlign w:val="center"/>
          </w:tcPr>
          <w:p>
            <w:pPr>
              <w:pStyle w:val="TableContents"/>
              <w:bidi w:val="0"/>
              <w:spacing w:before="0" w:after="283"/>
              <w:jc w:val="right"/>
              <w:rPr/>
            </w:pPr>
            <w:r>
              <w:rPr/>
              <w:t xml:space="preserve">$ 19.00 </w:t>
            </w:r>
          </w:p>
        </w:tc>
        <w:tc>
          <w:tcPr>
            <w:tcW w:w="1786" w:type="dxa"/>
            <w:tcBorders/>
            <w:shd w:fill="E7E7E2" w:val="clear"/>
            <w:vAlign w:val="center"/>
          </w:tcPr>
          <w:p>
            <w:pPr>
              <w:pStyle w:val="TableContents"/>
              <w:bidi w:val="0"/>
              <w:spacing w:before="0" w:after="283"/>
              <w:jc w:val="right"/>
              <w:rPr/>
            </w:pPr>
            <w:r>
              <w:rPr/>
              <w:t xml:space="preserve">$ 341,716,824.00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$ 47,191.10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Class A common stock, par value $0.0001 per share, Ethos Technologies Inc.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1,300,000 </w:t>
            </w:r>
          </w:p>
        </w:tc>
        <w:tc>
          <w:tcPr>
            <w:tcW w:w="1156" w:type="dxa"/>
            <w:tcBorders/>
            <w:shd w:fill="E7E7E2" w:val="clear"/>
            <w:vAlign w:val="center"/>
          </w:tcPr>
          <w:p>
            <w:pPr>
              <w:pStyle w:val="TableContents"/>
              <w:bidi w:val="0"/>
              <w:spacing w:before="0" w:after="283"/>
              <w:jc w:val="right"/>
              <w:rPr/>
            </w:pPr>
            <w:r>
              <w:rPr/>
              <w:t xml:space="preserve">$ 16.15 </w:t>
            </w:r>
          </w:p>
        </w:tc>
        <w:tc>
          <w:tcPr>
            <w:tcW w:w="1786" w:type="dxa"/>
            <w:tcBorders/>
            <w:shd w:fill="E7E7E2" w:val="clear"/>
            <w:vAlign w:val="center"/>
          </w:tcPr>
          <w:p>
            <w:pPr>
              <w:pStyle w:val="TableContents"/>
              <w:bidi w:val="0"/>
              <w:spacing w:before="0" w:after="283"/>
              <w:jc w:val="right"/>
              <w:rPr/>
            </w:pPr>
            <w:r>
              <w:rPr/>
              <w:t xml:space="preserve">$ 20,995,000.00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$ 2,899.41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Class A common stock, par value $0.0001 per share, Ethos Technologies Inc. 2016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977,231 </w:t>
            </w:r>
          </w:p>
        </w:tc>
        <w:tc>
          <w:tcPr>
            <w:tcW w:w="1156" w:type="dxa"/>
            <w:tcBorders/>
            <w:shd w:fill="E7E7E2" w:val="clear"/>
            <w:vAlign w:val="center"/>
          </w:tcPr>
          <w:p>
            <w:pPr>
              <w:pStyle w:val="TableContents"/>
              <w:bidi w:val="0"/>
              <w:spacing w:before="0" w:after="283"/>
              <w:jc w:val="right"/>
              <w:rPr/>
            </w:pPr>
            <w:r>
              <w:rPr/>
              <w:t xml:space="preserve">$ 3.24 </w:t>
            </w:r>
          </w:p>
        </w:tc>
        <w:tc>
          <w:tcPr>
            <w:tcW w:w="1786" w:type="dxa"/>
            <w:tcBorders/>
            <w:shd w:fill="E7E7E2" w:val="clear"/>
            <w:vAlign w:val="center"/>
          </w:tcPr>
          <w:p>
            <w:pPr>
              <w:pStyle w:val="TableContents"/>
              <w:bidi w:val="0"/>
              <w:spacing w:before="0" w:after="283"/>
              <w:jc w:val="right"/>
              <w:rPr/>
            </w:pPr>
            <w:r>
              <w:rPr/>
              <w:t xml:space="preserve">$ 3,166,228.44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$ 437.26 </w:t>
            </w:r>
          </w:p>
        </w:tc>
      </w:tr>
      <w:tr>
        <w:trPr/>
        <w:tc>
          <w:tcPr>
            <w:tcW w:w="503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1" w:name="MaxAggtOfferingPrice"/>
            <w:bookmarkEnd w:id="11"/>
            <w:r>
              <w:rPr/>
              <w:t xml:space="preserve">$ 365,878,052.44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$ 50,527.77 </w:t>
            </w:r>
          </w:p>
        </w:tc>
      </w:tr>
      <w:tr>
        <w:trPr/>
        <w:tc>
          <w:tcPr>
            <w:tcW w:w="503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503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$ 50,527.77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624"/>
        <w:gridCol w:w="838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1.a. Pursuant to Rule 416(a) promulgated under the Securities Act of 1933, as amended (the "Securities Act"), this Registration Statement shall also cover any additional shares of common stock that become issuable under the plans set forth herein by reason of any stock dividend, stock split, recapitalization, or other similar transaction effected that results in an increase to the number of outstanding shares of common stock. 1.b. Represents (i) shares of Class A common stock reserved for future issuance pursuant to stock options, restricted stock units ("RSUs"), and other awards under the Registrant's 2026 Equity Incentive Plan (the "2026 Plan") and (ii) additional shares of Class A common stock that will become available for future issuance pursuant to equity awards under the 2026 Plan to the extent that RSUs outstanding under the Registrant's 2016 Equity Incentive Plan, as amended (the "2016 Plan") immediately prior to the filing of this Registration Statement expire, terminate prior to settlement, are not issued because the award is settled in cash, are forfeited because of the failure to vest, or are reacquired or withheld (or not issued) to satisfy a tax withholding obligation. See footnote 3.a. 1.c. The number of shares reserved for issuance under the 2026 Plan will automatically increase on January 1 of each fiscal year for a period of ten years, commencing on January 1, 2027 and ending on (and including) January 1, 2036, in an amount equal to 5% of the total number of shares of common stock outstanding on December 31 of the preceding fiscal year; provided, however that the Registrant's board of directors (or its designee) may act prior to January 1 of a given fiscal year to provide that the increase for such year will be a lesser number of shares of Class A common stock. 1.d. Proposed maximum offering price per unit estimated in accordance with Rule 457(h) promulgated under the Securities Act solely for the purpose of calculating the registration fee on the basis of the initial public offering price of $19.00 per share of Class A common stock pursuant to the Registrant's Registration Statement on Form S-1 (File No. 333-290534), which was declared effective on January 28, 2026. </w:t>
            </w:r>
          </w:p>
        </w:tc>
      </w:tr>
      <w:tr>
        <w:trPr/>
        <w:tc>
          <w:tcPr>
            <w:tcW w:w="1822" w:type="dxa"/>
            <w:gridSpan w:val="2"/>
            <w:tcBorders/>
            <w:vAlign w:val="center"/>
          </w:tcPr>
          <w:p>
            <w:pPr>
              <w:pStyle w:val="HorizontalLine"/>
              <w:pBdr>
                <w:bottom w:val="double" w:sz="2" w:space="0" w:color="808080"/>
              </w:pBdr>
              <w:bidi w:val="0"/>
              <w:spacing w:before="0" w:after="283"/>
              <w:jc w:val="left"/>
              <w:rPr/>
            </w:pPr>
            <w:r>
              <w:rPr/>
            </w:r>
          </w:p>
        </w:tc>
        <w:tc>
          <w:tcPr>
            <w:tcW w:w="838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note 1.a. above. 2.a. Represents shares of Class A common stock reserved for future issuance under the Registrant's 2026 Employee Stock Purchase Plan (the "ESPP"). The number of shares reserved for issuance under the ESPP will automatically increase on January 1 of each year for a period of ten years, commencing on January 1, 2027 and ending on (and including) January 1, 2036, in an amount equal to the lesser of (i) 1% of the total number of shares of common stock outstanding on December 31 of the preceding fiscal year, and (ii) 2,600,000 shares of Class A common stock. Notwithstanding the foregoing, the Registrant's board of directors (or its designee) may act prior to the first day of any fiscal year to provide that there will be no January 1 increase in the share reserve for such fiscal year or that the increase in the share reserve for such fiscal year will be a lesser number of shares of Class A common stock than would otherwise occur pursuant to the preceding sentence. 2.b. Proposed maximum offering price per unit estimated in accordance with Rule 457(h) promulgated under the Securities Act solely for the purpose of calculating the registration fee. The proposed maximum offering price per unit is based upon $16.15, which is the initial public offering price per share of Class A common stock pursuant to the Registrant's Registration Statement on Form S-1 (File No. 333-290534), which was declared effective on January 28, 2026, multiplied by 85%, which is the percentage of the price per share applicable to purchases under the ESPP. </w:t>
            </w:r>
          </w:p>
        </w:tc>
      </w:tr>
      <w:tr>
        <w:trPr/>
        <w:tc>
          <w:tcPr>
            <w:tcW w:w="1822" w:type="dxa"/>
            <w:gridSpan w:val="2"/>
            <w:tcBorders/>
            <w:vAlign w:val="center"/>
          </w:tcPr>
          <w:p>
            <w:pPr>
              <w:pStyle w:val="HorizontalLine"/>
              <w:pBdr>
                <w:bottom w:val="double" w:sz="2" w:space="0" w:color="808080"/>
              </w:pBdr>
              <w:bidi w:val="0"/>
              <w:spacing w:before="0" w:after="283"/>
              <w:jc w:val="left"/>
              <w:rPr/>
            </w:pPr>
            <w:r>
              <w:rPr/>
            </w:r>
          </w:p>
        </w:tc>
        <w:tc>
          <w:tcPr>
            <w:tcW w:w="838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note 1.a. above. 3.a. Represents shares of Class A common stock issuable pursuant to stock options outstanding under the 2016 Plan immediately prior to the filing of this Registration Statement. The 2016 Plan has been terminated, and no further equity awards will be made pursuant to the 2016 Plan. The shares of Class A common stock reserved for issuance pursuant to such stock options will become available for issuance under the 2026 Plan to the extent any such shares (i) are not issued because such stock option or any portion thereof expires or otherwise terminates without all of the shares covered by such stock option having been issued, (ii) are not issued because such stock option or any portion thereof is settled in cash, (iii) are forfeited back to or repurchased by the Registrant because of the failure to meet a contingency or condition required for the vesting of such shares, (iv) are withheld or reacquired to satisfy the exercise, strike, or purchase price, or (v) are withheld or reacquired to satisfy a tax withholding obligation. See footnote 1.b. above. 3.b. Proposed maximum offering price per unit estimated in accordance with Rule 457(h) promulgated under the Securities Act solely for the purpose of calculating the registration fee. The proposed maximum offering price per unit is based upon $3.24 per share, which is the weighted-average exercise price of the stock options outstanding under the 2016 Plan. </w:t>
            </w:r>
          </w:p>
        </w:tc>
      </w:tr>
      <w:tr>
        <w:trPr/>
        <w:tc>
          <w:tcPr>
            <w:tcW w:w="1822" w:type="dxa"/>
            <w:gridSpan w:val="2"/>
            <w:tcBorders/>
            <w:vAlign w:val="center"/>
          </w:tcPr>
          <w:p>
            <w:pPr>
              <w:pStyle w:val="HorizontalLine"/>
              <w:pBdr>
                <w:bottom w:val="double" w:sz="2" w:space="0" w:color="808080"/>
              </w:pBdr>
              <w:bidi w:val="0"/>
              <w:spacing w:before="0" w:after="283"/>
              <w:jc w:val="left"/>
              <w:rPr/>
            </w:pPr>
            <w:r>
              <w:rPr/>
            </w:r>
          </w:p>
        </w:tc>
        <w:tc>
          <w:tcPr>
            <w:tcW w:w="838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8451/000119312526015943/d901135ds1a.htm" TargetMode="External"/><Relationship Id="rId3" Type="http://schemas.openxmlformats.org/officeDocument/2006/relationships/hyperlink" Target="http://www.sec.gov/Archives/edgar/data/1788451/000119312526018153/d75276d8a12b.htm" TargetMode="External"/><Relationship Id="rId4" Type="http://schemas.openxmlformats.org/officeDocument/2006/relationships/hyperlink" Target="http://www.sec.gov/Archives/edgar/data/1788451/000119312525219975/d901135dex31.htm" TargetMode="External"/><Relationship Id="rId5" Type="http://schemas.openxmlformats.org/officeDocument/2006/relationships/hyperlink" Target="http://www.sec.gov/Archives/edgar/data/1788451/000119312526015943/d901135dex32.htm" TargetMode="External"/><Relationship Id="rId6" Type="http://schemas.openxmlformats.org/officeDocument/2006/relationships/hyperlink" Target="http://www.sec.gov/Archives/edgar/data/1788451/000119312525219975/d901135dex33.htm" TargetMode="External"/><Relationship Id="rId7" Type="http://schemas.openxmlformats.org/officeDocument/2006/relationships/hyperlink" Target="http://www.sec.gov/Archives/edgar/data/1788451/000119312526015943/d901135dex34.htm" TargetMode="External"/><Relationship Id="rId8" Type="http://schemas.openxmlformats.org/officeDocument/2006/relationships/hyperlink" Target="http://www.sec.gov/Archives/edgar/data/1788451/000119312526015943/d901135dex41.htm" TargetMode="External"/><Relationship Id="rId9" Type="http://schemas.openxmlformats.org/officeDocument/2006/relationships/hyperlink" Target="http://www.sec.gov/Archives/edgar/data/1788451/000119312525219975/d901135dex101.htm" TargetMode="External"/><Relationship Id="rId10" Type="http://schemas.openxmlformats.org/officeDocument/2006/relationships/hyperlink" Target="http://www.sec.gov/Archives/edgar/data/1788451/000119312526015943/d901135dex102.htm" TargetMode="External"/><Relationship Id="rId11" Type="http://schemas.openxmlformats.org/officeDocument/2006/relationships/hyperlink" Target="http://www.sec.gov/Archives/edgar/data/1788451/000119312526015943/d901135dex103.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4600</Words>
  <Characters>24603</Characters>
  <CharactersWithSpaces>29373</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