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 US (TTGP),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Ethos Technologies Inc.</w:t>
              </w:r>
            </w:hyperlink>
            <w:r>
              <w:rPr/>
              <w:t xml:space="preserve"> [ </w:t>
            </w:r>
            <w:r>
              <w:rPr>
                <w:rFonts w:ascii="Times;serif" w:hAnsi="Times;serif"/>
                <w:color w:val="0000FF"/>
                <w:sz w:val="24"/>
                <w:shd w:fill="FFFFFF" w:val="clear"/>
              </w:rPr>
              <w:t>LIFE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8"/>
        <w:gridCol w:w="907"/>
        <w:gridCol w:w="778"/>
        <w:gridCol w:w="602"/>
        <w:gridCol w:w="340"/>
        <w:gridCol w:w="909"/>
        <w:gridCol w:w="428"/>
        <w:gridCol w:w="930"/>
        <w:gridCol w:w="1121"/>
        <w:gridCol w:w="968"/>
        <w:gridCol w:w="11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32.8215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32.8215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59,897</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59,897</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47,898</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47,898</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19,924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32.522</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39,973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32.522</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31,965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37,250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33.3745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29,788</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33.3745</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2,177</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34.0517</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Spelunker Channel Holdings, LLC</w:t>
            </w:r>
            <w:r>
              <w:rPr>
                <w:rFonts w:ascii="Times;serif" w:hAnsi="Times;serif"/>
                <w:color w:val="008000"/>
                <w:position w:val="7"/>
                <w:sz w:val="16"/>
                <w:sz w:val="20"/>
                <w:shd w:fill="FFFFFF" w:val="clear"/>
              </w:rPr>
              <w:t>(2)(3)</w:t>
            </w:r>
          </w:p>
        </w:tc>
      </w:tr>
      <w:tr>
        <w:trPr/>
        <w:tc>
          <w:tcPr>
            <w:tcW w:w="20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2,177</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34.0517</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Nalrena, L.L.C.</w:t>
            </w:r>
            <w:r>
              <w:rPr>
                <w:rFonts w:ascii="Times;serif" w:hAnsi="Times;serif"/>
                <w:color w:val="008000"/>
                <w:position w:val="7"/>
                <w:sz w:val="16"/>
                <w:sz w:val="20"/>
                <w:shd w:fill="FFFFFF" w:val="clear"/>
              </w:rPr>
              <w:t>(2)(3)</w:t>
            </w:r>
          </w:p>
        </w:tc>
      </w:tr>
    </w:tbl>
    <w:tbl>
      <w:tblPr>
        <w:tblW w:w="1258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966"/>
        <w:gridCol w:w="831"/>
        <w:gridCol w:w="981"/>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19,349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59,897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Spelunker Channel Holdings, LLC</w:t>
            </w:r>
            <w:r>
              <w:rPr>
                <w:rFonts w:ascii="Times;serif" w:hAnsi="Times;serif"/>
                <w:color w:val="008000"/>
                <w:position w:val="7"/>
                <w:sz w:val="16"/>
                <w:sz w:val="20"/>
                <w:shd w:fill="FFFFFF" w:val="clear"/>
              </w:rPr>
              <w:t>(2)(3)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15,472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47,898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Nalrena, L.L.C.</w:t>
            </w:r>
            <w:r>
              <w:rPr>
                <w:rFonts w:ascii="Times;serif" w:hAnsi="Times;serif"/>
                <w:color w:val="008000"/>
                <w:position w:val="7"/>
                <w:sz w:val="16"/>
                <w:sz w:val="20"/>
                <w:shd w:fill="FFFFFF" w:val="clear"/>
              </w:rPr>
              <w:t>(2)(3)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59,897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Spelunker Channel Holdings, LLC</w:t>
            </w:r>
            <w:r>
              <w:rPr>
                <w:rFonts w:ascii="Times;serif" w:hAnsi="Times;serif"/>
                <w:color w:val="008000"/>
                <w:position w:val="7"/>
                <w:sz w:val="16"/>
                <w:sz w:val="20"/>
                <w:shd w:fill="FFFFFF" w:val="clear"/>
              </w:rPr>
              <w:t>(2)(3)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47,898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Nalrena, L.L.C.</w:t>
            </w:r>
            <w:r>
              <w:rPr>
                <w:rFonts w:ascii="Times;serif" w:hAnsi="Times;serif"/>
                <w:color w:val="008000"/>
                <w:position w:val="7"/>
                <w:sz w:val="16"/>
                <w:sz w:val="20"/>
                <w:shd w:fill="FFFFFF" w:val="clear"/>
              </w:rPr>
              <w:t>(2)(3)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6,823,189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6,823,189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Fund XV, L.P.</w:t>
            </w:r>
            <w:r>
              <w:rPr>
                <w:rFonts w:ascii="Times;serif" w:hAnsi="Times;serif"/>
                <w:color w:val="008000"/>
                <w:position w:val="7"/>
                <w:sz w:val="16"/>
                <w:sz w:val="20"/>
                <w:shd w:fill="FFFFFF" w:val="clear"/>
              </w:rPr>
              <w:t>(8)(9)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287,297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287,297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Partners Fund XV (Q), L.P.</w:t>
            </w:r>
            <w:r>
              <w:rPr>
                <w:rFonts w:ascii="Times;serif" w:hAnsi="Times;serif"/>
                <w:color w:val="008000"/>
                <w:position w:val="7"/>
                <w:sz w:val="16"/>
                <w:sz w:val="20"/>
                <w:shd w:fill="FFFFFF" w:val="clear"/>
              </w:rPr>
              <w:t>(8)(9)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103,310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Partners Fund XV, L.P.</w:t>
            </w:r>
            <w:r>
              <w:rPr>
                <w:rFonts w:ascii="Times;serif" w:hAnsi="Times;serif"/>
                <w:color w:val="008000"/>
                <w:position w:val="7"/>
                <w:sz w:val="16"/>
                <w:sz w:val="20"/>
                <w:shd w:fill="FFFFFF" w:val="clear"/>
              </w:rPr>
              <w:t>(8)(9)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1,052,540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1,052,540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XV Principals Fund, L.P.</w:t>
            </w:r>
            <w:r>
              <w:rPr>
                <w:rFonts w:ascii="Times;serif" w:hAnsi="Times;serif"/>
                <w:color w:val="008000"/>
                <w:position w:val="7"/>
                <w:sz w:val="16"/>
                <w:sz w:val="20"/>
                <w:shd w:fill="FFFFFF" w:val="clear"/>
              </w:rPr>
              <w:t>(8)(9)</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1,812,546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1,812,546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Growth Fund VIII, L.P.</w:t>
            </w:r>
            <w:r>
              <w:rPr>
                <w:rFonts w:ascii="Times;serif" w:hAnsi="Times;serif"/>
                <w:color w:val="008000"/>
                <w:position w:val="7"/>
                <w:sz w:val="16"/>
                <w:sz w:val="20"/>
                <w:shd w:fill="FFFFFF" w:val="clear"/>
              </w:rPr>
              <w:t>(8)(9)</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SC US (TTGP),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 U.S. Venture XV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SEQUOIA CAPITAL U.S. VENTURE FUND XV,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SEQUOIA CAPITAL U.S. VENTURE PARTNERS FUND XV (Q),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SEQUOIA CAPITAL U.S. VENTURE PARTNERS FUND XV,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SEQUOIA CAPITAL U.S. VENTURE XV PRINCIPALS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SC U.S. Growth VIII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Sequoia Capital U.S. Growth Fund VIII,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Issuer's Class B Common Stock is convertible into the Issuer's Class A Common Stock on a one-for-one basis at the option of the holder thereof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SC US SSF 2013 (TTGP), L.L.C. is the general partner of SC U.S. Scout Seed Fund 2013 Management, L.P., which is the general partner of Sequoia Capital U.S. Scout Seed Fund 2013, L.P., which wholly owns Sequoia Capital U.S. Scout Fund IV, L.L.C., which in turn wholly owns Nalrena, L.L.C. and Spelunker Channel Holdings, LLC (collectively, the Scout Funds). As a result, SC US SSF 2013 (TTGP), L.L.C., SC U.S. Scout Seed Fund 2013 Management, L.P., Sequoia Capital U.S. Scout Seed Fund 2013, L.P., and Sequoia Capital U.S. Scout Fund IV, L.L.C. may be deemed to share voting and dispositive power with respect to the shares held by the Scout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Each of SC US SSF 2013 (TTGP), L.L.C., SC U.S. Scout Seed Fund 2013 Management, L.P., Sequoia Capital U.S. Scout Seed Fund 2013, L.P., and Sequoia Capital U.S. Scout Fund IV, L.L.C. disclaims beneficial ownership of the securities held by the Scout Funds except to the extent of its pecuniary interest therein, and the inclusion of these securities in this report shall not be deemed an admission of beneficial ownership of the reported securities for purposes of Section 16 or for any other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$32.2472 to $33.0547,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(4), (5), (6) and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$31.8450 to $32.8350,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$32.8450 to $33.8400,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$33.8750 to $34.1961,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SC US (TTGP), Ltd. is (i) the general partner of SC U.S. Growth VIII Management, L.P., which is the general partner of Sequoia Capital U.S. Growth Fund VIII, L.P. (GFVIII), and (ii) the general partner of SC U.S. Venture XV Management, L.P., which is the general partner of Sequoia Capital U.S. Venture Fund XV, L.P., Sequoia Capital U.S. Venture Partners Fund XV (Q), L.P., Sequoia Capital U.S. Venture Partners Fund XV, L.P., and Sequoia Capital U.S. Venture XV Principals Fund, L.P. (collectively, the XV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[continued from Footnote 8] As a result, SC US (TTGP), Ltd. may be deemed to share voting and dispositive power with respect to the shares held by GFVIII and the XV Funds. Each of SC US (TTGP), Ltd., SC U.S. Growth VIII Management, L.P. and SC U.S. Venture XV Management, L.P. disclaims beneficial ownership of the shares held by GFVIII and the XV Funds, as applicable, except to the extent of its pecuniary interest therein, and the inclusion of these securities in this report shall not be deemed an admission of beneficial ownership of the reported securities for purposes of Section 16 or for any other purposes.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of 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Fund XV,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Partners Fund XV (Q),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Partners Fund XV,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XV Principals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Growth VIII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Growth VIII Management, L.P., the General Partner of Sequoia Capital U.S. Growth Fund VIII,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7841" TargetMode="External"/><Relationship Id="rId5" Type="http://schemas.openxmlformats.org/officeDocument/2006/relationships/hyperlink" Target="http://www.sec.gov/cgi-bin/browse-edgar?action=getcompany&amp;CIK=00017884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07841" TargetMode="External"/><Relationship Id="rId9" Type="http://schemas.openxmlformats.org/officeDocument/2006/relationships/hyperlink" Target="http://www.sec.gov/cgi-bin/browse-edgar?action=getcompany&amp;CIK=0001742979" TargetMode="External"/><Relationship Id="rId10" Type="http://schemas.openxmlformats.org/officeDocument/2006/relationships/hyperlink" Target="http://www.sec.gov/cgi-bin/browse-edgar?action=getcompany&amp;CIK=0001627324" TargetMode="External"/><Relationship Id="rId11" Type="http://schemas.openxmlformats.org/officeDocument/2006/relationships/hyperlink" Target="http://www.sec.gov/cgi-bin/browse-edgar?action=getcompany&amp;CIK=0001635444" TargetMode="External"/><Relationship Id="rId12" Type="http://schemas.openxmlformats.org/officeDocument/2006/relationships/hyperlink" Target="http://www.sec.gov/cgi-bin/browse-edgar?action=getcompany&amp;CIK=0001635442" TargetMode="External"/><Relationship Id="rId13" Type="http://schemas.openxmlformats.org/officeDocument/2006/relationships/hyperlink" Target="http://www.sec.gov/cgi-bin/browse-edgar?action=getcompany&amp;CIK=0001635440" TargetMode="External"/><Relationship Id="rId14" Type="http://schemas.openxmlformats.org/officeDocument/2006/relationships/hyperlink" Target="http://www.sec.gov/cgi-bin/browse-edgar?action=getcompany&amp;CIK=0001743276" TargetMode="External"/><Relationship Id="rId15" Type="http://schemas.openxmlformats.org/officeDocument/2006/relationships/hyperlink" Target="http://www.sec.gov/cgi-bin/browse-edgar?action=getcompany&amp;CIK=0001743290"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1992</Words>
  <Characters>10144</Characters>
  <CharactersWithSpaces>11745</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